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6.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footer14.xml" ContentType="application/vnd.openxmlformats-officedocument.wordprocessingml.footer+xml"/>
  <Override PartName="/word/footer7.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D5143" w14:textId="10CAC730" w:rsidR="001441A6" w:rsidRPr="006004D1" w:rsidRDefault="001441A6" w:rsidP="00A7241D">
      <w:pPr>
        <w:rPr>
          <w:sz w:val="15"/>
          <w:szCs w:val="15"/>
        </w:rPr>
      </w:pPr>
      <w:bookmarkStart w:id="0" w:name="Annex1"/>
      <w:bookmarkStart w:id="1" w:name="_GoBack"/>
      <w:bookmarkEnd w:id="1"/>
    </w:p>
    <w:p w14:paraId="34336FC0" w14:textId="77777777" w:rsidR="001441A6" w:rsidRPr="006004D1" w:rsidRDefault="001441A6" w:rsidP="00FF7F79">
      <w:pPr>
        <w:ind w:left="720" w:firstLine="720"/>
        <w:rPr>
          <w:sz w:val="15"/>
          <w:szCs w:val="15"/>
        </w:rPr>
      </w:pPr>
    </w:p>
    <w:p w14:paraId="3452EE9E" w14:textId="77777777" w:rsidR="001441A6" w:rsidRPr="006004D1" w:rsidRDefault="0043445F" w:rsidP="00FF7F79">
      <w:pPr>
        <w:ind w:left="720" w:firstLine="720"/>
        <w:rPr>
          <w:sz w:val="15"/>
          <w:szCs w:val="15"/>
        </w:rPr>
      </w:pPr>
      <w:r>
        <w:rPr>
          <w:noProof/>
        </w:rPr>
        <w:drawing>
          <wp:anchor distT="0" distB="0" distL="114300" distR="114300" simplePos="0" relativeHeight="251659776" behindDoc="0" locked="0" layoutInCell="1" allowOverlap="1" wp14:anchorId="043627E6" wp14:editId="2CA566BE">
            <wp:simplePos x="0" y="0"/>
            <wp:positionH relativeFrom="column">
              <wp:posOffset>2447925</wp:posOffset>
            </wp:positionH>
            <wp:positionV relativeFrom="paragraph">
              <wp:posOffset>17145</wp:posOffset>
            </wp:positionV>
            <wp:extent cx="1046480" cy="1017905"/>
            <wp:effectExtent l="0" t="0" r="1270" b="0"/>
            <wp:wrapSquare wrapText="bothSides"/>
            <wp:docPr id="95" name="Picture 95" descr="Kazakhst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zakhstan_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6480" cy="1017905"/>
                    </a:xfrm>
                    <a:prstGeom prst="rect">
                      <a:avLst/>
                    </a:prstGeom>
                    <a:noFill/>
                    <a:ln>
                      <a:noFill/>
                    </a:ln>
                  </pic:spPr>
                </pic:pic>
              </a:graphicData>
            </a:graphic>
          </wp:anchor>
        </w:drawing>
      </w:r>
    </w:p>
    <w:p w14:paraId="6C990361" w14:textId="77777777" w:rsidR="00231A45" w:rsidRPr="006004D1" w:rsidRDefault="00053066" w:rsidP="00827FD9">
      <w:pPr>
        <w:ind w:left="2160" w:firstLine="720"/>
        <w:rPr>
          <w:szCs w:val="20"/>
        </w:rPr>
      </w:pPr>
      <w:r>
        <w:rPr>
          <w:noProof/>
        </w:rPr>
        <w:drawing>
          <wp:anchor distT="0" distB="0" distL="114300" distR="114300" simplePos="0" relativeHeight="251656704" behindDoc="0" locked="0" layoutInCell="1" allowOverlap="1" wp14:anchorId="606345BD" wp14:editId="5B773EC6">
            <wp:simplePos x="0" y="0"/>
            <wp:positionH relativeFrom="margin">
              <wp:posOffset>5295900</wp:posOffset>
            </wp:positionH>
            <wp:positionV relativeFrom="paragraph">
              <wp:posOffset>9525</wp:posOffset>
            </wp:positionV>
            <wp:extent cx="647065" cy="1380490"/>
            <wp:effectExtent l="0" t="0" r="0" b="0"/>
            <wp:wrapNone/>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065"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8B006FA" wp14:editId="64085E83">
            <wp:simplePos x="0" y="0"/>
            <wp:positionH relativeFrom="margin">
              <wp:posOffset>85725</wp:posOffset>
            </wp:positionH>
            <wp:positionV relativeFrom="paragraph">
              <wp:posOffset>-1905</wp:posOffset>
            </wp:positionV>
            <wp:extent cx="709930" cy="818515"/>
            <wp:effectExtent l="0" t="0" r="1270" b="0"/>
            <wp:wrapTight wrapText="bothSides">
              <wp:wrapPolygon edited="0">
                <wp:start x="0" y="0"/>
                <wp:lineTo x="0" y="20779"/>
                <wp:lineTo x="20866" y="20779"/>
                <wp:lineTo x="20866" y="0"/>
                <wp:lineTo x="0" y="0"/>
              </wp:wrapPolygon>
            </wp:wrapTight>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3943A" w14:textId="77777777" w:rsidR="00231A45" w:rsidRPr="006004D1" w:rsidRDefault="00231A45" w:rsidP="00CE72C2">
      <w:pPr>
        <w:spacing w:after="120"/>
        <w:ind w:left="2160" w:firstLine="720"/>
        <w:rPr>
          <w:szCs w:val="20"/>
        </w:rPr>
      </w:pPr>
    </w:p>
    <w:bookmarkEnd w:id="0"/>
    <w:p w14:paraId="00FA55CF" w14:textId="77777777" w:rsidR="00231A45" w:rsidRPr="006004D1" w:rsidRDefault="00231A45" w:rsidP="00CE72C2">
      <w:pPr>
        <w:spacing w:after="120"/>
        <w:ind w:left="2160" w:firstLine="720"/>
        <w:rPr>
          <w:rFonts w:cs="Arial"/>
          <w:b/>
          <w:i/>
          <w:szCs w:val="22"/>
        </w:rPr>
      </w:pPr>
    </w:p>
    <w:p w14:paraId="1EBA866C" w14:textId="77777777" w:rsidR="00231A45" w:rsidRPr="006004D1" w:rsidRDefault="00231A45" w:rsidP="00CE72C2">
      <w:pPr>
        <w:spacing w:after="120"/>
        <w:ind w:left="2160" w:firstLine="720"/>
        <w:rPr>
          <w:rFonts w:cs="Arial"/>
          <w:b/>
          <w:i/>
          <w:szCs w:val="22"/>
        </w:rPr>
      </w:pPr>
    </w:p>
    <w:p w14:paraId="74C394C1" w14:textId="77777777" w:rsidR="00231A45" w:rsidRPr="006004D1" w:rsidRDefault="00231A45" w:rsidP="00CE72C2">
      <w:pPr>
        <w:spacing w:after="120"/>
        <w:ind w:left="2160" w:firstLine="720"/>
        <w:rPr>
          <w:rFonts w:cs="Arial"/>
          <w:b/>
          <w:i/>
          <w:szCs w:val="22"/>
        </w:rPr>
      </w:pPr>
    </w:p>
    <w:p w14:paraId="0E2EAC4F" w14:textId="77777777" w:rsidR="00E3519C" w:rsidRPr="006004D1" w:rsidRDefault="00E1433A" w:rsidP="00231A45">
      <w:pPr>
        <w:spacing w:after="240"/>
        <w:jc w:val="center"/>
        <w:rPr>
          <w:rFonts w:cs="Arial"/>
          <w:b/>
          <w:szCs w:val="22"/>
        </w:rPr>
      </w:pPr>
      <w:r w:rsidRPr="006004D1">
        <w:rPr>
          <w:rFonts w:cs="Arial"/>
          <w:b/>
          <w:szCs w:val="22"/>
        </w:rPr>
        <w:t>United Nations Development Programme</w:t>
      </w:r>
    </w:p>
    <w:p w14:paraId="2F951C0E" w14:textId="77777777" w:rsidR="00DF11B5" w:rsidRPr="006004D1" w:rsidRDefault="001754B1" w:rsidP="00231A45">
      <w:pPr>
        <w:jc w:val="center"/>
        <w:rPr>
          <w:rFonts w:cs="Arial"/>
          <w:b/>
          <w:szCs w:val="22"/>
        </w:rPr>
      </w:pPr>
      <w:r w:rsidRPr="006004D1">
        <w:rPr>
          <w:rFonts w:cs="Arial"/>
          <w:b/>
          <w:szCs w:val="22"/>
        </w:rPr>
        <w:t xml:space="preserve">Project Document for nationally </w:t>
      </w:r>
      <w:r w:rsidR="009E44C7" w:rsidRPr="006004D1">
        <w:rPr>
          <w:rFonts w:cs="Arial"/>
          <w:b/>
          <w:szCs w:val="22"/>
        </w:rPr>
        <w:t>implemented</w:t>
      </w:r>
      <w:r w:rsidRPr="006004D1">
        <w:rPr>
          <w:rFonts w:cs="Arial"/>
          <w:b/>
          <w:szCs w:val="22"/>
        </w:rPr>
        <w:t xml:space="preserve"> </w:t>
      </w:r>
      <w:r w:rsidR="000B3D4F" w:rsidRPr="006004D1">
        <w:rPr>
          <w:rFonts w:cs="Arial"/>
          <w:b/>
          <w:szCs w:val="22"/>
        </w:rPr>
        <w:t>projects</w:t>
      </w:r>
    </w:p>
    <w:p w14:paraId="06621843" w14:textId="77777777" w:rsidR="000230A3" w:rsidRPr="006004D1" w:rsidRDefault="000B3D4F" w:rsidP="00231A45">
      <w:pPr>
        <w:jc w:val="center"/>
        <w:rPr>
          <w:rFonts w:cs="Arial"/>
          <w:b/>
          <w:szCs w:val="22"/>
        </w:rPr>
      </w:pPr>
      <w:r w:rsidRPr="006004D1">
        <w:rPr>
          <w:rFonts w:cs="Arial"/>
          <w:b/>
          <w:szCs w:val="22"/>
        </w:rPr>
        <w:t xml:space="preserve">financed by the </w:t>
      </w:r>
      <w:r w:rsidR="00E3519C" w:rsidRPr="006004D1">
        <w:rPr>
          <w:rFonts w:cs="Arial"/>
          <w:b/>
          <w:szCs w:val="22"/>
        </w:rPr>
        <w:t>GEF</w:t>
      </w:r>
      <w:r w:rsidR="00DF11B5" w:rsidRPr="006004D1">
        <w:rPr>
          <w:rFonts w:cs="Arial"/>
          <w:b/>
          <w:szCs w:val="22"/>
        </w:rPr>
        <w:t xml:space="preserve"> Trust Fund</w:t>
      </w:r>
    </w:p>
    <w:p w14:paraId="7C496747" w14:textId="77777777" w:rsidR="00DF11B5" w:rsidRPr="006004D1" w:rsidRDefault="00DF11B5" w:rsidP="000B3D4F">
      <w:pPr>
        <w:rPr>
          <w:rFonts w:cs="Arial"/>
          <w:b/>
          <w:i/>
          <w:szCs w:val="20"/>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2076"/>
        <w:gridCol w:w="993"/>
        <w:gridCol w:w="4700"/>
      </w:tblGrid>
      <w:tr w:rsidR="00B270EB" w:rsidRPr="006004D1" w14:paraId="12101C30" w14:textId="77777777" w:rsidTr="00D63A31">
        <w:trPr>
          <w:trHeight w:val="473"/>
        </w:trPr>
        <w:tc>
          <w:tcPr>
            <w:tcW w:w="10278" w:type="dxa"/>
            <w:gridSpan w:val="4"/>
            <w:shd w:val="clear" w:color="auto" w:fill="auto"/>
          </w:tcPr>
          <w:p w14:paraId="270BFDB0" w14:textId="77777777" w:rsidR="00B270EB" w:rsidRPr="006004D1" w:rsidRDefault="00235AE4" w:rsidP="00D63A31">
            <w:pPr>
              <w:widowControl w:val="0"/>
              <w:autoSpaceDE w:val="0"/>
              <w:autoSpaceDN w:val="0"/>
              <w:adjustRightInd w:val="0"/>
              <w:rPr>
                <w:rFonts w:cs="Times"/>
              </w:rPr>
            </w:pPr>
            <w:r w:rsidRPr="006004D1">
              <w:rPr>
                <w:rFonts w:cs="Arial"/>
                <w:b/>
                <w:szCs w:val="20"/>
              </w:rPr>
              <w:t xml:space="preserve">Project title:  </w:t>
            </w:r>
            <w:r w:rsidR="00CD3547" w:rsidRPr="006004D1">
              <w:rPr>
                <w:rFonts w:cs="Arial"/>
                <w:b/>
                <w:szCs w:val="20"/>
              </w:rPr>
              <w:t>Derisking Renewable Energy Investment</w:t>
            </w:r>
          </w:p>
        </w:tc>
      </w:tr>
      <w:tr w:rsidR="0077088A" w:rsidRPr="006004D1" w14:paraId="7A94BBB0" w14:textId="77777777" w:rsidTr="00D63A31">
        <w:trPr>
          <w:trHeight w:val="743"/>
        </w:trPr>
        <w:tc>
          <w:tcPr>
            <w:tcW w:w="2509" w:type="dxa"/>
            <w:shd w:val="clear" w:color="auto" w:fill="auto"/>
          </w:tcPr>
          <w:p w14:paraId="0F160959" w14:textId="77777777" w:rsidR="0077088A" w:rsidRPr="006004D1" w:rsidRDefault="0077088A" w:rsidP="004622EC">
            <w:pPr>
              <w:widowControl w:val="0"/>
              <w:autoSpaceDE w:val="0"/>
              <w:autoSpaceDN w:val="0"/>
              <w:adjustRightInd w:val="0"/>
              <w:spacing w:after="120" w:line="340" w:lineRule="atLeast"/>
              <w:rPr>
                <w:rFonts w:cs="Arial"/>
                <w:b/>
                <w:szCs w:val="20"/>
              </w:rPr>
            </w:pPr>
            <w:r w:rsidRPr="006004D1">
              <w:rPr>
                <w:rFonts w:cs="Arial"/>
                <w:b/>
                <w:szCs w:val="20"/>
              </w:rPr>
              <w:t xml:space="preserve">Country:  </w:t>
            </w:r>
            <w:r w:rsidR="00CD3547" w:rsidRPr="006004D1">
              <w:rPr>
                <w:rFonts w:cs="Arial"/>
                <w:b/>
                <w:szCs w:val="20"/>
              </w:rPr>
              <w:t>Kazakhstan</w:t>
            </w:r>
          </w:p>
        </w:tc>
        <w:tc>
          <w:tcPr>
            <w:tcW w:w="3069" w:type="dxa"/>
            <w:gridSpan w:val="2"/>
            <w:shd w:val="clear" w:color="auto" w:fill="auto"/>
          </w:tcPr>
          <w:p w14:paraId="5B715FBD" w14:textId="77777777" w:rsidR="0077088A" w:rsidRPr="006004D1" w:rsidRDefault="00994F0E" w:rsidP="004622EC">
            <w:pPr>
              <w:spacing w:after="120"/>
              <w:rPr>
                <w:rFonts w:cs="Arial"/>
                <w:b/>
                <w:szCs w:val="20"/>
              </w:rPr>
            </w:pPr>
            <w:r w:rsidRPr="006004D1">
              <w:rPr>
                <w:rFonts w:cs="Arial"/>
                <w:b/>
                <w:szCs w:val="20"/>
              </w:rPr>
              <w:t xml:space="preserve">Implementing Partner: </w:t>
            </w:r>
            <w:r w:rsidR="0076430E">
              <w:rPr>
                <w:rFonts w:cs="Arial"/>
                <w:b/>
                <w:szCs w:val="20"/>
              </w:rPr>
              <w:br/>
            </w:r>
            <w:r w:rsidRPr="006004D1">
              <w:rPr>
                <w:rFonts w:cs="Arial"/>
                <w:szCs w:val="20"/>
                <w:lang w:val="fr-FR"/>
              </w:rPr>
              <w:t>Ministry of Energy</w:t>
            </w:r>
          </w:p>
        </w:tc>
        <w:tc>
          <w:tcPr>
            <w:tcW w:w="4700" w:type="dxa"/>
            <w:shd w:val="clear" w:color="auto" w:fill="auto"/>
          </w:tcPr>
          <w:p w14:paraId="2772CFA5" w14:textId="77777777" w:rsidR="0077088A" w:rsidRPr="00BB7229" w:rsidRDefault="00F81B41" w:rsidP="004622EC">
            <w:pPr>
              <w:spacing w:after="120"/>
              <w:rPr>
                <w:rFonts w:cs="Arial"/>
                <w:i/>
                <w:szCs w:val="20"/>
                <w:lang w:val="en-GB"/>
              </w:rPr>
            </w:pPr>
            <w:r w:rsidRPr="00BB7229">
              <w:rPr>
                <w:rFonts w:cs="Arial"/>
                <w:b/>
                <w:szCs w:val="20"/>
                <w:lang w:val="en-GB"/>
              </w:rPr>
              <w:t xml:space="preserve">Management Arrangements: </w:t>
            </w:r>
            <w:r w:rsidR="0076430E" w:rsidRPr="00BB7229">
              <w:rPr>
                <w:rFonts w:cs="Arial"/>
                <w:b/>
                <w:szCs w:val="20"/>
                <w:lang w:val="en-GB"/>
              </w:rPr>
              <w:br/>
            </w:r>
            <w:r w:rsidR="0077088A" w:rsidRPr="00BB7229">
              <w:rPr>
                <w:rFonts w:cs="Arial"/>
                <w:szCs w:val="20"/>
                <w:lang w:val="en-GB"/>
              </w:rPr>
              <w:t>National Implementation Modality (NIM)</w:t>
            </w:r>
          </w:p>
        </w:tc>
      </w:tr>
      <w:tr w:rsidR="0077088A" w:rsidRPr="006004D1" w14:paraId="61E9103C" w14:textId="77777777" w:rsidTr="004622EC">
        <w:trPr>
          <w:trHeight w:val="995"/>
        </w:trPr>
        <w:tc>
          <w:tcPr>
            <w:tcW w:w="10278" w:type="dxa"/>
            <w:gridSpan w:val="4"/>
            <w:shd w:val="clear" w:color="auto" w:fill="auto"/>
          </w:tcPr>
          <w:p w14:paraId="36F14B78" w14:textId="77777777" w:rsidR="0077088A" w:rsidRPr="0043445F" w:rsidRDefault="0077088A" w:rsidP="00487612">
            <w:pPr>
              <w:rPr>
                <w:rFonts w:cs="Arial"/>
                <w:b/>
                <w:szCs w:val="20"/>
              </w:rPr>
            </w:pPr>
            <w:r w:rsidRPr="006004D1">
              <w:rPr>
                <w:rFonts w:cs="Arial"/>
                <w:b/>
                <w:szCs w:val="20"/>
              </w:rPr>
              <w:t>UNDAF/Country Programme Outcome</w:t>
            </w:r>
            <w:r w:rsidRPr="006004D1">
              <w:rPr>
                <w:rFonts w:cs="Arial"/>
                <w:i/>
                <w:szCs w:val="20"/>
              </w:rPr>
              <w:t xml:space="preserve">: </w:t>
            </w:r>
            <w:r w:rsidR="0043445F" w:rsidRPr="0043445F">
              <w:rPr>
                <w:rFonts w:cs="Arial"/>
                <w:szCs w:val="20"/>
              </w:rPr>
              <w:t>Environmental Sustainability. By 2015, communities, national and local authorities use more effective mechanisms and partnerships that promote environmental sustainability and enable them to prepare, respond and recover from natural and man-made disasters.</w:t>
            </w:r>
          </w:p>
        </w:tc>
      </w:tr>
      <w:tr w:rsidR="00AE7EF6" w:rsidRPr="006004D1" w14:paraId="14556127" w14:textId="77777777" w:rsidTr="00D63A31">
        <w:trPr>
          <w:trHeight w:val="383"/>
        </w:trPr>
        <w:tc>
          <w:tcPr>
            <w:tcW w:w="10278" w:type="dxa"/>
            <w:gridSpan w:val="4"/>
            <w:shd w:val="clear" w:color="auto" w:fill="auto"/>
          </w:tcPr>
          <w:p w14:paraId="4520BF3D" w14:textId="77777777" w:rsidR="00AE7EF6" w:rsidRPr="006004D1" w:rsidRDefault="00AE7EF6" w:rsidP="00A7241D">
            <w:pPr>
              <w:spacing w:after="240"/>
              <w:rPr>
                <w:rFonts w:cs="Arial"/>
                <w:b/>
                <w:szCs w:val="20"/>
              </w:rPr>
            </w:pPr>
            <w:r w:rsidRPr="006004D1">
              <w:rPr>
                <w:rFonts w:cs="Arial"/>
                <w:b/>
                <w:szCs w:val="20"/>
              </w:rPr>
              <w:t xml:space="preserve">UNDP Strategic Plan Output: </w:t>
            </w:r>
            <w:r w:rsidR="00202DA5" w:rsidRPr="00D32A30">
              <w:rPr>
                <w:rFonts w:cs="Arial"/>
                <w:szCs w:val="20"/>
              </w:rPr>
              <w:t>Output 1.4</w:t>
            </w:r>
          </w:p>
        </w:tc>
      </w:tr>
      <w:tr w:rsidR="0077088A" w:rsidRPr="006004D1" w14:paraId="6938C101" w14:textId="77777777" w:rsidTr="00D63A31">
        <w:trPr>
          <w:trHeight w:val="671"/>
        </w:trPr>
        <w:tc>
          <w:tcPr>
            <w:tcW w:w="4585" w:type="dxa"/>
            <w:gridSpan w:val="2"/>
            <w:shd w:val="clear" w:color="auto" w:fill="auto"/>
          </w:tcPr>
          <w:p w14:paraId="2A7CCE6A" w14:textId="7A45CC6F" w:rsidR="0077088A" w:rsidRPr="0043445F" w:rsidRDefault="0077088A" w:rsidP="00E47151">
            <w:pPr>
              <w:rPr>
                <w:i/>
              </w:rPr>
            </w:pPr>
            <w:r w:rsidRPr="006004D1">
              <w:rPr>
                <w:rFonts w:cs="Arial"/>
                <w:b/>
                <w:szCs w:val="20"/>
              </w:rPr>
              <w:t>UNDP Social and Environmental Screening Category:</w:t>
            </w:r>
            <w:r w:rsidR="00D63A31">
              <w:rPr>
                <w:rFonts w:cs="Arial"/>
                <w:b/>
                <w:szCs w:val="20"/>
              </w:rPr>
              <w:t xml:space="preserve"> </w:t>
            </w:r>
            <w:r w:rsidR="00E47151">
              <w:t>Moderate</w:t>
            </w:r>
          </w:p>
        </w:tc>
        <w:tc>
          <w:tcPr>
            <w:tcW w:w="5693" w:type="dxa"/>
            <w:gridSpan w:val="2"/>
            <w:shd w:val="clear" w:color="auto" w:fill="auto"/>
          </w:tcPr>
          <w:p w14:paraId="110789A9" w14:textId="77777777" w:rsidR="0077088A" w:rsidRPr="0043445F" w:rsidRDefault="0077088A" w:rsidP="00D63A31">
            <w:pPr>
              <w:rPr>
                <w:rFonts w:cs="Segoe UI"/>
                <w:color w:val="000000"/>
                <w:szCs w:val="20"/>
              </w:rPr>
            </w:pPr>
            <w:r w:rsidRPr="006004D1">
              <w:rPr>
                <w:rFonts w:cs="Arial"/>
                <w:b/>
                <w:szCs w:val="20"/>
              </w:rPr>
              <w:t xml:space="preserve">UNDP Gender Marker: </w:t>
            </w:r>
            <w:r w:rsidR="00D63A31">
              <w:rPr>
                <w:rFonts w:cs="Arial"/>
                <w:szCs w:val="20"/>
              </w:rPr>
              <w:br/>
            </w:r>
            <w:r w:rsidR="00CE61CE" w:rsidRPr="00D32A30">
              <w:rPr>
                <w:rFonts w:cs="Arial"/>
                <w:szCs w:val="20"/>
              </w:rPr>
              <w:t>GEN</w:t>
            </w:r>
            <w:r w:rsidR="009626E8">
              <w:rPr>
                <w:rFonts w:cs="Arial"/>
                <w:szCs w:val="20"/>
              </w:rPr>
              <w:t>1</w:t>
            </w:r>
          </w:p>
        </w:tc>
      </w:tr>
      <w:tr w:rsidR="0077088A" w:rsidRPr="001750CF" w14:paraId="73FF7C40" w14:textId="77777777" w:rsidTr="003E6878">
        <w:tc>
          <w:tcPr>
            <w:tcW w:w="4585" w:type="dxa"/>
            <w:gridSpan w:val="2"/>
            <w:shd w:val="clear" w:color="auto" w:fill="auto"/>
          </w:tcPr>
          <w:p w14:paraId="41512E70" w14:textId="188AC515" w:rsidR="0077088A" w:rsidRPr="001750CF" w:rsidRDefault="0077088A" w:rsidP="001750CF">
            <w:pPr>
              <w:pStyle w:val="p1"/>
              <w:rPr>
                <w:sz w:val="22"/>
                <w:szCs w:val="22"/>
              </w:rPr>
            </w:pPr>
            <w:r w:rsidRPr="001750CF">
              <w:rPr>
                <w:rFonts w:cs="Arial"/>
                <w:b/>
                <w:sz w:val="22"/>
                <w:szCs w:val="22"/>
              </w:rPr>
              <w:t xml:space="preserve">Atlas </w:t>
            </w:r>
            <w:r w:rsidRPr="001750CF">
              <w:rPr>
                <w:rFonts w:cs="Arial"/>
                <w:b/>
                <w:sz w:val="22"/>
                <w:szCs w:val="22"/>
                <w:lang w:eastAsia="zh-CN"/>
              </w:rPr>
              <w:t>Pro</w:t>
            </w:r>
            <w:r w:rsidR="00133018" w:rsidRPr="001750CF">
              <w:rPr>
                <w:rFonts w:cs="Arial"/>
                <w:b/>
                <w:sz w:val="22"/>
                <w:szCs w:val="22"/>
                <w:lang w:eastAsia="zh-CN"/>
              </w:rPr>
              <w:t>ject ID</w:t>
            </w:r>
            <w:r w:rsidRPr="001750CF">
              <w:rPr>
                <w:rFonts w:cs="Arial"/>
                <w:b/>
                <w:sz w:val="22"/>
                <w:szCs w:val="22"/>
                <w:lang w:eastAsia="zh-CN"/>
              </w:rPr>
              <w:t>/</w:t>
            </w:r>
            <w:r w:rsidRPr="001750CF">
              <w:rPr>
                <w:rFonts w:cs="Arial"/>
                <w:b/>
                <w:sz w:val="22"/>
                <w:szCs w:val="22"/>
              </w:rPr>
              <w:t>Award ID</w:t>
            </w:r>
            <w:r w:rsidR="0089430E" w:rsidRPr="001750CF">
              <w:rPr>
                <w:rFonts w:cs="Arial"/>
                <w:b/>
                <w:sz w:val="22"/>
                <w:szCs w:val="22"/>
              </w:rPr>
              <w:t xml:space="preserve"> number</w:t>
            </w:r>
            <w:r w:rsidRPr="001750CF">
              <w:rPr>
                <w:rFonts w:cs="Arial"/>
                <w:b/>
                <w:sz w:val="22"/>
                <w:szCs w:val="22"/>
              </w:rPr>
              <w:t xml:space="preserve">: </w:t>
            </w:r>
            <w:r w:rsidR="001750CF" w:rsidRPr="001750CF">
              <w:rPr>
                <w:rStyle w:val="s1"/>
                <w:sz w:val="22"/>
                <w:szCs w:val="22"/>
              </w:rPr>
              <w:t>00097249</w:t>
            </w:r>
          </w:p>
        </w:tc>
        <w:tc>
          <w:tcPr>
            <w:tcW w:w="5693" w:type="dxa"/>
            <w:gridSpan w:val="2"/>
            <w:shd w:val="clear" w:color="auto" w:fill="auto"/>
          </w:tcPr>
          <w:p w14:paraId="626F47D1" w14:textId="77777777" w:rsidR="001750CF" w:rsidRPr="001750CF" w:rsidRDefault="0077088A" w:rsidP="001750CF">
            <w:pPr>
              <w:pStyle w:val="p1"/>
              <w:rPr>
                <w:sz w:val="22"/>
                <w:szCs w:val="22"/>
              </w:rPr>
            </w:pPr>
            <w:r w:rsidRPr="001750CF">
              <w:rPr>
                <w:rFonts w:cs="Arial"/>
                <w:b/>
                <w:sz w:val="22"/>
                <w:szCs w:val="22"/>
              </w:rPr>
              <w:t xml:space="preserve">Atlas </w:t>
            </w:r>
            <w:r w:rsidR="00133018" w:rsidRPr="001750CF">
              <w:rPr>
                <w:rFonts w:cs="Arial"/>
                <w:b/>
                <w:sz w:val="22"/>
                <w:szCs w:val="22"/>
              </w:rPr>
              <w:t>O</w:t>
            </w:r>
            <w:r w:rsidRPr="001750CF">
              <w:rPr>
                <w:rFonts w:cs="Arial"/>
                <w:b/>
                <w:sz w:val="22"/>
                <w:szCs w:val="22"/>
                <w:lang w:eastAsia="zh-CN"/>
              </w:rPr>
              <w:t>utput</w:t>
            </w:r>
            <w:r w:rsidR="00133018" w:rsidRPr="001750CF">
              <w:rPr>
                <w:rFonts w:cs="Arial"/>
                <w:b/>
                <w:sz w:val="22"/>
                <w:szCs w:val="22"/>
                <w:lang w:eastAsia="zh-CN"/>
              </w:rPr>
              <w:t xml:space="preserve"> ID/</w:t>
            </w:r>
            <w:r w:rsidRPr="001750CF">
              <w:rPr>
                <w:rFonts w:cs="Arial"/>
                <w:b/>
                <w:sz w:val="22"/>
                <w:szCs w:val="22"/>
              </w:rPr>
              <w:t>Project ID</w:t>
            </w:r>
            <w:r w:rsidR="0089430E" w:rsidRPr="001750CF">
              <w:rPr>
                <w:rFonts w:cs="Arial"/>
                <w:b/>
                <w:sz w:val="22"/>
                <w:szCs w:val="22"/>
              </w:rPr>
              <w:t xml:space="preserve"> number</w:t>
            </w:r>
            <w:r w:rsidRPr="001750CF">
              <w:rPr>
                <w:rFonts w:cs="Arial"/>
                <w:b/>
                <w:sz w:val="22"/>
                <w:szCs w:val="22"/>
              </w:rPr>
              <w:t xml:space="preserve">:  </w:t>
            </w:r>
            <w:r w:rsidR="001750CF" w:rsidRPr="001750CF">
              <w:rPr>
                <w:rStyle w:val="s1"/>
                <w:sz w:val="22"/>
                <w:szCs w:val="22"/>
              </w:rPr>
              <w:t>00101058</w:t>
            </w:r>
          </w:p>
          <w:p w14:paraId="6223018D" w14:textId="1EB78827" w:rsidR="0077088A" w:rsidRPr="001750CF" w:rsidRDefault="0077088A" w:rsidP="00A7241D">
            <w:pPr>
              <w:rPr>
                <w:rFonts w:cs="Arial"/>
                <w:b/>
                <w:szCs w:val="22"/>
              </w:rPr>
            </w:pPr>
          </w:p>
        </w:tc>
      </w:tr>
      <w:tr w:rsidR="0077088A" w:rsidRPr="006004D1" w14:paraId="2524A5B9" w14:textId="77777777" w:rsidTr="00D63A31">
        <w:trPr>
          <w:trHeight w:val="347"/>
        </w:trPr>
        <w:tc>
          <w:tcPr>
            <w:tcW w:w="4585" w:type="dxa"/>
            <w:gridSpan w:val="2"/>
            <w:shd w:val="clear" w:color="auto" w:fill="auto"/>
          </w:tcPr>
          <w:p w14:paraId="2B4E9106" w14:textId="77777777" w:rsidR="0077088A" w:rsidRPr="006004D1" w:rsidRDefault="0077088A" w:rsidP="00CD3547">
            <w:pPr>
              <w:rPr>
                <w:rFonts w:cs="Arial"/>
                <w:b/>
                <w:szCs w:val="20"/>
                <w:lang w:eastAsia="zh-CN"/>
              </w:rPr>
            </w:pPr>
            <w:r w:rsidRPr="006004D1">
              <w:rPr>
                <w:rFonts w:cs="Arial"/>
                <w:b/>
                <w:szCs w:val="20"/>
                <w:lang w:eastAsia="zh-CN"/>
              </w:rPr>
              <w:t>UNDP-GEF PIMS ID</w:t>
            </w:r>
            <w:r w:rsidR="0089430E" w:rsidRPr="006004D1">
              <w:rPr>
                <w:rFonts w:cs="Arial"/>
                <w:b/>
                <w:szCs w:val="20"/>
                <w:lang w:eastAsia="zh-CN"/>
              </w:rPr>
              <w:t xml:space="preserve"> number</w:t>
            </w:r>
            <w:r w:rsidRPr="006004D1">
              <w:rPr>
                <w:rFonts w:cs="Arial"/>
                <w:b/>
                <w:szCs w:val="20"/>
                <w:lang w:eastAsia="zh-CN"/>
              </w:rPr>
              <w:t xml:space="preserve">:  </w:t>
            </w:r>
            <w:r w:rsidR="006379F5" w:rsidRPr="00D32A30">
              <w:rPr>
                <w:rFonts w:cs="Arial"/>
                <w:szCs w:val="20"/>
                <w:lang w:eastAsia="zh-CN"/>
              </w:rPr>
              <w:t>5490</w:t>
            </w:r>
          </w:p>
        </w:tc>
        <w:tc>
          <w:tcPr>
            <w:tcW w:w="5693" w:type="dxa"/>
            <w:gridSpan w:val="2"/>
            <w:shd w:val="clear" w:color="auto" w:fill="auto"/>
          </w:tcPr>
          <w:p w14:paraId="001E4AB5" w14:textId="77777777" w:rsidR="0077088A" w:rsidRPr="006004D1" w:rsidRDefault="0077088A" w:rsidP="00D63A31">
            <w:pPr>
              <w:widowControl w:val="0"/>
              <w:autoSpaceDE w:val="0"/>
              <w:autoSpaceDN w:val="0"/>
              <w:adjustRightInd w:val="0"/>
              <w:rPr>
                <w:rFonts w:cs="Arial"/>
                <w:b/>
                <w:szCs w:val="20"/>
                <w:lang w:eastAsia="zh-CN"/>
              </w:rPr>
            </w:pPr>
            <w:r w:rsidRPr="006004D1">
              <w:rPr>
                <w:rFonts w:cs="Arial"/>
                <w:b/>
                <w:szCs w:val="20"/>
                <w:lang w:eastAsia="zh-CN"/>
              </w:rPr>
              <w:t>GEF ID</w:t>
            </w:r>
            <w:r w:rsidR="0089430E" w:rsidRPr="006004D1">
              <w:rPr>
                <w:rFonts w:cs="Arial"/>
                <w:b/>
                <w:szCs w:val="20"/>
                <w:lang w:eastAsia="zh-CN"/>
              </w:rPr>
              <w:t xml:space="preserve"> number</w:t>
            </w:r>
            <w:r w:rsidRPr="006004D1">
              <w:rPr>
                <w:rFonts w:cs="Arial"/>
                <w:b/>
                <w:szCs w:val="20"/>
                <w:lang w:eastAsia="zh-CN"/>
              </w:rPr>
              <w:t>:</w:t>
            </w:r>
            <w:r w:rsidR="00CD3547" w:rsidRPr="006004D1">
              <w:rPr>
                <w:rFonts w:cs="Arial"/>
                <w:b/>
                <w:szCs w:val="20"/>
                <w:lang w:eastAsia="zh-CN"/>
              </w:rPr>
              <w:t xml:space="preserve"> </w:t>
            </w:r>
            <w:r w:rsidR="00076539" w:rsidRPr="00D32A30">
              <w:rPr>
                <w:rFonts w:cs="Arial"/>
                <w:szCs w:val="20"/>
                <w:lang w:eastAsia="zh-CN"/>
              </w:rPr>
              <w:t>9192</w:t>
            </w:r>
          </w:p>
        </w:tc>
      </w:tr>
      <w:tr w:rsidR="0077088A" w:rsidRPr="006004D1" w14:paraId="388EEAF3" w14:textId="77777777" w:rsidTr="00D63A31">
        <w:trPr>
          <w:trHeight w:val="419"/>
        </w:trPr>
        <w:tc>
          <w:tcPr>
            <w:tcW w:w="4585" w:type="dxa"/>
            <w:gridSpan w:val="2"/>
            <w:shd w:val="clear" w:color="auto" w:fill="auto"/>
          </w:tcPr>
          <w:p w14:paraId="09F664E2" w14:textId="7ECD5B47" w:rsidR="0077088A" w:rsidRPr="00851325" w:rsidRDefault="0077088A" w:rsidP="00C80752">
            <w:pPr>
              <w:rPr>
                <w:rFonts w:cs="Arial"/>
                <w:b/>
                <w:szCs w:val="20"/>
              </w:rPr>
            </w:pPr>
            <w:r w:rsidRPr="00851325">
              <w:rPr>
                <w:rFonts w:cs="Arial"/>
                <w:b/>
                <w:szCs w:val="20"/>
              </w:rPr>
              <w:t xml:space="preserve">Planned start date: </w:t>
            </w:r>
            <w:r w:rsidR="00A02741">
              <w:rPr>
                <w:rFonts w:cs="Arial"/>
                <w:szCs w:val="20"/>
              </w:rPr>
              <w:t>November</w:t>
            </w:r>
            <w:r w:rsidR="00D63A31" w:rsidRPr="00851325">
              <w:rPr>
                <w:rFonts w:cs="Arial"/>
                <w:szCs w:val="20"/>
              </w:rPr>
              <w:t xml:space="preserve"> </w:t>
            </w:r>
            <w:r w:rsidR="00FB6EC8" w:rsidRPr="00851325">
              <w:rPr>
                <w:rFonts w:cs="Arial"/>
                <w:szCs w:val="20"/>
              </w:rPr>
              <w:t>2017</w:t>
            </w:r>
          </w:p>
        </w:tc>
        <w:tc>
          <w:tcPr>
            <w:tcW w:w="5693" w:type="dxa"/>
            <w:gridSpan w:val="2"/>
            <w:shd w:val="clear" w:color="auto" w:fill="auto"/>
          </w:tcPr>
          <w:p w14:paraId="4C88D637" w14:textId="17719982" w:rsidR="0077088A" w:rsidRPr="004622EC" w:rsidRDefault="0077088A" w:rsidP="00C80752">
            <w:pPr>
              <w:rPr>
                <w:rFonts w:eastAsia="Times New Roman"/>
                <w:szCs w:val="22"/>
              </w:rPr>
            </w:pPr>
            <w:r w:rsidRPr="00851325">
              <w:rPr>
                <w:rFonts w:cs="Arial"/>
                <w:b/>
                <w:szCs w:val="20"/>
              </w:rPr>
              <w:t xml:space="preserve">Planned end date: </w:t>
            </w:r>
            <w:r w:rsidR="00A02741">
              <w:rPr>
                <w:rFonts w:eastAsia="Times New Roman"/>
                <w:szCs w:val="22"/>
              </w:rPr>
              <w:t>October</w:t>
            </w:r>
            <w:r w:rsidR="00D63A31" w:rsidRPr="00851325">
              <w:rPr>
                <w:rFonts w:eastAsia="Times New Roman"/>
                <w:szCs w:val="22"/>
              </w:rPr>
              <w:t xml:space="preserve"> </w:t>
            </w:r>
            <w:r w:rsidR="00FB6EC8" w:rsidRPr="00851325">
              <w:rPr>
                <w:rFonts w:eastAsia="Times New Roman"/>
                <w:szCs w:val="22"/>
              </w:rPr>
              <w:t>2022</w:t>
            </w:r>
          </w:p>
        </w:tc>
      </w:tr>
      <w:tr w:rsidR="00133018" w:rsidRPr="006004D1" w14:paraId="4D151DEC" w14:textId="77777777" w:rsidTr="003E6878">
        <w:tc>
          <w:tcPr>
            <w:tcW w:w="10278" w:type="dxa"/>
            <w:gridSpan w:val="4"/>
            <w:shd w:val="clear" w:color="auto" w:fill="auto"/>
          </w:tcPr>
          <w:p w14:paraId="5DD8467D" w14:textId="68AC5E53" w:rsidR="00051A25" w:rsidRPr="006004D1" w:rsidRDefault="00133018" w:rsidP="00A7241D">
            <w:pPr>
              <w:spacing w:after="240"/>
              <w:rPr>
                <w:rFonts w:cs="Segoe UI"/>
                <w:color w:val="000000"/>
                <w:szCs w:val="20"/>
              </w:rPr>
            </w:pPr>
            <w:r w:rsidRPr="006004D1">
              <w:rPr>
                <w:rFonts w:cs="Arial"/>
                <w:b/>
                <w:szCs w:val="20"/>
              </w:rPr>
              <w:t xml:space="preserve">LPAC date: </w:t>
            </w:r>
            <w:r w:rsidR="00A02741">
              <w:rPr>
                <w:rFonts w:cs="Arial"/>
                <w:szCs w:val="20"/>
              </w:rPr>
              <w:t>10 October 2017</w:t>
            </w:r>
          </w:p>
        </w:tc>
      </w:tr>
      <w:tr w:rsidR="009E44C7" w:rsidRPr="006004D1" w14:paraId="65659B33" w14:textId="77777777" w:rsidTr="003E6878">
        <w:tc>
          <w:tcPr>
            <w:tcW w:w="10278" w:type="dxa"/>
            <w:gridSpan w:val="4"/>
            <w:shd w:val="clear" w:color="auto" w:fill="auto"/>
          </w:tcPr>
          <w:p w14:paraId="3E29D1E2" w14:textId="77777777" w:rsidR="0076430E" w:rsidRPr="004622EC" w:rsidRDefault="009E44C7" w:rsidP="00D63A31">
            <w:pPr>
              <w:rPr>
                <w:color w:val="FF0000"/>
              </w:rPr>
            </w:pPr>
            <w:r w:rsidRPr="006004D1">
              <w:rPr>
                <w:rFonts w:cs="Arial"/>
                <w:b/>
                <w:szCs w:val="20"/>
              </w:rPr>
              <w:t>Brief project description:</w:t>
            </w:r>
            <w:r w:rsidR="0089430E" w:rsidRPr="006004D1">
              <w:rPr>
                <w:rFonts w:cs="Arial"/>
                <w:b/>
                <w:szCs w:val="20"/>
              </w:rPr>
              <w:t xml:space="preserve"> </w:t>
            </w:r>
            <w:r w:rsidR="00611C2D" w:rsidRPr="004622EC">
              <w:t>The objective</w:t>
            </w:r>
            <w:r w:rsidR="00611C2D" w:rsidRPr="006004D1">
              <w:t xml:space="preserve"> of the project is to promote private</w:t>
            </w:r>
            <w:r w:rsidR="0076430E">
              <w:t xml:space="preserve"> </w:t>
            </w:r>
            <w:r w:rsidR="00611C2D" w:rsidRPr="006004D1">
              <w:t xml:space="preserve">sector investment in renewable energy in Kazakhstan </w:t>
            </w:r>
            <w:r w:rsidR="00CC7279" w:rsidRPr="006004D1">
              <w:rPr>
                <w:bCs/>
                <w:iCs/>
                <w:color w:val="000000"/>
                <w:lang w:val="en-GB"/>
              </w:rPr>
              <w:t>to</w:t>
            </w:r>
            <w:r w:rsidR="00611C2D" w:rsidRPr="006004D1">
              <w:rPr>
                <w:bCs/>
                <w:iCs/>
                <w:color w:val="000000"/>
                <w:lang w:val="en-GB"/>
              </w:rPr>
              <w:t xml:space="preserve"> achieve Kazakhstan’s</w:t>
            </w:r>
            <w:r w:rsidR="00611C2D" w:rsidRPr="006004D1">
              <w:t xml:space="preserve"> 2030 and 2050 targets for renewable energy. The project target</w:t>
            </w:r>
            <w:r w:rsidR="00097444">
              <w:t>s</w:t>
            </w:r>
            <w:r w:rsidR="00611C2D" w:rsidRPr="006004D1">
              <w:t xml:space="preserve"> both large-scale </w:t>
            </w:r>
            <w:r w:rsidR="00611C2D" w:rsidRPr="004622EC">
              <w:t>and</w:t>
            </w:r>
            <w:r w:rsidR="00611C2D" w:rsidRPr="0076430E">
              <w:t xml:space="preserve"> </w:t>
            </w:r>
            <w:r w:rsidR="00611C2D" w:rsidRPr="006004D1">
              <w:t xml:space="preserve">small-scale renewable energy. The </w:t>
            </w:r>
            <w:r w:rsidR="00CC7279" w:rsidRPr="006004D1">
              <w:t>goal</w:t>
            </w:r>
            <w:r w:rsidR="00611C2D" w:rsidRPr="0076430E">
              <w:t xml:space="preserve"> </w:t>
            </w:r>
            <w:r w:rsidR="00611C2D" w:rsidRPr="006004D1">
              <w:t xml:space="preserve">of this project is to achieve energy market transformation in Kazakhstan by significantly scaling-up the deployment of renewable energy in electricity generation, from </w:t>
            </w:r>
            <w:r w:rsidR="0076430E">
              <w:t>a</w:t>
            </w:r>
            <w:r w:rsidR="00611C2D" w:rsidRPr="006004D1">
              <w:t xml:space="preserve"> </w:t>
            </w:r>
            <w:r w:rsidR="00D72F99">
              <w:t>0.77</w:t>
            </w:r>
            <w:r w:rsidR="00611C2D" w:rsidRPr="006004D1">
              <w:t xml:space="preserve">% share of </w:t>
            </w:r>
            <w:r w:rsidR="00E37AE8">
              <w:t xml:space="preserve">renewable energy </w:t>
            </w:r>
            <w:r w:rsidR="00611C2D" w:rsidRPr="006004D1">
              <w:t>to</w:t>
            </w:r>
            <w:r w:rsidR="0076430E">
              <w:t xml:space="preserve"> a</w:t>
            </w:r>
            <w:r w:rsidR="00611C2D" w:rsidRPr="006004D1">
              <w:t xml:space="preserve"> </w:t>
            </w:r>
            <w:r w:rsidR="00D32A30">
              <w:t>10</w:t>
            </w:r>
            <w:r w:rsidR="00611C2D" w:rsidRPr="006004D1">
              <w:t xml:space="preserve">% share by 2030, which makes for 10-fold increase in </w:t>
            </w:r>
            <w:r w:rsidR="00E37AE8">
              <w:t>renewable energy</w:t>
            </w:r>
            <w:r w:rsidR="00611C2D" w:rsidRPr="006004D1">
              <w:t>-based energy generation to be facilitated by the project.</w:t>
            </w:r>
            <w:r w:rsidR="00F03615">
              <w:t xml:space="preserve"> </w:t>
            </w:r>
            <w:r w:rsidR="00611C2D" w:rsidRPr="006004D1">
              <w:t>In large-scale renewable energy, the project will promote Kazakhstan as a prime destination for international investment. Technologies will include wind energy</w:t>
            </w:r>
            <w:r w:rsidR="0076430E">
              <w:t xml:space="preserve"> and</w:t>
            </w:r>
            <w:r w:rsidR="0076430E" w:rsidRPr="006004D1">
              <w:t xml:space="preserve"> </w:t>
            </w:r>
            <w:r w:rsidR="00611C2D" w:rsidRPr="006004D1">
              <w:t>solar photovoltaic (PV)</w:t>
            </w:r>
            <w:r w:rsidR="0029163A">
              <w:t>.</w:t>
            </w:r>
            <w:r w:rsidR="00611C2D" w:rsidRPr="006004D1">
              <w:t xml:space="preserve"> In small-scale renewable energy, the project will promote investment in “RES for urban life”, on-grid small-scale </w:t>
            </w:r>
            <w:r w:rsidR="00E37AE8">
              <w:t>renewable energy</w:t>
            </w:r>
            <w:r w:rsidR="00E37AE8" w:rsidRPr="006004D1">
              <w:t xml:space="preserve"> </w:t>
            </w:r>
            <w:r w:rsidR="00611C2D" w:rsidRPr="006004D1">
              <w:t>applications</w:t>
            </w:r>
            <w:r w:rsidR="0076430E">
              <w:t>,</w:t>
            </w:r>
            <w:r w:rsidR="00611C2D" w:rsidRPr="006004D1">
              <w:t xml:space="preserve"> targeting urban households and businesses</w:t>
            </w:r>
            <w:r w:rsidR="0076430E">
              <w:t>;</w:t>
            </w:r>
            <w:r w:rsidR="00611C2D" w:rsidRPr="006004D1">
              <w:t xml:space="preserve"> and “RES for rural life”, both on-grid and off-grid small-scale </w:t>
            </w:r>
            <w:r w:rsidR="00E37AE8">
              <w:t>renewable energy</w:t>
            </w:r>
            <w:r w:rsidR="00611C2D" w:rsidRPr="006004D1">
              <w:t xml:space="preserve"> applications, targeting farms and rural SMEs. Technologies may include solar PV (</w:t>
            </w:r>
            <w:r w:rsidR="00323899">
              <w:t xml:space="preserve">roof-top), solar water heating and </w:t>
            </w:r>
            <w:r w:rsidR="00611C2D" w:rsidRPr="006004D1">
              <w:t>small-scale wind. The project will promote the latest business and finance models for small-scale RES developers (for example, third-party ownership models</w:t>
            </w:r>
            <w:r w:rsidR="00611C2D" w:rsidRPr="00FB6EC8">
              <w:t>).</w:t>
            </w:r>
            <w:r w:rsidR="0076430E" w:rsidRPr="00FB6EC8">
              <w:t xml:space="preserve"> </w:t>
            </w:r>
            <w:r w:rsidR="00097444">
              <w:t xml:space="preserve">The design and </w:t>
            </w:r>
            <w:r w:rsidR="00C953AA">
              <w:t>implementation</w:t>
            </w:r>
            <w:r w:rsidR="00097444">
              <w:t xml:space="preserve"> of this project make use of the ‘</w:t>
            </w:r>
            <w:r w:rsidR="00097444" w:rsidRPr="004622EC">
              <w:t>Derisking Renewable Energy Investment</w:t>
            </w:r>
            <w:r w:rsidR="00097444">
              <w:t>’ (</w:t>
            </w:r>
            <w:r w:rsidR="00097444" w:rsidRPr="004622EC">
              <w:t>DREI</w:t>
            </w:r>
            <w:r w:rsidR="00097444">
              <w:t xml:space="preserve">) methodology developed by UNDP, which is a model for </w:t>
            </w:r>
            <w:r w:rsidR="00097444" w:rsidRPr="004622EC">
              <w:t>quantitative</w:t>
            </w:r>
            <w:r w:rsidR="00097444">
              <w:t xml:space="preserve"> and qualitative</w:t>
            </w:r>
            <w:r w:rsidR="00097444" w:rsidRPr="00FB6EC8">
              <w:t xml:space="preserve"> comparison of</w:t>
            </w:r>
            <w:r w:rsidR="00097444" w:rsidRPr="004622EC">
              <w:t xml:space="preserve"> the cost-effectiveness of different public instruments in promoting renewable energy investment</w:t>
            </w:r>
            <w:r w:rsidR="00097444">
              <w:t>.</w:t>
            </w:r>
          </w:p>
        </w:tc>
      </w:tr>
    </w:tbl>
    <w:p w14:paraId="05FFD40A" w14:textId="77777777" w:rsidR="0076430E" w:rsidRDefault="0076430E"/>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450"/>
        <w:gridCol w:w="1170"/>
        <w:gridCol w:w="4523"/>
      </w:tblGrid>
      <w:tr w:rsidR="0077088A" w:rsidRPr="006004D1" w14:paraId="4BE801F2" w14:textId="77777777" w:rsidTr="003E6878">
        <w:tc>
          <w:tcPr>
            <w:tcW w:w="10278" w:type="dxa"/>
            <w:gridSpan w:val="4"/>
            <w:shd w:val="clear" w:color="auto" w:fill="D9D9D9"/>
          </w:tcPr>
          <w:p w14:paraId="4276354F" w14:textId="77777777" w:rsidR="0077088A" w:rsidRPr="006004D1" w:rsidRDefault="0077088A" w:rsidP="004622EC">
            <w:pPr>
              <w:keepNext/>
              <w:spacing w:before="120" w:after="120"/>
              <w:rPr>
                <w:rFonts w:cs="Arial"/>
                <w:b/>
                <w:smallCaps/>
                <w:szCs w:val="20"/>
              </w:rPr>
            </w:pPr>
            <w:r w:rsidRPr="006004D1">
              <w:rPr>
                <w:rFonts w:cs="Arial"/>
                <w:b/>
                <w:smallCaps/>
                <w:szCs w:val="20"/>
              </w:rPr>
              <w:lastRenderedPageBreak/>
              <w:t>Financing Plan</w:t>
            </w:r>
          </w:p>
        </w:tc>
      </w:tr>
      <w:tr w:rsidR="0077088A" w:rsidRPr="009A5A83" w14:paraId="656F5FB3" w14:textId="77777777" w:rsidTr="003E6878">
        <w:tc>
          <w:tcPr>
            <w:tcW w:w="4585" w:type="dxa"/>
            <w:gridSpan w:val="2"/>
            <w:shd w:val="clear" w:color="auto" w:fill="auto"/>
          </w:tcPr>
          <w:p w14:paraId="1E9F907C" w14:textId="77777777" w:rsidR="0077088A" w:rsidRPr="004622EC" w:rsidRDefault="0077088A" w:rsidP="004622EC">
            <w:pPr>
              <w:keepNext/>
              <w:keepLines/>
              <w:rPr>
                <w:rFonts w:cs="Arial"/>
                <w:szCs w:val="22"/>
              </w:rPr>
            </w:pPr>
            <w:r w:rsidRPr="004622EC">
              <w:rPr>
                <w:rFonts w:cs="Arial"/>
                <w:szCs w:val="22"/>
              </w:rPr>
              <w:t>GEF Trust Fund or LDCF or SCCF or other vertical fund</w:t>
            </w:r>
            <w:r w:rsidR="009A5A83" w:rsidRPr="004622EC">
              <w:rPr>
                <w:rFonts w:cs="Arial"/>
                <w:szCs w:val="22"/>
              </w:rPr>
              <w:t xml:space="preserve"> (US$)</w:t>
            </w:r>
          </w:p>
        </w:tc>
        <w:tc>
          <w:tcPr>
            <w:tcW w:w="5693" w:type="dxa"/>
            <w:gridSpan w:val="2"/>
            <w:shd w:val="clear" w:color="auto" w:fill="auto"/>
          </w:tcPr>
          <w:p w14:paraId="6A76AA47" w14:textId="77777777" w:rsidR="0077088A" w:rsidRPr="004622EC" w:rsidRDefault="00CD3547" w:rsidP="004622EC">
            <w:pPr>
              <w:widowControl w:val="0"/>
              <w:autoSpaceDE w:val="0"/>
              <w:autoSpaceDN w:val="0"/>
              <w:adjustRightInd w:val="0"/>
              <w:ind w:right="3129"/>
              <w:jc w:val="right"/>
              <w:rPr>
                <w:rFonts w:cs="Arial"/>
                <w:szCs w:val="22"/>
              </w:rPr>
            </w:pPr>
            <w:r w:rsidRPr="004622EC">
              <w:rPr>
                <w:rFonts w:cs="Arial"/>
                <w:szCs w:val="22"/>
              </w:rPr>
              <w:t>4,510,000</w:t>
            </w:r>
            <w:r w:rsidR="00E1228C">
              <w:rPr>
                <w:rFonts w:cs="Arial"/>
                <w:szCs w:val="22"/>
              </w:rPr>
              <w:t xml:space="preserve"> USD</w:t>
            </w:r>
          </w:p>
        </w:tc>
      </w:tr>
      <w:tr w:rsidR="0077088A" w:rsidRPr="009A5A83" w14:paraId="492C209F" w14:textId="77777777" w:rsidTr="004622EC">
        <w:trPr>
          <w:trHeight w:val="419"/>
        </w:trPr>
        <w:tc>
          <w:tcPr>
            <w:tcW w:w="4585" w:type="dxa"/>
            <w:gridSpan w:val="2"/>
            <w:shd w:val="clear" w:color="auto" w:fill="auto"/>
          </w:tcPr>
          <w:p w14:paraId="7CB7442B" w14:textId="77777777" w:rsidR="0077088A" w:rsidRPr="004622EC" w:rsidRDefault="0077088A" w:rsidP="004622EC">
            <w:pPr>
              <w:rPr>
                <w:rFonts w:cs="Arial"/>
                <w:szCs w:val="22"/>
              </w:rPr>
            </w:pPr>
            <w:r w:rsidRPr="004622EC">
              <w:rPr>
                <w:rFonts w:cs="Arial"/>
                <w:szCs w:val="22"/>
              </w:rPr>
              <w:t>UNDP TRAC resources</w:t>
            </w:r>
            <w:r w:rsidR="009A5A83" w:rsidRPr="004622EC">
              <w:rPr>
                <w:rFonts w:cs="Arial"/>
                <w:szCs w:val="22"/>
              </w:rPr>
              <w:t xml:space="preserve"> (US$)</w:t>
            </w:r>
          </w:p>
        </w:tc>
        <w:tc>
          <w:tcPr>
            <w:tcW w:w="5693" w:type="dxa"/>
            <w:gridSpan w:val="2"/>
            <w:shd w:val="clear" w:color="auto" w:fill="auto"/>
          </w:tcPr>
          <w:p w14:paraId="1DBF2647" w14:textId="77777777" w:rsidR="0077088A" w:rsidRPr="004622EC" w:rsidRDefault="00D63A31" w:rsidP="004622EC">
            <w:pPr>
              <w:widowControl w:val="0"/>
              <w:autoSpaceDE w:val="0"/>
              <w:autoSpaceDN w:val="0"/>
              <w:adjustRightInd w:val="0"/>
              <w:ind w:right="3129"/>
              <w:jc w:val="right"/>
              <w:rPr>
                <w:rFonts w:ascii="Times" w:hAnsi="Times" w:cs="Times"/>
                <w:szCs w:val="22"/>
              </w:rPr>
            </w:pPr>
            <w:r>
              <w:rPr>
                <w:rFonts w:cs="Arial"/>
                <w:szCs w:val="22"/>
              </w:rPr>
              <w:t>0</w:t>
            </w:r>
            <w:r w:rsidR="00E1228C">
              <w:rPr>
                <w:rFonts w:cs="Arial"/>
                <w:szCs w:val="22"/>
              </w:rPr>
              <w:t xml:space="preserve"> USD</w:t>
            </w:r>
          </w:p>
        </w:tc>
      </w:tr>
      <w:tr w:rsidR="0077088A" w:rsidRPr="009A5A83" w14:paraId="688B7160" w14:textId="77777777" w:rsidTr="003E6878">
        <w:tc>
          <w:tcPr>
            <w:tcW w:w="4585" w:type="dxa"/>
            <w:gridSpan w:val="2"/>
            <w:shd w:val="clear" w:color="auto" w:fill="auto"/>
          </w:tcPr>
          <w:p w14:paraId="3CEC61C2" w14:textId="77777777" w:rsidR="0077088A" w:rsidRPr="004622EC" w:rsidRDefault="0077088A" w:rsidP="004622EC">
            <w:pPr>
              <w:rPr>
                <w:rFonts w:cs="Arial"/>
                <w:szCs w:val="22"/>
              </w:rPr>
            </w:pPr>
            <w:r w:rsidRPr="004622EC">
              <w:rPr>
                <w:rFonts w:cs="Arial"/>
                <w:szCs w:val="22"/>
              </w:rPr>
              <w:t>Cash co-financing to be administered by UNDP</w:t>
            </w:r>
            <w:r w:rsidR="009A5A83" w:rsidRPr="004622EC">
              <w:rPr>
                <w:rFonts w:cs="Arial"/>
                <w:szCs w:val="22"/>
              </w:rPr>
              <w:t xml:space="preserve"> (US$)</w:t>
            </w:r>
          </w:p>
        </w:tc>
        <w:tc>
          <w:tcPr>
            <w:tcW w:w="5693" w:type="dxa"/>
            <w:gridSpan w:val="2"/>
            <w:shd w:val="clear" w:color="auto" w:fill="auto"/>
          </w:tcPr>
          <w:p w14:paraId="536F1BD4" w14:textId="77777777" w:rsidR="0077088A" w:rsidRPr="004622EC" w:rsidRDefault="008F43CB" w:rsidP="004622EC">
            <w:pPr>
              <w:widowControl w:val="0"/>
              <w:autoSpaceDE w:val="0"/>
              <w:autoSpaceDN w:val="0"/>
              <w:adjustRightInd w:val="0"/>
              <w:ind w:right="3129"/>
              <w:jc w:val="right"/>
              <w:rPr>
                <w:rFonts w:cs="Arial"/>
                <w:szCs w:val="22"/>
                <w:highlight w:val="red"/>
              </w:rPr>
            </w:pPr>
            <w:r w:rsidRPr="008F43CB">
              <w:rPr>
                <w:rFonts w:cs="Arial"/>
                <w:szCs w:val="22"/>
              </w:rPr>
              <w:t>100,000 USD</w:t>
            </w:r>
          </w:p>
        </w:tc>
      </w:tr>
      <w:tr w:rsidR="0077088A" w:rsidRPr="009A5A83" w14:paraId="393D3269" w14:textId="77777777" w:rsidTr="004622EC">
        <w:trPr>
          <w:trHeight w:val="401"/>
        </w:trPr>
        <w:tc>
          <w:tcPr>
            <w:tcW w:w="4585" w:type="dxa"/>
            <w:gridSpan w:val="2"/>
            <w:shd w:val="clear" w:color="auto" w:fill="auto"/>
          </w:tcPr>
          <w:p w14:paraId="48895627" w14:textId="77777777" w:rsidR="0077088A" w:rsidRPr="004622EC" w:rsidRDefault="0077088A" w:rsidP="0020322F">
            <w:pPr>
              <w:pStyle w:val="afb"/>
              <w:numPr>
                <w:ilvl w:val="0"/>
                <w:numId w:val="42"/>
              </w:numPr>
              <w:jc w:val="center"/>
              <w:rPr>
                <w:rFonts w:ascii="Calibri" w:hAnsi="Calibri" w:cs="Arial"/>
                <w:b/>
                <w:szCs w:val="22"/>
              </w:rPr>
            </w:pPr>
            <w:bookmarkStart w:id="2" w:name="_Ref332974770"/>
            <w:r w:rsidRPr="004622EC">
              <w:rPr>
                <w:rFonts w:ascii="Calibri" w:hAnsi="Calibri" w:cs="Arial"/>
                <w:b/>
                <w:szCs w:val="22"/>
                <w:lang w:eastAsia="zh-CN"/>
              </w:rPr>
              <w:t xml:space="preserve">Total </w:t>
            </w:r>
            <w:r w:rsidRPr="004622EC">
              <w:rPr>
                <w:rFonts w:ascii="Calibri" w:hAnsi="Calibri" w:cs="Arial"/>
                <w:b/>
                <w:szCs w:val="22"/>
              </w:rPr>
              <w:t>Budget administered by UNDP</w:t>
            </w:r>
            <w:bookmarkEnd w:id="2"/>
            <w:r w:rsidR="004622EC">
              <w:rPr>
                <w:rFonts w:ascii="Calibri" w:hAnsi="Calibri" w:cs="Arial"/>
                <w:b/>
                <w:szCs w:val="22"/>
              </w:rPr>
              <w:t xml:space="preserve"> (US$</w:t>
            </w:r>
            <w:r w:rsidR="009A5A83" w:rsidRPr="004622EC">
              <w:rPr>
                <w:rFonts w:ascii="Calibri" w:hAnsi="Calibri" w:cs="Arial"/>
                <w:b/>
                <w:szCs w:val="22"/>
              </w:rPr>
              <w:t>)</w:t>
            </w:r>
          </w:p>
        </w:tc>
        <w:tc>
          <w:tcPr>
            <w:tcW w:w="5693" w:type="dxa"/>
            <w:gridSpan w:val="2"/>
            <w:shd w:val="clear" w:color="auto" w:fill="auto"/>
          </w:tcPr>
          <w:p w14:paraId="57BAEDAF" w14:textId="77777777" w:rsidR="0077088A" w:rsidRPr="008F43CB" w:rsidRDefault="008F43CB" w:rsidP="00BB7229">
            <w:pPr>
              <w:widowControl w:val="0"/>
              <w:autoSpaceDE w:val="0"/>
              <w:autoSpaceDN w:val="0"/>
              <w:adjustRightInd w:val="0"/>
              <w:ind w:right="3129"/>
              <w:jc w:val="right"/>
              <w:rPr>
                <w:rFonts w:cs="Arial"/>
                <w:b/>
                <w:szCs w:val="22"/>
              </w:rPr>
            </w:pPr>
            <w:r>
              <w:rPr>
                <w:rFonts w:cs="Arial"/>
                <w:b/>
                <w:szCs w:val="22"/>
              </w:rPr>
              <w:t>4,610,000 USD</w:t>
            </w:r>
          </w:p>
        </w:tc>
      </w:tr>
      <w:tr w:rsidR="0077088A" w:rsidRPr="006004D1" w14:paraId="1BBDC55B" w14:textId="77777777" w:rsidTr="003E6878">
        <w:tc>
          <w:tcPr>
            <w:tcW w:w="10278" w:type="dxa"/>
            <w:gridSpan w:val="4"/>
            <w:shd w:val="clear" w:color="auto" w:fill="D9D9D9"/>
          </w:tcPr>
          <w:p w14:paraId="7BC3A5D5" w14:textId="77777777" w:rsidR="0077088A" w:rsidRPr="006004D1" w:rsidRDefault="0077088A" w:rsidP="004622EC">
            <w:pPr>
              <w:spacing w:before="120" w:after="120"/>
              <w:rPr>
                <w:rFonts w:cs="Arial"/>
                <w:b/>
                <w:szCs w:val="20"/>
              </w:rPr>
            </w:pPr>
            <w:r w:rsidRPr="006004D1">
              <w:rPr>
                <w:rFonts w:cs="Arial"/>
                <w:b/>
                <w:smallCaps/>
                <w:szCs w:val="20"/>
              </w:rPr>
              <w:t>Parallel co-financing</w:t>
            </w:r>
            <w:r w:rsidR="00F10F99" w:rsidRPr="006004D1">
              <w:rPr>
                <w:rFonts w:cs="Arial"/>
                <w:b/>
                <w:smallCaps/>
                <w:szCs w:val="20"/>
              </w:rPr>
              <w:t xml:space="preserve"> </w:t>
            </w:r>
            <w:r w:rsidR="00F10F99" w:rsidRPr="006004D1">
              <w:rPr>
                <w:rFonts w:cs="Arial"/>
                <w:smallCaps/>
                <w:szCs w:val="20"/>
              </w:rPr>
              <w:t>(</w:t>
            </w:r>
            <w:r w:rsidR="00F10F99" w:rsidRPr="006004D1">
              <w:rPr>
                <w:rFonts w:cs="Arial"/>
                <w:i/>
                <w:szCs w:val="20"/>
              </w:rPr>
              <w:t xml:space="preserve">all other co-financing that is not cash </w:t>
            </w:r>
            <w:r w:rsidR="0004450C" w:rsidRPr="006004D1">
              <w:rPr>
                <w:rFonts w:cs="Arial"/>
                <w:i/>
                <w:szCs w:val="20"/>
              </w:rPr>
              <w:t xml:space="preserve">co-financing </w:t>
            </w:r>
            <w:r w:rsidR="00F10F99" w:rsidRPr="006004D1">
              <w:rPr>
                <w:rFonts w:cs="Arial"/>
                <w:i/>
                <w:szCs w:val="20"/>
              </w:rPr>
              <w:t>administered by UNDP)</w:t>
            </w:r>
            <w:r w:rsidR="009A5A83">
              <w:rPr>
                <w:rFonts w:cs="Arial"/>
                <w:i/>
                <w:szCs w:val="20"/>
              </w:rPr>
              <w:t xml:space="preserve"> (US$)</w:t>
            </w:r>
          </w:p>
        </w:tc>
      </w:tr>
      <w:tr w:rsidR="00296282" w:rsidRPr="00FB6EC8" w14:paraId="6FE33D8A" w14:textId="77777777" w:rsidTr="003E6878">
        <w:trPr>
          <w:trHeight w:val="395"/>
        </w:trPr>
        <w:tc>
          <w:tcPr>
            <w:tcW w:w="4585" w:type="dxa"/>
            <w:gridSpan w:val="2"/>
            <w:shd w:val="clear" w:color="auto" w:fill="auto"/>
          </w:tcPr>
          <w:p w14:paraId="5A48F9F7" w14:textId="77777777" w:rsidR="00296282" w:rsidRPr="004622EC" w:rsidRDefault="00296282" w:rsidP="004622EC">
            <w:pPr>
              <w:rPr>
                <w:rFonts w:cs="Arial"/>
                <w:szCs w:val="22"/>
              </w:rPr>
            </w:pPr>
            <w:r w:rsidRPr="004622EC">
              <w:rPr>
                <w:color w:val="000000"/>
                <w:szCs w:val="22"/>
                <w:lang w:val="en-GB"/>
              </w:rPr>
              <w:t>Ministry of Energy</w:t>
            </w:r>
          </w:p>
        </w:tc>
        <w:tc>
          <w:tcPr>
            <w:tcW w:w="5693" w:type="dxa"/>
            <w:gridSpan w:val="2"/>
            <w:shd w:val="clear" w:color="auto" w:fill="auto"/>
          </w:tcPr>
          <w:p w14:paraId="3CAA64A1" w14:textId="77777777" w:rsidR="00C658DC" w:rsidRPr="004622EC" w:rsidRDefault="0014683C" w:rsidP="002930E0">
            <w:pPr>
              <w:widowControl w:val="0"/>
              <w:autoSpaceDE w:val="0"/>
              <w:autoSpaceDN w:val="0"/>
              <w:adjustRightInd w:val="0"/>
              <w:ind w:right="3129"/>
              <w:jc w:val="right"/>
              <w:rPr>
                <w:rFonts w:cs="Arial"/>
                <w:szCs w:val="22"/>
              </w:rPr>
            </w:pPr>
            <w:r>
              <w:rPr>
                <w:rFonts w:cs="Arial"/>
                <w:szCs w:val="22"/>
              </w:rPr>
              <w:t>3,</w:t>
            </w:r>
            <w:r w:rsidR="002930E0" w:rsidRPr="004622EC">
              <w:rPr>
                <w:rFonts w:cs="Arial"/>
                <w:szCs w:val="22"/>
              </w:rPr>
              <w:t>2</w:t>
            </w:r>
            <w:r w:rsidR="002930E0">
              <w:rPr>
                <w:rFonts w:cs="Arial"/>
                <w:szCs w:val="22"/>
              </w:rPr>
              <w:t>5</w:t>
            </w:r>
            <w:r w:rsidR="002930E0" w:rsidRPr="004622EC">
              <w:rPr>
                <w:rFonts w:cs="Arial"/>
                <w:szCs w:val="22"/>
              </w:rPr>
              <w:t>0</w:t>
            </w:r>
            <w:r w:rsidR="00296282" w:rsidRPr="004622EC">
              <w:rPr>
                <w:rFonts w:cs="Arial"/>
                <w:szCs w:val="22"/>
              </w:rPr>
              <w:t>,000</w:t>
            </w:r>
          </w:p>
        </w:tc>
      </w:tr>
      <w:tr w:rsidR="00B722BB" w:rsidRPr="00FB6EC8" w14:paraId="374AF5A3" w14:textId="77777777" w:rsidTr="003E6878">
        <w:trPr>
          <w:trHeight w:val="395"/>
        </w:trPr>
        <w:tc>
          <w:tcPr>
            <w:tcW w:w="4585" w:type="dxa"/>
            <w:gridSpan w:val="2"/>
            <w:shd w:val="clear" w:color="auto" w:fill="auto"/>
          </w:tcPr>
          <w:p w14:paraId="7BBCDB27" w14:textId="77777777" w:rsidR="00B722BB" w:rsidRPr="004622EC" w:rsidRDefault="00B722BB" w:rsidP="004622EC">
            <w:pPr>
              <w:rPr>
                <w:color w:val="000000"/>
                <w:szCs w:val="22"/>
                <w:lang w:val="en-GB"/>
              </w:rPr>
            </w:pPr>
            <w:r>
              <w:rPr>
                <w:color w:val="000000"/>
                <w:szCs w:val="22"/>
                <w:lang w:val="en-GB"/>
              </w:rPr>
              <w:t>Eurasian Development Bank</w:t>
            </w:r>
          </w:p>
        </w:tc>
        <w:tc>
          <w:tcPr>
            <w:tcW w:w="5693" w:type="dxa"/>
            <w:gridSpan w:val="2"/>
            <w:shd w:val="clear" w:color="auto" w:fill="auto"/>
          </w:tcPr>
          <w:p w14:paraId="17306979" w14:textId="77777777" w:rsidR="00B722BB" w:rsidRDefault="00B722BB" w:rsidP="0014683C">
            <w:pPr>
              <w:widowControl w:val="0"/>
              <w:autoSpaceDE w:val="0"/>
              <w:autoSpaceDN w:val="0"/>
              <w:adjustRightInd w:val="0"/>
              <w:ind w:right="3129"/>
              <w:jc w:val="right"/>
              <w:rPr>
                <w:rFonts w:cs="Arial"/>
                <w:szCs w:val="22"/>
              </w:rPr>
            </w:pPr>
            <w:r>
              <w:rPr>
                <w:rFonts w:cs="Arial"/>
                <w:szCs w:val="22"/>
              </w:rPr>
              <w:t>30,000,000</w:t>
            </w:r>
          </w:p>
        </w:tc>
      </w:tr>
      <w:tr w:rsidR="00296282" w:rsidRPr="00FB6EC8" w14:paraId="48B3CACA" w14:textId="77777777" w:rsidTr="003E6878">
        <w:trPr>
          <w:trHeight w:val="395"/>
        </w:trPr>
        <w:tc>
          <w:tcPr>
            <w:tcW w:w="4585" w:type="dxa"/>
            <w:gridSpan w:val="2"/>
            <w:shd w:val="clear" w:color="auto" w:fill="auto"/>
          </w:tcPr>
          <w:p w14:paraId="51BE4E46" w14:textId="77777777" w:rsidR="00296282" w:rsidRPr="004622EC" w:rsidRDefault="00296282" w:rsidP="004622EC">
            <w:pPr>
              <w:rPr>
                <w:rFonts w:cs="Arial"/>
                <w:szCs w:val="22"/>
              </w:rPr>
            </w:pPr>
            <w:r w:rsidRPr="004622EC">
              <w:rPr>
                <w:color w:val="000000"/>
                <w:szCs w:val="22"/>
                <w:lang w:val="en-GB"/>
              </w:rPr>
              <w:t xml:space="preserve">Ergonomika Ltd </w:t>
            </w:r>
          </w:p>
        </w:tc>
        <w:tc>
          <w:tcPr>
            <w:tcW w:w="5693" w:type="dxa"/>
            <w:gridSpan w:val="2"/>
            <w:shd w:val="clear" w:color="auto" w:fill="auto"/>
          </w:tcPr>
          <w:p w14:paraId="0CCDA807" w14:textId="77777777" w:rsidR="00296282" w:rsidRPr="004622EC" w:rsidRDefault="0014683C" w:rsidP="0014683C">
            <w:pPr>
              <w:widowControl w:val="0"/>
              <w:autoSpaceDE w:val="0"/>
              <w:autoSpaceDN w:val="0"/>
              <w:adjustRightInd w:val="0"/>
              <w:ind w:right="3129"/>
              <w:jc w:val="right"/>
              <w:rPr>
                <w:rFonts w:cs="Arial"/>
                <w:szCs w:val="22"/>
              </w:rPr>
            </w:pPr>
            <w:r>
              <w:rPr>
                <w:rFonts w:cs="Arial"/>
                <w:szCs w:val="22"/>
              </w:rPr>
              <w:t>1</w:t>
            </w:r>
            <w:r w:rsidR="00296282" w:rsidRPr="004622EC">
              <w:rPr>
                <w:rFonts w:cs="Arial"/>
                <w:szCs w:val="22"/>
              </w:rPr>
              <w:t>,</w:t>
            </w:r>
            <w:r>
              <w:rPr>
                <w:rFonts w:cs="Arial"/>
                <w:szCs w:val="22"/>
              </w:rPr>
              <w:t>5</w:t>
            </w:r>
            <w:r w:rsidR="00296282" w:rsidRPr="004622EC">
              <w:rPr>
                <w:rFonts w:cs="Arial"/>
                <w:szCs w:val="22"/>
              </w:rPr>
              <w:t>00,000</w:t>
            </w:r>
          </w:p>
        </w:tc>
      </w:tr>
      <w:tr w:rsidR="00296282" w:rsidRPr="00FB6EC8" w14:paraId="481AA333" w14:textId="77777777" w:rsidTr="003E6878">
        <w:trPr>
          <w:trHeight w:val="395"/>
        </w:trPr>
        <w:tc>
          <w:tcPr>
            <w:tcW w:w="4585" w:type="dxa"/>
            <w:gridSpan w:val="2"/>
            <w:shd w:val="clear" w:color="auto" w:fill="auto"/>
          </w:tcPr>
          <w:p w14:paraId="347794B4" w14:textId="77777777" w:rsidR="00296282" w:rsidRPr="004622EC" w:rsidRDefault="00296282" w:rsidP="004622EC">
            <w:pPr>
              <w:rPr>
                <w:rFonts w:cs="Arial"/>
                <w:szCs w:val="22"/>
              </w:rPr>
            </w:pPr>
            <w:r w:rsidRPr="004622EC">
              <w:rPr>
                <w:szCs w:val="22"/>
              </w:rPr>
              <w:t>JSC International Center for Energy Efficiency “ProEco”</w:t>
            </w:r>
          </w:p>
        </w:tc>
        <w:tc>
          <w:tcPr>
            <w:tcW w:w="5693" w:type="dxa"/>
            <w:gridSpan w:val="2"/>
            <w:shd w:val="clear" w:color="auto" w:fill="auto"/>
          </w:tcPr>
          <w:p w14:paraId="6A9097C0" w14:textId="77777777" w:rsidR="00296282" w:rsidRPr="004622EC" w:rsidRDefault="00296282" w:rsidP="004622EC">
            <w:pPr>
              <w:widowControl w:val="0"/>
              <w:autoSpaceDE w:val="0"/>
              <w:autoSpaceDN w:val="0"/>
              <w:adjustRightInd w:val="0"/>
              <w:ind w:right="3129"/>
              <w:jc w:val="right"/>
              <w:rPr>
                <w:rFonts w:cs="Arial"/>
                <w:szCs w:val="22"/>
              </w:rPr>
            </w:pPr>
            <w:r w:rsidRPr="004622EC">
              <w:rPr>
                <w:rFonts w:cs="Arial"/>
                <w:szCs w:val="22"/>
              </w:rPr>
              <w:t>800,000</w:t>
            </w:r>
          </w:p>
        </w:tc>
      </w:tr>
      <w:tr w:rsidR="00296282" w:rsidRPr="00FB6EC8" w14:paraId="087E6674" w14:textId="77777777" w:rsidTr="004622EC">
        <w:trPr>
          <w:trHeight w:val="437"/>
        </w:trPr>
        <w:tc>
          <w:tcPr>
            <w:tcW w:w="4585" w:type="dxa"/>
            <w:gridSpan w:val="2"/>
            <w:shd w:val="clear" w:color="auto" w:fill="auto"/>
          </w:tcPr>
          <w:p w14:paraId="40F3BE6F" w14:textId="77777777" w:rsidR="00296282" w:rsidRPr="004622EC" w:rsidRDefault="00296282" w:rsidP="004622EC">
            <w:pPr>
              <w:rPr>
                <w:rFonts w:cs="Arial"/>
                <w:szCs w:val="22"/>
              </w:rPr>
            </w:pPr>
            <w:r w:rsidRPr="004622EC">
              <w:rPr>
                <w:szCs w:val="22"/>
              </w:rPr>
              <w:t>JSC Astana Solar</w:t>
            </w:r>
          </w:p>
        </w:tc>
        <w:tc>
          <w:tcPr>
            <w:tcW w:w="5693" w:type="dxa"/>
            <w:gridSpan w:val="2"/>
            <w:shd w:val="clear" w:color="auto" w:fill="auto"/>
          </w:tcPr>
          <w:p w14:paraId="61DD792C" w14:textId="77777777" w:rsidR="00296282" w:rsidRPr="004622EC" w:rsidRDefault="0014683C" w:rsidP="002930E0">
            <w:pPr>
              <w:widowControl w:val="0"/>
              <w:autoSpaceDE w:val="0"/>
              <w:autoSpaceDN w:val="0"/>
              <w:adjustRightInd w:val="0"/>
              <w:ind w:right="3129"/>
              <w:jc w:val="right"/>
              <w:rPr>
                <w:rFonts w:cs="Arial"/>
                <w:szCs w:val="22"/>
              </w:rPr>
            </w:pPr>
            <w:r>
              <w:rPr>
                <w:rFonts w:cs="Arial"/>
                <w:szCs w:val="22"/>
              </w:rPr>
              <w:t>1</w:t>
            </w:r>
            <w:r w:rsidR="00296282" w:rsidRPr="004622EC">
              <w:rPr>
                <w:rFonts w:cs="Arial"/>
                <w:szCs w:val="22"/>
              </w:rPr>
              <w:t>3,</w:t>
            </w:r>
            <w:r w:rsidR="002930E0">
              <w:rPr>
                <w:rFonts w:cs="Arial"/>
                <w:szCs w:val="22"/>
              </w:rPr>
              <w:t>960</w:t>
            </w:r>
            <w:r w:rsidR="00296282" w:rsidRPr="004622EC">
              <w:rPr>
                <w:rFonts w:cs="Arial"/>
                <w:szCs w:val="22"/>
              </w:rPr>
              <w:t>,000</w:t>
            </w:r>
          </w:p>
        </w:tc>
      </w:tr>
      <w:tr w:rsidR="00296282" w:rsidRPr="00FB6EC8" w14:paraId="546584B5" w14:textId="77777777" w:rsidTr="003E6878">
        <w:tc>
          <w:tcPr>
            <w:tcW w:w="4585" w:type="dxa"/>
            <w:gridSpan w:val="2"/>
            <w:shd w:val="clear" w:color="auto" w:fill="auto"/>
          </w:tcPr>
          <w:p w14:paraId="742D1EF8" w14:textId="77777777" w:rsidR="00296282" w:rsidRPr="004622EC" w:rsidRDefault="00296282" w:rsidP="004622EC">
            <w:pPr>
              <w:rPr>
                <w:szCs w:val="22"/>
              </w:rPr>
            </w:pPr>
            <w:r w:rsidRPr="004622EC">
              <w:rPr>
                <w:szCs w:val="22"/>
              </w:rPr>
              <w:t>Nazarbaev University</w:t>
            </w:r>
            <w:r w:rsidR="0014683C">
              <w:rPr>
                <w:szCs w:val="22"/>
              </w:rPr>
              <w:t xml:space="preserve"> (Kuntech)</w:t>
            </w:r>
          </w:p>
        </w:tc>
        <w:tc>
          <w:tcPr>
            <w:tcW w:w="5693" w:type="dxa"/>
            <w:gridSpan w:val="2"/>
            <w:shd w:val="clear" w:color="auto" w:fill="auto"/>
          </w:tcPr>
          <w:p w14:paraId="0209FE18" w14:textId="77777777" w:rsidR="00296282" w:rsidRPr="004622EC" w:rsidRDefault="00296282" w:rsidP="004622EC">
            <w:pPr>
              <w:widowControl w:val="0"/>
              <w:autoSpaceDE w:val="0"/>
              <w:autoSpaceDN w:val="0"/>
              <w:adjustRightInd w:val="0"/>
              <w:ind w:right="3129"/>
              <w:jc w:val="right"/>
              <w:rPr>
                <w:rFonts w:cs="Arial"/>
                <w:szCs w:val="22"/>
              </w:rPr>
            </w:pPr>
            <w:r w:rsidRPr="004622EC">
              <w:rPr>
                <w:rFonts w:cs="Arial"/>
                <w:szCs w:val="22"/>
              </w:rPr>
              <w:t>300,000</w:t>
            </w:r>
          </w:p>
        </w:tc>
      </w:tr>
      <w:tr w:rsidR="0014683C" w:rsidRPr="00FB6EC8" w14:paraId="5F603A60" w14:textId="77777777" w:rsidTr="003E6878">
        <w:tc>
          <w:tcPr>
            <w:tcW w:w="4585" w:type="dxa"/>
            <w:gridSpan w:val="2"/>
            <w:shd w:val="clear" w:color="auto" w:fill="auto"/>
          </w:tcPr>
          <w:p w14:paraId="55A0F11E" w14:textId="77777777" w:rsidR="0014683C" w:rsidRPr="004622EC" w:rsidRDefault="0014683C" w:rsidP="004622EC">
            <w:pPr>
              <w:rPr>
                <w:szCs w:val="22"/>
              </w:rPr>
            </w:pPr>
            <w:r>
              <w:rPr>
                <w:szCs w:val="22"/>
              </w:rPr>
              <w:t>KazGBC (Kazakhstan Green Building Council)</w:t>
            </w:r>
          </w:p>
        </w:tc>
        <w:tc>
          <w:tcPr>
            <w:tcW w:w="5693" w:type="dxa"/>
            <w:gridSpan w:val="2"/>
            <w:shd w:val="clear" w:color="auto" w:fill="auto"/>
          </w:tcPr>
          <w:p w14:paraId="1A4EE2D1" w14:textId="77777777" w:rsidR="0014683C" w:rsidRPr="004622EC" w:rsidRDefault="0014683C" w:rsidP="004622EC">
            <w:pPr>
              <w:widowControl w:val="0"/>
              <w:autoSpaceDE w:val="0"/>
              <w:autoSpaceDN w:val="0"/>
              <w:adjustRightInd w:val="0"/>
              <w:ind w:right="3129"/>
              <w:jc w:val="right"/>
              <w:rPr>
                <w:rFonts w:cs="Arial"/>
                <w:szCs w:val="22"/>
              </w:rPr>
            </w:pPr>
            <w:r>
              <w:rPr>
                <w:rFonts w:cs="Arial"/>
                <w:szCs w:val="22"/>
              </w:rPr>
              <w:t>300,000</w:t>
            </w:r>
          </w:p>
        </w:tc>
      </w:tr>
      <w:tr w:rsidR="0014683C" w:rsidRPr="00FB6EC8" w14:paraId="24CC199C" w14:textId="77777777" w:rsidTr="003E6878">
        <w:tc>
          <w:tcPr>
            <w:tcW w:w="4585" w:type="dxa"/>
            <w:gridSpan w:val="2"/>
            <w:shd w:val="clear" w:color="auto" w:fill="auto"/>
          </w:tcPr>
          <w:p w14:paraId="09AC5589" w14:textId="77777777" w:rsidR="0014683C" w:rsidRDefault="0014683C" w:rsidP="004622EC">
            <w:pPr>
              <w:rPr>
                <w:szCs w:val="22"/>
              </w:rPr>
            </w:pPr>
            <w:r>
              <w:rPr>
                <w:szCs w:val="22"/>
              </w:rPr>
              <w:t>Enkom ST</w:t>
            </w:r>
            <w:r w:rsidR="003C7606">
              <w:rPr>
                <w:szCs w:val="22"/>
              </w:rPr>
              <w:t xml:space="preserve"> LLP</w:t>
            </w:r>
          </w:p>
        </w:tc>
        <w:tc>
          <w:tcPr>
            <w:tcW w:w="5693" w:type="dxa"/>
            <w:gridSpan w:val="2"/>
            <w:shd w:val="clear" w:color="auto" w:fill="auto"/>
          </w:tcPr>
          <w:p w14:paraId="335A2862" w14:textId="77777777" w:rsidR="0014683C" w:rsidRDefault="003C7606" w:rsidP="004622EC">
            <w:pPr>
              <w:widowControl w:val="0"/>
              <w:autoSpaceDE w:val="0"/>
              <w:autoSpaceDN w:val="0"/>
              <w:adjustRightInd w:val="0"/>
              <w:ind w:right="3129"/>
              <w:jc w:val="right"/>
              <w:rPr>
                <w:rFonts w:cs="Arial"/>
                <w:szCs w:val="22"/>
              </w:rPr>
            </w:pPr>
            <w:r>
              <w:rPr>
                <w:rFonts w:cs="Arial"/>
                <w:szCs w:val="22"/>
              </w:rPr>
              <w:t>800,000</w:t>
            </w:r>
          </w:p>
        </w:tc>
      </w:tr>
      <w:tr w:rsidR="0077088A" w:rsidRPr="00FB6EC8" w14:paraId="0F6B00E9" w14:textId="77777777" w:rsidTr="003E6878">
        <w:tc>
          <w:tcPr>
            <w:tcW w:w="4585" w:type="dxa"/>
            <w:gridSpan w:val="2"/>
            <w:shd w:val="clear" w:color="auto" w:fill="auto"/>
          </w:tcPr>
          <w:p w14:paraId="44FF3FA0" w14:textId="77777777" w:rsidR="0077088A" w:rsidRPr="004622EC" w:rsidRDefault="0077088A" w:rsidP="0020322F">
            <w:pPr>
              <w:pStyle w:val="afb"/>
              <w:numPr>
                <w:ilvl w:val="0"/>
                <w:numId w:val="42"/>
              </w:numPr>
              <w:jc w:val="right"/>
              <w:rPr>
                <w:rFonts w:ascii="Calibri" w:hAnsi="Calibri" w:cs="Arial"/>
                <w:b/>
                <w:szCs w:val="22"/>
              </w:rPr>
            </w:pPr>
            <w:r w:rsidRPr="004622EC">
              <w:rPr>
                <w:rFonts w:ascii="Calibri" w:hAnsi="Calibri" w:cs="Arial"/>
                <w:b/>
                <w:szCs w:val="22"/>
              </w:rPr>
              <w:t>Total co-financing</w:t>
            </w:r>
            <w:r w:rsidR="004622EC">
              <w:rPr>
                <w:rFonts w:ascii="Calibri" w:hAnsi="Calibri" w:cs="Arial"/>
                <w:b/>
                <w:szCs w:val="22"/>
              </w:rPr>
              <w:t xml:space="preserve"> (US$)</w:t>
            </w:r>
          </w:p>
        </w:tc>
        <w:tc>
          <w:tcPr>
            <w:tcW w:w="5693" w:type="dxa"/>
            <w:gridSpan w:val="2"/>
            <w:shd w:val="clear" w:color="auto" w:fill="auto"/>
          </w:tcPr>
          <w:p w14:paraId="0F38C1AF" w14:textId="77777777" w:rsidR="0077088A" w:rsidRPr="002930E0" w:rsidRDefault="00B722BB" w:rsidP="005C7E64">
            <w:pPr>
              <w:widowControl w:val="0"/>
              <w:autoSpaceDE w:val="0"/>
              <w:autoSpaceDN w:val="0"/>
              <w:adjustRightInd w:val="0"/>
              <w:ind w:right="3129"/>
              <w:jc w:val="right"/>
              <w:rPr>
                <w:rFonts w:cs="Arial"/>
                <w:szCs w:val="22"/>
                <w:highlight w:val="red"/>
              </w:rPr>
            </w:pPr>
            <w:r>
              <w:rPr>
                <w:rFonts w:cs="Arial"/>
                <w:b/>
                <w:szCs w:val="22"/>
              </w:rPr>
              <w:t>5</w:t>
            </w:r>
            <w:r w:rsidRPr="002930E0">
              <w:rPr>
                <w:rFonts w:cs="Arial"/>
                <w:b/>
                <w:szCs w:val="22"/>
              </w:rPr>
              <w:t>0</w:t>
            </w:r>
            <w:r w:rsidR="002930E0" w:rsidRPr="002930E0">
              <w:rPr>
                <w:rFonts w:cs="Arial"/>
                <w:b/>
                <w:szCs w:val="22"/>
              </w:rPr>
              <w:t>,</w:t>
            </w:r>
            <w:r w:rsidR="005C7E64">
              <w:rPr>
                <w:rFonts w:cs="Arial"/>
                <w:b/>
                <w:szCs w:val="22"/>
              </w:rPr>
              <w:t>910</w:t>
            </w:r>
            <w:r w:rsidR="002930E0" w:rsidRPr="002930E0">
              <w:rPr>
                <w:rFonts w:cs="Arial"/>
                <w:b/>
                <w:szCs w:val="22"/>
              </w:rPr>
              <w:t>,000</w:t>
            </w:r>
          </w:p>
        </w:tc>
      </w:tr>
      <w:tr w:rsidR="0077088A" w:rsidRPr="00FB6EC8" w14:paraId="15775D1F" w14:textId="77777777" w:rsidTr="003E6878">
        <w:tc>
          <w:tcPr>
            <w:tcW w:w="4585" w:type="dxa"/>
            <w:gridSpan w:val="2"/>
            <w:shd w:val="clear" w:color="auto" w:fill="auto"/>
          </w:tcPr>
          <w:p w14:paraId="170EB62D" w14:textId="77777777" w:rsidR="0077088A" w:rsidRPr="004622EC" w:rsidRDefault="0077088A" w:rsidP="0020322F">
            <w:pPr>
              <w:pStyle w:val="afb"/>
              <w:numPr>
                <w:ilvl w:val="0"/>
                <w:numId w:val="42"/>
              </w:numPr>
              <w:jc w:val="right"/>
              <w:rPr>
                <w:rFonts w:ascii="Calibri" w:hAnsi="Calibri" w:cs="Arial"/>
                <w:b/>
                <w:szCs w:val="22"/>
              </w:rPr>
            </w:pPr>
            <w:r w:rsidRPr="004622EC">
              <w:rPr>
                <w:rFonts w:ascii="Calibri" w:hAnsi="Calibri" w:cs="Arial"/>
                <w:b/>
                <w:szCs w:val="22"/>
                <w:lang w:eastAsia="zh-CN"/>
              </w:rPr>
              <w:t>Grand-</w:t>
            </w:r>
            <w:r w:rsidRPr="004622EC">
              <w:rPr>
                <w:rFonts w:ascii="Calibri" w:hAnsi="Calibri" w:cs="Arial"/>
                <w:b/>
                <w:szCs w:val="22"/>
              </w:rPr>
              <w:t xml:space="preserve">Total Project </w:t>
            </w:r>
            <w:r w:rsidRPr="004622EC">
              <w:rPr>
                <w:rFonts w:ascii="Calibri" w:hAnsi="Calibri" w:cs="Arial"/>
                <w:b/>
                <w:szCs w:val="22"/>
                <w:lang w:eastAsia="zh-CN"/>
              </w:rPr>
              <w:t>Financing (1)+(2)</w:t>
            </w:r>
            <w:r w:rsidR="004622EC">
              <w:rPr>
                <w:rFonts w:ascii="Calibri" w:hAnsi="Calibri" w:cs="Arial"/>
                <w:b/>
                <w:szCs w:val="22"/>
                <w:lang w:eastAsia="zh-CN"/>
              </w:rPr>
              <w:t xml:space="preserve"> (US$)</w:t>
            </w:r>
          </w:p>
        </w:tc>
        <w:tc>
          <w:tcPr>
            <w:tcW w:w="5693" w:type="dxa"/>
            <w:gridSpan w:val="2"/>
            <w:shd w:val="clear" w:color="auto" w:fill="auto"/>
          </w:tcPr>
          <w:p w14:paraId="2A6F936C" w14:textId="77777777" w:rsidR="008D13CD" w:rsidRPr="003B18C4" w:rsidRDefault="008F43CB" w:rsidP="00BB7229">
            <w:pPr>
              <w:widowControl w:val="0"/>
              <w:autoSpaceDE w:val="0"/>
              <w:autoSpaceDN w:val="0"/>
              <w:adjustRightInd w:val="0"/>
              <w:ind w:right="3129"/>
              <w:jc w:val="right"/>
              <w:rPr>
                <w:rFonts w:cs="Arial"/>
                <w:b/>
                <w:szCs w:val="22"/>
                <w:highlight w:val="red"/>
              </w:rPr>
            </w:pPr>
            <w:r w:rsidRPr="008F43CB">
              <w:rPr>
                <w:rFonts w:cs="Arial"/>
                <w:b/>
                <w:szCs w:val="22"/>
              </w:rPr>
              <w:t>55,520,000</w:t>
            </w:r>
          </w:p>
        </w:tc>
      </w:tr>
      <w:tr w:rsidR="0077088A" w:rsidRPr="006004D1" w14:paraId="5FEFEC74" w14:textId="77777777" w:rsidTr="003E6878">
        <w:tc>
          <w:tcPr>
            <w:tcW w:w="10278" w:type="dxa"/>
            <w:gridSpan w:val="4"/>
            <w:shd w:val="clear" w:color="auto" w:fill="BFBFBF"/>
          </w:tcPr>
          <w:p w14:paraId="1F3C1B4C" w14:textId="77777777" w:rsidR="0077088A" w:rsidRPr="006004D1" w:rsidRDefault="0077088A" w:rsidP="004622EC">
            <w:pPr>
              <w:spacing w:before="120" w:after="120"/>
              <w:rPr>
                <w:rFonts w:cs="Arial"/>
                <w:b/>
                <w:smallCaps/>
                <w:szCs w:val="20"/>
              </w:rPr>
            </w:pPr>
            <w:r w:rsidRPr="006004D1">
              <w:rPr>
                <w:rFonts w:cs="Arial"/>
                <w:b/>
                <w:smallCaps/>
                <w:szCs w:val="20"/>
              </w:rPr>
              <w:t>Signatures</w:t>
            </w:r>
          </w:p>
        </w:tc>
      </w:tr>
      <w:tr w:rsidR="0077088A" w:rsidRPr="006004D1" w14:paraId="52CA976A" w14:textId="77777777" w:rsidTr="003E6878">
        <w:tc>
          <w:tcPr>
            <w:tcW w:w="4135" w:type="dxa"/>
            <w:shd w:val="clear" w:color="auto" w:fill="auto"/>
          </w:tcPr>
          <w:p w14:paraId="124F00AD" w14:textId="77777777" w:rsidR="0077088A" w:rsidRPr="004622EC" w:rsidRDefault="0077088A" w:rsidP="0003763F">
            <w:pPr>
              <w:spacing w:after="240"/>
              <w:rPr>
                <w:rFonts w:cs="Arial"/>
                <w:sz w:val="16"/>
                <w:szCs w:val="20"/>
              </w:rPr>
            </w:pPr>
            <w:r w:rsidRPr="006004D1">
              <w:rPr>
                <w:rFonts w:cs="Arial"/>
                <w:b/>
                <w:szCs w:val="20"/>
              </w:rPr>
              <w:t xml:space="preserve">Signature:  </w:t>
            </w:r>
            <w:r w:rsidR="00A21F3D" w:rsidRPr="004622EC">
              <w:rPr>
                <w:rFonts w:cs="Arial"/>
                <w:sz w:val="16"/>
                <w:szCs w:val="20"/>
              </w:rPr>
              <w:t>print name below</w:t>
            </w:r>
          </w:p>
          <w:p w14:paraId="7BD99ADA" w14:textId="77777777" w:rsidR="00A21F3D" w:rsidRPr="006004D1" w:rsidRDefault="00A21F3D" w:rsidP="0003763F">
            <w:pPr>
              <w:spacing w:after="240"/>
              <w:rPr>
                <w:rFonts w:cs="Arial"/>
                <w:b/>
                <w:szCs w:val="20"/>
              </w:rPr>
            </w:pPr>
          </w:p>
        </w:tc>
        <w:tc>
          <w:tcPr>
            <w:tcW w:w="1620" w:type="dxa"/>
            <w:gridSpan w:val="2"/>
            <w:shd w:val="clear" w:color="auto" w:fill="auto"/>
          </w:tcPr>
          <w:p w14:paraId="66168B43" w14:textId="77777777" w:rsidR="0077088A" w:rsidRPr="006004D1" w:rsidRDefault="0077088A" w:rsidP="0003763F">
            <w:pPr>
              <w:spacing w:after="240"/>
              <w:rPr>
                <w:rFonts w:cs="Arial"/>
                <w:b/>
                <w:szCs w:val="20"/>
              </w:rPr>
            </w:pPr>
            <w:r w:rsidRPr="006004D1">
              <w:rPr>
                <w:rFonts w:cs="Arial"/>
                <w:b/>
                <w:szCs w:val="20"/>
              </w:rPr>
              <w:t>Agreed by Government</w:t>
            </w:r>
          </w:p>
        </w:tc>
        <w:tc>
          <w:tcPr>
            <w:tcW w:w="4523" w:type="dxa"/>
            <w:shd w:val="clear" w:color="auto" w:fill="auto"/>
          </w:tcPr>
          <w:p w14:paraId="09E9831A" w14:textId="77777777" w:rsidR="0077088A" w:rsidRPr="006004D1" w:rsidRDefault="0077088A" w:rsidP="0003763F">
            <w:pPr>
              <w:spacing w:after="240"/>
              <w:rPr>
                <w:rFonts w:cs="Arial"/>
                <w:b/>
                <w:szCs w:val="20"/>
              </w:rPr>
            </w:pPr>
            <w:r w:rsidRPr="006004D1">
              <w:rPr>
                <w:rFonts w:cs="Arial"/>
                <w:b/>
                <w:szCs w:val="20"/>
              </w:rPr>
              <w:t>Date/Month/Year:</w:t>
            </w:r>
          </w:p>
          <w:p w14:paraId="5E57364A" w14:textId="77777777" w:rsidR="0077088A" w:rsidRPr="006004D1" w:rsidRDefault="0077088A" w:rsidP="0003763F">
            <w:pPr>
              <w:spacing w:after="240"/>
              <w:rPr>
                <w:rFonts w:cs="Arial"/>
                <w:szCs w:val="20"/>
              </w:rPr>
            </w:pPr>
          </w:p>
        </w:tc>
      </w:tr>
      <w:tr w:rsidR="0077088A" w:rsidRPr="006004D1" w14:paraId="2D1565B2" w14:textId="77777777" w:rsidTr="003E6878">
        <w:tc>
          <w:tcPr>
            <w:tcW w:w="4135" w:type="dxa"/>
            <w:shd w:val="clear" w:color="auto" w:fill="auto"/>
          </w:tcPr>
          <w:p w14:paraId="411F91E1" w14:textId="77777777" w:rsidR="00A21F3D" w:rsidRPr="006004D1" w:rsidRDefault="0077088A" w:rsidP="00A21F3D">
            <w:pPr>
              <w:spacing w:after="240"/>
              <w:rPr>
                <w:rFonts w:cs="Arial"/>
                <w:szCs w:val="20"/>
              </w:rPr>
            </w:pPr>
            <w:r w:rsidRPr="006004D1">
              <w:rPr>
                <w:rFonts w:cs="Arial"/>
                <w:b/>
                <w:szCs w:val="20"/>
              </w:rPr>
              <w:t xml:space="preserve">Signature:  </w:t>
            </w:r>
            <w:r w:rsidR="00A21F3D" w:rsidRPr="004622EC">
              <w:rPr>
                <w:rFonts w:cs="Arial"/>
                <w:sz w:val="16"/>
                <w:szCs w:val="20"/>
              </w:rPr>
              <w:t>print name below</w:t>
            </w:r>
          </w:p>
          <w:p w14:paraId="732C2C71" w14:textId="77777777" w:rsidR="0077088A" w:rsidRPr="006004D1" w:rsidRDefault="0077088A" w:rsidP="0003763F">
            <w:pPr>
              <w:spacing w:after="240"/>
              <w:rPr>
                <w:rFonts w:cs="Arial"/>
                <w:b/>
                <w:szCs w:val="20"/>
              </w:rPr>
            </w:pPr>
          </w:p>
        </w:tc>
        <w:tc>
          <w:tcPr>
            <w:tcW w:w="1620" w:type="dxa"/>
            <w:gridSpan w:val="2"/>
            <w:shd w:val="clear" w:color="auto" w:fill="auto"/>
          </w:tcPr>
          <w:p w14:paraId="00B1E4BD" w14:textId="77777777" w:rsidR="0077088A" w:rsidRPr="006004D1" w:rsidRDefault="0077088A" w:rsidP="0003763F">
            <w:pPr>
              <w:spacing w:after="240"/>
              <w:rPr>
                <w:rFonts w:cs="Arial"/>
                <w:b/>
                <w:szCs w:val="20"/>
              </w:rPr>
            </w:pPr>
            <w:r w:rsidRPr="006004D1">
              <w:rPr>
                <w:rFonts w:cs="Arial"/>
                <w:b/>
                <w:szCs w:val="20"/>
              </w:rPr>
              <w:t>Agreed by Implementing Partner</w:t>
            </w:r>
          </w:p>
        </w:tc>
        <w:tc>
          <w:tcPr>
            <w:tcW w:w="4523" w:type="dxa"/>
            <w:shd w:val="clear" w:color="auto" w:fill="auto"/>
          </w:tcPr>
          <w:p w14:paraId="43A0D989" w14:textId="77777777" w:rsidR="0077088A" w:rsidRPr="006004D1" w:rsidRDefault="0077088A" w:rsidP="0003763F">
            <w:pPr>
              <w:spacing w:after="240"/>
              <w:rPr>
                <w:rFonts w:cs="Arial"/>
                <w:b/>
                <w:szCs w:val="20"/>
              </w:rPr>
            </w:pPr>
            <w:r w:rsidRPr="006004D1">
              <w:rPr>
                <w:rFonts w:cs="Arial"/>
                <w:b/>
                <w:szCs w:val="20"/>
              </w:rPr>
              <w:t>Date/Month/Year:</w:t>
            </w:r>
          </w:p>
          <w:p w14:paraId="0CC6436D" w14:textId="77777777" w:rsidR="0077088A" w:rsidRPr="006004D1" w:rsidRDefault="0077088A" w:rsidP="0003763F">
            <w:pPr>
              <w:spacing w:after="240"/>
              <w:rPr>
                <w:rFonts w:cs="Arial"/>
                <w:b/>
                <w:szCs w:val="20"/>
              </w:rPr>
            </w:pPr>
          </w:p>
        </w:tc>
      </w:tr>
      <w:tr w:rsidR="0077088A" w:rsidRPr="006004D1" w14:paraId="229374BB" w14:textId="77777777" w:rsidTr="003E6878">
        <w:tc>
          <w:tcPr>
            <w:tcW w:w="4135" w:type="dxa"/>
            <w:shd w:val="clear" w:color="auto" w:fill="auto"/>
          </w:tcPr>
          <w:p w14:paraId="28EB20E0" w14:textId="77777777" w:rsidR="00A21F3D" w:rsidRPr="006004D1" w:rsidRDefault="0077088A" w:rsidP="00A21F3D">
            <w:pPr>
              <w:spacing w:after="240"/>
              <w:rPr>
                <w:rFonts w:cs="Arial"/>
                <w:szCs w:val="20"/>
              </w:rPr>
            </w:pPr>
            <w:r w:rsidRPr="006004D1">
              <w:rPr>
                <w:rFonts w:cs="Arial"/>
                <w:b/>
                <w:szCs w:val="20"/>
              </w:rPr>
              <w:t xml:space="preserve">Signature:  </w:t>
            </w:r>
            <w:r w:rsidR="00A21F3D" w:rsidRPr="004622EC">
              <w:rPr>
                <w:rFonts w:cs="Arial"/>
                <w:sz w:val="16"/>
                <w:szCs w:val="20"/>
              </w:rPr>
              <w:t>print name below</w:t>
            </w:r>
          </w:p>
          <w:p w14:paraId="5F590897" w14:textId="77777777" w:rsidR="0077088A" w:rsidRPr="006004D1" w:rsidRDefault="0077088A" w:rsidP="0003763F">
            <w:pPr>
              <w:spacing w:after="240"/>
              <w:rPr>
                <w:rFonts w:cs="Arial"/>
                <w:b/>
                <w:szCs w:val="20"/>
              </w:rPr>
            </w:pPr>
          </w:p>
        </w:tc>
        <w:tc>
          <w:tcPr>
            <w:tcW w:w="1620" w:type="dxa"/>
            <w:gridSpan w:val="2"/>
            <w:shd w:val="clear" w:color="auto" w:fill="auto"/>
          </w:tcPr>
          <w:p w14:paraId="75AB732D" w14:textId="77777777" w:rsidR="0077088A" w:rsidRPr="006004D1" w:rsidRDefault="0077088A" w:rsidP="0003763F">
            <w:pPr>
              <w:spacing w:after="240"/>
              <w:rPr>
                <w:rFonts w:cs="Arial"/>
                <w:b/>
                <w:szCs w:val="20"/>
              </w:rPr>
            </w:pPr>
            <w:r w:rsidRPr="006004D1">
              <w:rPr>
                <w:rFonts w:cs="Arial"/>
                <w:b/>
                <w:szCs w:val="20"/>
              </w:rPr>
              <w:t>Agreed by</w:t>
            </w:r>
            <w:r w:rsidR="008D13CD">
              <w:rPr>
                <w:rFonts w:cs="Arial"/>
                <w:b/>
                <w:szCs w:val="20"/>
              </w:rPr>
              <w:br/>
            </w:r>
            <w:r w:rsidRPr="006004D1">
              <w:rPr>
                <w:rFonts w:cs="Arial"/>
                <w:b/>
                <w:szCs w:val="20"/>
              </w:rPr>
              <w:t>UNDP</w:t>
            </w:r>
          </w:p>
        </w:tc>
        <w:tc>
          <w:tcPr>
            <w:tcW w:w="4523" w:type="dxa"/>
            <w:shd w:val="clear" w:color="auto" w:fill="auto"/>
          </w:tcPr>
          <w:p w14:paraId="4D6E7BE2" w14:textId="77777777" w:rsidR="0077088A" w:rsidRPr="006004D1" w:rsidRDefault="0077088A" w:rsidP="0003763F">
            <w:pPr>
              <w:spacing w:after="240"/>
              <w:rPr>
                <w:rFonts w:cs="Arial"/>
                <w:b/>
                <w:szCs w:val="20"/>
              </w:rPr>
            </w:pPr>
            <w:r w:rsidRPr="006004D1">
              <w:rPr>
                <w:rFonts w:cs="Arial"/>
                <w:b/>
                <w:szCs w:val="20"/>
              </w:rPr>
              <w:t>Date/Month/Year:</w:t>
            </w:r>
          </w:p>
        </w:tc>
      </w:tr>
    </w:tbl>
    <w:p w14:paraId="0DF1E56E" w14:textId="77777777" w:rsidR="00473D26" w:rsidRDefault="00473D26">
      <w:pPr>
        <w:rPr>
          <w:b/>
          <w:smallCaps/>
          <w:spacing w:val="-2"/>
          <w:sz w:val="28"/>
          <w:szCs w:val="20"/>
        </w:rPr>
      </w:pPr>
      <w:r>
        <w:br w:type="page"/>
      </w:r>
    </w:p>
    <w:p w14:paraId="13FB68FB" w14:textId="77777777" w:rsidR="00D64EA4" w:rsidRPr="006004D1" w:rsidRDefault="00D64EA4" w:rsidP="0073518C">
      <w:pPr>
        <w:pStyle w:val="1"/>
        <w:rPr>
          <w:rFonts w:ascii="Calibri" w:hAnsi="Calibri"/>
        </w:rPr>
      </w:pPr>
      <w:bookmarkStart w:id="3" w:name="_Toc479693879"/>
      <w:r w:rsidRPr="006004D1">
        <w:rPr>
          <w:rFonts w:ascii="Calibri" w:hAnsi="Calibri"/>
        </w:rPr>
        <w:lastRenderedPageBreak/>
        <w:t>Table of Contents</w:t>
      </w:r>
      <w:bookmarkEnd w:id="3"/>
    </w:p>
    <w:p w14:paraId="191A5AE0" w14:textId="77777777" w:rsidR="009D307B" w:rsidRDefault="00D64EA4">
      <w:pPr>
        <w:pStyle w:val="11"/>
        <w:rPr>
          <w:rFonts w:asciiTheme="minorHAnsi" w:eastAsiaTheme="minorEastAsia" w:hAnsiTheme="minorHAnsi" w:cstheme="minorBidi"/>
          <w:sz w:val="24"/>
        </w:rPr>
      </w:pPr>
      <w:r w:rsidRPr="006004D1">
        <w:rPr>
          <w:szCs w:val="20"/>
        </w:rPr>
        <w:fldChar w:fldCharType="begin"/>
      </w:r>
      <w:r w:rsidRPr="006004D1">
        <w:rPr>
          <w:szCs w:val="20"/>
        </w:rPr>
        <w:instrText xml:space="preserve"> TOC \o "1-3" \h \z \u </w:instrText>
      </w:r>
      <w:r w:rsidRPr="006004D1">
        <w:rPr>
          <w:szCs w:val="20"/>
        </w:rPr>
        <w:fldChar w:fldCharType="separate"/>
      </w:r>
      <w:hyperlink w:anchor="_Toc479693879" w:history="1">
        <w:r w:rsidR="009D307B" w:rsidRPr="00D5222E">
          <w:rPr>
            <w:rStyle w:val="ae"/>
          </w:rPr>
          <w:t>I.</w:t>
        </w:r>
        <w:r w:rsidR="009D307B">
          <w:rPr>
            <w:rFonts w:asciiTheme="minorHAnsi" w:eastAsiaTheme="minorEastAsia" w:hAnsiTheme="minorHAnsi" w:cstheme="minorBidi"/>
            <w:sz w:val="24"/>
          </w:rPr>
          <w:tab/>
        </w:r>
        <w:r w:rsidR="009D307B" w:rsidRPr="00D5222E">
          <w:rPr>
            <w:rStyle w:val="ae"/>
          </w:rPr>
          <w:t>Table of Contents</w:t>
        </w:r>
        <w:r w:rsidR="009D307B">
          <w:rPr>
            <w:webHidden/>
          </w:rPr>
          <w:tab/>
        </w:r>
        <w:r w:rsidR="009D307B">
          <w:rPr>
            <w:webHidden/>
          </w:rPr>
          <w:fldChar w:fldCharType="begin"/>
        </w:r>
        <w:r w:rsidR="009D307B">
          <w:rPr>
            <w:webHidden/>
          </w:rPr>
          <w:instrText xml:space="preserve"> PAGEREF _Toc479693879 \h </w:instrText>
        </w:r>
        <w:r w:rsidR="009D307B">
          <w:rPr>
            <w:webHidden/>
          </w:rPr>
        </w:r>
        <w:r w:rsidR="009D307B">
          <w:rPr>
            <w:webHidden/>
          </w:rPr>
          <w:fldChar w:fldCharType="separate"/>
        </w:r>
        <w:r w:rsidR="009D307B">
          <w:rPr>
            <w:webHidden/>
          </w:rPr>
          <w:t>iii</w:t>
        </w:r>
        <w:r w:rsidR="009D307B">
          <w:rPr>
            <w:webHidden/>
          </w:rPr>
          <w:fldChar w:fldCharType="end"/>
        </w:r>
      </w:hyperlink>
    </w:p>
    <w:p w14:paraId="231CF8CD" w14:textId="77777777" w:rsidR="009D307B" w:rsidRDefault="00AA15A7">
      <w:pPr>
        <w:pStyle w:val="11"/>
        <w:rPr>
          <w:rFonts w:asciiTheme="minorHAnsi" w:eastAsiaTheme="minorEastAsia" w:hAnsiTheme="minorHAnsi" w:cstheme="minorBidi"/>
          <w:sz w:val="24"/>
        </w:rPr>
      </w:pPr>
      <w:hyperlink w:anchor="_Toc479693880" w:history="1">
        <w:r w:rsidR="009D307B" w:rsidRPr="00D5222E">
          <w:rPr>
            <w:rStyle w:val="ae"/>
          </w:rPr>
          <w:t>II.</w:t>
        </w:r>
        <w:r w:rsidR="009D307B">
          <w:rPr>
            <w:rFonts w:asciiTheme="minorHAnsi" w:eastAsiaTheme="minorEastAsia" w:hAnsiTheme="minorHAnsi" w:cstheme="minorBidi"/>
            <w:sz w:val="24"/>
          </w:rPr>
          <w:tab/>
        </w:r>
        <w:r w:rsidR="009D307B" w:rsidRPr="00D5222E">
          <w:rPr>
            <w:rStyle w:val="ae"/>
          </w:rPr>
          <w:t>Development Challenge</w:t>
        </w:r>
        <w:r w:rsidR="009D307B">
          <w:rPr>
            <w:webHidden/>
          </w:rPr>
          <w:tab/>
        </w:r>
        <w:r w:rsidR="009D307B">
          <w:rPr>
            <w:webHidden/>
          </w:rPr>
          <w:fldChar w:fldCharType="begin"/>
        </w:r>
        <w:r w:rsidR="009D307B">
          <w:rPr>
            <w:webHidden/>
          </w:rPr>
          <w:instrText xml:space="preserve"> PAGEREF _Toc479693880 \h </w:instrText>
        </w:r>
        <w:r w:rsidR="009D307B">
          <w:rPr>
            <w:webHidden/>
          </w:rPr>
        </w:r>
        <w:r w:rsidR="009D307B">
          <w:rPr>
            <w:webHidden/>
          </w:rPr>
          <w:fldChar w:fldCharType="separate"/>
        </w:r>
        <w:r w:rsidR="009D307B">
          <w:rPr>
            <w:webHidden/>
          </w:rPr>
          <w:t>1</w:t>
        </w:r>
        <w:r w:rsidR="009D307B">
          <w:rPr>
            <w:webHidden/>
          </w:rPr>
          <w:fldChar w:fldCharType="end"/>
        </w:r>
      </w:hyperlink>
    </w:p>
    <w:p w14:paraId="29819782" w14:textId="77777777" w:rsidR="009D307B" w:rsidRDefault="00AA15A7">
      <w:pPr>
        <w:pStyle w:val="11"/>
        <w:rPr>
          <w:rFonts w:asciiTheme="minorHAnsi" w:eastAsiaTheme="minorEastAsia" w:hAnsiTheme="minorHAnsi" w:cstheme="minorBidi"/>
          <w:sz w:val="24"/>
        </w:rPr>
      </w:pPr>
      <w:hyperlink w:anchor="_Toc479693881" w:history="1">
        <w:r w:rsidR="009D307B" w:rsidRPr="00D5222E">
          <w:rPr>
            <w:rStyle w:val="ae"/>
          </w:rPr>
          <w:t>III.</w:t>
        </w:r>
        <w:r w:rsidR="009D307B">
          <w:rPr>
            <w:rFonts w:asciiTheme="minorHAnsi" w:eastAsiaTheme="minorEastAsia" w:hAnsiTheme="minorHAnsi" w:cstheme="minorBidi"/>
            <w:sz w:val="24"/>
          </w:rPr>
          <w:tab/>
        </w:r>
        <w:r w:rsidR="009D307B" w:rsidRPr="00D5222E">
          <w:rPr>
            <w:rStyle w:val="ae"/>
          </w:rPr>
          <w:t>Strategy</w:t>
        </w:r>
        <w:r w:rsidR="009D307B">
          <w:rPr>
            <w:webHidden/>
          </w:rPr>
          <w:tab/>
        </w:r>
        <w:r w:rsidR="009D307B">
          <w:rPr>
            <w:webHidden/>
          </w:rPr>
          <w:fldChar w:fldCharType="begin"/>
        </w:r>
        <w:r w:rsidR="009D307B">
          <w:rPr>
            <w:webHidden/>
          </w:rPr>
          <w:instrText xml:space="preserve"> PAGEREF _Toc479693881 \h </w:instrText>
        </w:r>
        <w:r w:rsidR="009D307B">
          <w:rPr>
            <w:webHidden/>
          </w:rPr>
        </w:r>
        <w:r w:rsidR="009D307B">
          <w:rPr>
            <w:webHidden/>
          </w:rPr>
          <w:fldChar w:fldCharType="separate"/>
        </w:r>
        <w:r w:rsidR="009D307B">
          <w:rPr>
            <w:webHidden/>
          </w:rPr>
          <w:t>18</w:t>
        </w:r>
        <w:r w:rsidR="009D307B">
          <w:rPr>
            <w:webHidden/>
          </w:rPr>
          <w:fldChar w:fldCharType="end"/>
        </w:r>
      </w:hyperlink>
    </w:p>
    <w:p w14:paraId="6B9E1131" w14:textId="77777777" w:rsidR="009D307B" w:rsidRDefault="00AA15A7">
      <w:pPr>
        <w:pStyle w:val="11"/>
        <w:rPr>
          <w:rFonts w:asciiTheme="minorHAnsi" w:eastAsiaTheme="minorEastAsia" w:hAnsiTheme="minorHAnsi" w:cstheme="minorBidi"/>
          <w:sz w:val="24"/>
        </w:rPr>
      </w:pPr>
      <w:hyperlink w:anchor="_Toc479693882" w:history="1">
        <w:r w:rsidR="009D307B" w:rsidRPr="00D5222E">
          <w:rPr>
            <w:rStyle w:val="ae"/>
          </w:rPr>
          <w:t>IV.</w:t>
        </w:r>
        <w:r w:rsidR="009D307B">
          <w:rPr>
            <w:rFonts w:asciiTheme="minorHAnsi" w:eastAsiaTheme="minorEastAsia" w:hAnsiTheme="minorHAnsi" w:cstheme="minorBidi"/>
            <w:sz w:val="24"/>
          </w:rPr>
          <w:tab/>
        </w:r>
        <w:r w:rsidR="009D307B" w:rsidRPr="00D5222E">
          <w:rPr>
            <w:rStyle w:val="ae"/>
          </w:rPr>
          <w:t>Results and Partnerships</w:t>
        </w:r>
        <w:r w:rsidR="009D307B">
          <w:rPr>
            <w:webHidden/>
          </w:rPr>
          <w:tab/>
        </w:r>
        <w:r w:rsidR="009D307B">
          <w:rPr>
            <w:webHidden/>
          </w:rPr>
          <w:fldChar w:fldCharType="begin"/>
        </w:r>
        <w:r w:rsidR="009D307B">
          <w:rPr>
            <w:webHidden/>
          </w:rPr>
          <w:instrText xml:space="preserve"> PAGEREF _Toc479693882 \h </w:instrText>
        </w:r>
        <w:r w:rsidR="009D307B">
          <w:rPr>
            <w:webHidden/>
          </w:rPr>
        </w:r>
        <w:r w:rsidR="009D307B">
          <w:rPr>
            <w:webHidden/>
          </w:rPr>
          <w:fldChar w:fldCharType="separate"/>
        </w:r>
        <w:r w:rsidR="009D307B">
          <w:rPr>
            <w:webHidden/>
          </w:rPr>
          <w:t>26</w:t>
        </w:r>
        <w:r w:rsidR="009D307B">
          <w:rPr>
            <w:webHidden/>
          </w:rPr>
          <w:fldChar w:fldCharType="end"/>
        </w:r>
      </w:hyperlink>
    </w:p>
    <w:p w14:paraId="2A068322" w14:textId="77777777" w:rsidR="009D307B" w:rsidRDefault="00AA15A7">
      <w:pPr>
        <w:pStyle w:val="11"/>
        <w:rPr>
          <w:rFonts w:asciiTheme="minorHAnsi" w:eastAsiaTheme="minorEastAsia" w:hAnsiTheme="minorHAnsi" w:cstheme="minorBidi"/>
          <w:sz w:val="24"/>
        </w:rPr>
      </w:pPr>
      <w:hyperlink w:anchor="_Toc479693883" w:history="1">
        <w:r w:rsidR="009D307B" w:rsidRPr="00D5222E">
          <w:rPr>
            <w:rStyle w:val="ae"/>
          </w:rPr>
          <w:t>V.</w:t>
        </w:r>
        <w:r w:rsidR="009D307B">
          <w:rPr>
            <w:rFonts w:asciiTheme="minorHAnsi" w:eastAsiaTheme="minorEastAsia" w:hAnsiTheme="minorHAnsi" w:cstheme="minorBidi"/>
            <w:sz w:val="24"/>
          </w:rPr>
          <w:tab/>
        </w:r>
        <w:r w:rsidR="009D307B" w:rsidRPr="00D5222E">
          <w:rPr>
            <w:rStyle w:val="ae"/>
          </w:rPr>
          <w:t>Feasibility</w:t>
        </w:r>
        <w:r w:rsidR="009D307B">
          <w:rPr>
            <w:webHidden/>
          </w:rPr>
          <w:tab/>
        </w:r>
        <w:r w:rsidR="009D307B">
          <w:rPr>
            <w:webHidden/>
          </w:rPr>
          <w:fldChar w:fldCharType="begin"/>
        </w:r>
        <w:r w:rsidR="009D307B">
          <w:rPr>
            <w:webHidden/>
          </w:rPr>
          <w:instrText xml:space="preserve"> PAGEREF _Toc479693883 \h </w:instrText>
        </w:r>
        <w:r w:rsidR="009D307B">
          <w:rPr>
            <w:webHidden/>
          </w:rPr>
        </w:r>
        <w:r w:rsidR="009D307B">
          <w:rPr>
            <w:webHidden/>
          </w:rPr>
          <w:fldChar w:fldCharType="separate"/>
        </w:r>
        <w:r w:rsidR="009D307B">
          <w:rPr>
            <w:webHidden/>
          </w:rPr>
          <w:t>30</w:t>
        </w:r>
        <w:r w:rsidR="009D307B">
          <w:rPr>
            <w:webHidden/>
          </w:rPr>
          <w:fldChar w:fldCharType="end"/>
        </w:r>
      </w:hyperlink>
    </w:p>
    <w:p w14:paraId="56E16C6B" w14:textId="77777777" w:rsidR="009D307B" w:rsidRDefault="00AA15A7">
      <w:pPr>
        <w:pStyle w:val="11"/>
        <w:rPr>
          <w:rFonts w:asciiTheme="minorHAnsi" w:eastAsiaTheme="minorEastAsia" w:hAnsiTheme="minorHAnsi" w:cstheme="minorBidi"/>
          <w:sz w:val="24"/>
        </w:rPr>
      </w:pPr>
      <w:hyperlink w:anchor="_Toc479693884" w:history="1">
        <w:r w:rsidR="009D307B" w:rsidRPr="00D5222E">
          <w:rPr>
            <w:rStyle w:val="ae"/>
          </w:rPr>
          <w:t>VI.</w:t>
        </w:r>
        <w:r w:rsidR="009D307B">
          <w:rPr>
            <w:rFonts w:asciiTheme="minorHAnsi" w:eastAsiaTheme="minorEastAsia" w:hAnsiTheme="minorHAnsi" w:cstheme="minorBidi"/>
            <w:sz w:val="24"/>
          </w:rPr>
          <w:tab/>
        </w:r>
        <w:r w:rsidR="009D307B" w:rsidRPr="00D5222E">
          <w:rPr>
            <w:rStyle w:val="ae"/>
          </w:rPr>
          <w:t>Project Results Framework</w:t>
        </w:r>
        <w:r w:rsidR="009D307B">
          <w:rPr>
            <w:webHidden/>
          </w:rPr>
          <w:tab/>
        </w:r>
        <w:r w:rsidR="009D307B">
          <w:rPr>
            <w:webHidden/>
          </w:rPr>
          <w:fldChar w:fldCharType="begin"/>
        </w:r>
        <w:r w:rsidR="009D307B">
          <w:rPr>
            <w:webHidden/>
          </w:rPr>
          <w:instrText xml:space="preserve"> PAGEREF _Toc479693884 \h </w:instrText>
        </w:r>
        <w:r w:rsidR="009D307B">
          <w:rPr>
            <w:webHidden/>
          </w:rPr>
        </w:r>
        <w:r w:rsidR="009D307B">
          <w:rPr>
            <w:webHidden/>
          </w:rPr>
          <w:fldChar w:fldCharType="separate"/>
        </w:r>
        <w:r w:rsidR="009D307B">
          <w:rPr>
            <w:webHidden/>
          </w:rPr>
          <w:t>35</w:t>
        </w:r>
        <w:r w:rsidR="009D307B">
          <w:rPr>
            <w:webHidden/>
          </w:rPr>
          <w:fldChar w:fldCharType="end"/>
        </w:r>
      </w:hyperlink>
    </w:p>
    <w:p w14:paraId="21092023" w14:textId="77777777" w:rsidR="009D307B" w:rsidRDefault="00AA15A7">
      <w:pPr>
        <w:pStyle w:val="11"/>
        <w:rPr>
          <w:rFonts w:asciiTheme="minorHAnsi" w:eastAsiaTheme="minorEastAsia" w:hAnsiTheme="minorHAnsi" w:cstheme="minorBidi"/>
          <w:sz w:val="24"/>
        </w:rPr>
      </w:pPr>
      <w:hyperlink w:anchor="_Toc479693885" w:history="1">
        <w:r w:rsidR="009D307B" w:rsidRPr="00D5222E">
          <w:rPr>
            <w:rStyle w:val="ae"/>
          </w:rPr>
          <w:t>VII.</w:t>
        </w:r>
        <w:r w:rsidR="009D307B">
          <w:rPr>
            <w:rFonts w:asciiTheme="minorHAnsi" w:eastAsiaTheme="minorEastAsia" w:hAnsiTheme="minorHAnsi" w:cstheme="minorBidi"/>
            <w:sz w:val="24"/>
          </w:rPr>
          <w:tab/>
        </w:r>
        <w:r w:rsidR="009D307B" w:rsidRPr="00D5222E">
          <w:rPr>
            <w:rStyle w:val="ae"/>
          </w:rPr>
          <w:t>Monitoring and Evaluation (M&amp;E) Plan</w:t>
        </w:r>
        <w:r w:rsidR="009D307B">
          <w:rPr>
            <w:webHidden/>
          </w:rPr>
          <w:tab/>
        </w:r>
        <w:r w:rsidR="009D307B">
          <w:rPr>
            <w:webHidden/>
          </w:rPr>
          <w:fldChar w:fldCharType="begin"/>
        </w:r>
        <w:r w:rsidR="009D307B">
          <w:rPr>
            <w:webHidden/>
          </w:rPr>
          <w:instrText xml:space="preserve"> PAGEREF _Toc479693885 \h </w:instrText>
        </w:r>
        <w:r w:rsidR="009D307B">
          <w:rPr>
            <w:webHidden/>
          </w:rPr>
        </w:r>
        <w:r w:rsidR="009D307B">
          <w:rPr>
            <w:webHidden/>
          </w:rPr>
          <w:fldChar w:fldCharType="separate"/>
        </w:r>
        <w:r w:rsidR="009D307B">
          <w:rPr>
            <w:webHidden/>
          </w:rPr>
          <w:t>38</w:t>
        </w:r>
        <w:r w:rsidR="009D307B">
          <w:rPr>
            <w:webHidden/>
          </w:rPr>
          <w:fldChar w:fldCharType="end"/>
        </w:r>
      </w:hyperlink>
    </w:p>
    <w:p w14:paraId="76229B54" w14:textId="77777777" w:rsidR="009D307B" w:rsidRDefault="00AA15A7">
      <w:pPr>
        <w:pStyle w:val="11"/>
        <w:rPr>
          <w:rFonts w:asciiTheme="minorHAnsi" w:eastAsiaTheme="minorEastAsia" w:hAnsiTheme="minorHAnsi" w:cstheme="minorBidi"/>
          <w:sz w:val="24"/>
        </w:rPr>
      </w:pPr>
      <w:hyperlink w:anchor="_Toc479693886" w:history="1">
        <w:r w:rsidR="009D307B" w:rsidRPr="00D5222E">
          <w:rPr>
            <w:rStyle w:val="ae"/>
          </w:rPr>
          <w:t>VIII.</w:t>
        </w:r>
        <w:r w:rsidR="009D307B">
          <w:rPr>
            <w:rFonts w:asciiTheme="minorHAnsi" w:eastAsiaTheme="minorEastAsia" w:hAnsiTheme="minorHAnsi" w:cstheme="minorBidi"/>
            <w:sz w:val="24"/>
          </w:rPr>
          <w:tab/>
        </w:r>
        <w:r w:rsidR="009D307B" w:rsidRPr="00D5222E">
          <w:rPr>
            <w:rStyle w:val="ae"/>
          </w:rPr>
          <w:t>Governance and Management Arrangements</w:t>
        </w:r>
        <w:r w:rsidR="009D307B">
          <w:rPr>
            <w:webHidden/>
          </w:rPr>
          <w:tab/>
        </w:r>
        <w:r w:rsidR="009D307B">
          <w:rPr>
            <w:webHidden/>
          </w:rPr>
          <w:fldChar w:fldCharType="begin"/>
        </w:r>
        <w:r w:rsidR="009D307B">
          <w:rPr>
            <w:webHidden/>
          </w:rPr>
          <w:instrText xml:space="preserve"> PAGEREF _Toc479693886 \h </w:instrText>
        </w:r>
        <w:r w:rsidR="009D307B">
          <w:rPr>
            <w:webHidden/>
          </w:rPr>
        </w:r>
        <w:r w:rsidR="009D307B">
          <w:rPr>
            <w:webHidden/>
          </w:rPr>
          <w:fldChar w:fldCharType="separate"/>
        </w:r>
        <w:r w:rsidR="009D307B">
          <w:rPr>
            <w:webHidden/>
          </w:rPr>
          <w:t>43</w:t>
        </w:r>
        <w:r w:rsidR="009D307B">
          <w:rPr>
            <w:webHidden/>
          </w:rPr>
          <w:fldChar w:fldCharType="end"/>
        </w:r>
      </w:hyperlink>
    </w:p>
    <w:p w14:paraId="28ADE3B2" w14:textId="77777777" w:rsidR="009D307B" w:rsidRDefault="00AA15A7">
      <w:pPr>
        <w:pStyle w:val="11"/>
        <w:rPr>
          <w:rFonts w:asciiTheme="minorHAnsi" w:eastAsiaTheme="minorEastAsia" w:hAnsiTheme="minorHAnsi" w:cstheme="minorBidi"/>
          <w:sz w:val="24"/>
        </w:rPr>
      </w:pPr>
      <w:hyperlink w:anchor="_Toc479693887" w:history="1">
        <w:r w:rsidR="009D307B" w:rsidRPr="00D5222E">
          <w:rPr>
            <w:rStyle w:val="ae"/>
          </w:rPr>
          <w:t>IX.</w:t>
        </w:r>
        <w:r w:rsidR="009D307B">
          <w:rPr>
            <w:rFonts w:asciiTheme="minorHAnsi" w:eastAsiaTheme="minorEastAsia" w:hAnsiTheme="minorHAnsi" w:cstheme="minorBidi"/>
            <w:sz w:val="24"/>
          </w:rPr>
          <w:tab/>
        </w:r>
        <w:r w:rsidR="009D307B" w:rsidRPr="00D5222E">
          <w:rPr>
            <w:rStyle w:val="ae"/>
          </w:rPr>
          <w:t>Financial Planning and Management</w:t>
        </w:r>
        <w:r w:rsidR="009D307B">
          <w:rPr>
            <w:webHidden/>
          </w:rPr>
          <w:tab/>
        </w:r>
        <w:r w:rsidR="009D307B">
          <w:rPr>
            <w:webHidden/>
          </w:rPr>
          <w:fldChar w:fldCharType="begin"/>
        </w:r>
        <w:r w:rsidR="009D307B">
          <w:rPr>
            <w:webHidden/>
          </w:rPr>
          <w:instrText xml:space="preserve"> PAGEREF _Toc479693887 \h </w:instrText>
        </w:r>
        <w:r w:rsidR="009D307B">
          <w:rPr>
            <w:webHidden/>
          </w:rPr>
        </w:r>
        <w:r w:rsidR="009D307B">
          <w:rPr>
            <w:webHidden/>
          </w:rPr>
          <w:fldChar w:fldCharType="separate"/>
        </w:r>
        <w:r w:rsidR="009D307B">
          <w:rPr>
            <w:webHidden/>
          </w:rPr>
          <w:t>46</w:t>
        </w:r>
        <w:r w:rsidR="009D307B">
          <w:rPr>
            <w:webHidden/>
          </w:rPr>
          <w:fldChar w:fldCharType="end"/>
        </w:r>
      </w:hyperlink>
    </w:p>
    <w:p w14:paraId="3204F902" w14:textId="77777777" w:rsidR="009D307B" w:rsidRDefault="00AA15A7">
      <w:pPr>
        <w:pStyle w:val="11"/>
        <w:rPr>
          <w:rFonts w:asciiTheme="minorHAnsi" w:eastAsiaTheme="minorEastAsia" w:hAnsiTheme="minorHAnsi" w:cstheme="minorBidi"/>
          <w:sz w:val="24"/>
        </w:rPr>
      </w:pPr>
      <w:hyperlink w:anchor="_Toc479693888" w:history="1">
        <w:r w:rsidR="009D307B" w:rsidRPr="00D5222E">
          <w:rPr>
            <w:rStyle w:val="ae"/>
          </w:rPr>
          <w:t>X.</w:t>
        </w:r>
        <w:r w:rsidR="009D307B">
          <w:rPr>
            <w:rFonts w:asciiTheme="minorHAnsi" w:eastAsiaTheme="minorEastAsia" w:hAnsiTheme="minorHAnsi" w:cstheme="minorBidi"/>
            <w:sz w:val="24"/>
          </w:rPr>
          <w:tab/>
        </w:r>
        <w:r w:rsidR="009D307B" w:rsidRPr="00D5222E">
          <w:rPr>
            <w:rStyle w:val="ae"/>
          </w:rPr>
          <w:t>Total Budget and Work Plan</w:t>
        </w:r>
        <w:r w:rsidR="009D307B">
          <w:rPr>
            <w:webHidden/>
          </w:rPr>
          <w:tab/>
        </w:r>
        <w:r w:rsidR="009D307B">
          <w:rPr>
            <w:webHidden/>
          </w:rPr>
          <w:fldChar w:fldCharType="begin"/>
        </w:r>
        <w:r w:rsidR="009D307B">
          <w:rPr>
            <w:webHidden/>
          </w:rPr>
          <w:instrText xml:space="preserve"> PAGEREF _Toc479693888 \h </w:instrText>
        </w:r>
        <w:r w:rsidR="009D307B">
          <w:rPr>
            <w:webHidden/>
          </w:rPr>
        </w:r>
        <w:r w:rsidR="009D307B">
          <w:rPr>
            <w:webHidden/>
          </w:rPr>
          <w:fldChar w:fldCharType="separate"/>
        </w:r>
        <w:r w:rsidR="009D307B">
          <w:rPr>
            <w:webHidden/>
          </w:rPr>
          <w:t>49</w:t>
        </w:r>
        <w:r w:rsidR="009D307B">
          <w:rPr>
            <w:webHidden/>
          </w:rPr>
          <w:fldChar w:fldCharType="end"/>
        </w:r>
      </w:hyperlink>
    </w:p>
    <w:p w14:paraId="03D1974C" w14:textId="77777777" w:rsidR="009D307B" w:rsidRDefault="00AA15A7">
      <w:pPr>
        <w:pStyle w:val="11"/>
        <w:rPr>
          <w:rFonts w:asciiTheme="minorHAnsi" w:eastAsiaTheme="minorEastAsia" w:hAnsiTheme="minorHAnsi" w:cstheme="minorBidi"/>
          <w:sz w:val="24"/>
        </w:rPr>
      </w:pPr>
      <w:hyperlink w:anchor="_Toc479693889" w:history="1">
        <w:r w:rsidR="009D307B" w:rsidRPr="00D5222E">
          <w:rPr>
            <w:rStyle w:val="ae"/>
          </w:rPr>
          <w:t>XI.</w:t>
        </w:r>
        <w:r w:rsidR="009D307B">
          <w:rPr>
            <w:rFonts w:asciiTheme="minorHAnsi" w:eastAsiaTheme="minorEastAsia" w:hAnsiTheme="minorHAnsi" w:cstheme="minorBidi"/>
            <w:sz w:val="24"/>
          </w:rPr>
          <w:tab/>
        </w:r>
        <w:r w:rsidR="009D307B" w:rsidRPr="00D5222E">
          <w:rPr>
            <w:rStyle w:val="ae"/>
          </w:rPr>
          <w:t>Legal Context</w:t>
        </w:r>
        <w:r w:rsidR="009D307B">
          <w:rPr>
            <w:webHidden/>
          </w:rPr>
          <w:tab/>
        </w:r>
        <w:r w:rsidR="009D307B">
          <w:rPr>
            <w:webHidden/>
          </w:rPr>
          <w:fldChar w:fldCharType="begin"/>
        </w:r>
        <w:r w:rsidR="009D307B">
          <w:rPr>
            <w:webHidden/>
          </w:rPr>
          <w:instrText xml:space="preserve"> PAGEREF _Toc479693889 \h </w:instrText>
        </w:r>
        <w:r w:rsidR="009D307B">
          <w:rPr>
            <w:webHidden/>
          </w:rPr>
        </w:r>
        <w:r w:rsidR="009D307B">
          <w:rPr>
            <w:webHidden/>
          </w:rPr>
          <w:fldChar w:fldCharType="separate"/>
        </w:r>
        <w:r w:rsidR="009D307B">
          <w:rPr>
            <w:webHidden/>
          </w:rPr>
          <w:t>55</w:t>
        </w:r>
        <w:r w:rsidR="009D307B">
          <w:rPr>
            <w:webHidden/>
          </w:rPr>
          <w:fldChar w:fldCharType="end"/>
        </w:r>
      </w:hyperlink>
    </w:p>
    <w:p w14:paraId="1AA602B9" w14:textId="77777777" w:rsidR="009D307B" w:rsidRDefault="00AA15A7">
      <w:pPr>
        <w:pStyle w:val="11"/>
        <w:rPr>
          <w:rFonts w:asciiTheme="minorHAnsi" w:eastAsiaTheme="minorEastAsia" w:hAnsiTheme="minorHAnsi" w:cstheme="minorBidi"/>
          <w:sz w:val="24"/>
        </w:rPr>
      </w:pPr>
      <w:hyperlink w:anchor="_Toc479693890" w:history="1">
        <w:r w:rsidR="009D307B" w:rsidRPr="00D5222E">
          <w:rPr>
            <w:rStyle w:val="ae"/>
          </w:rPr>
          <w:t>XII.</w:t>
        </w:r>
        <w:r w:rsidR="009D307B">
          <w:rPr>
            <w:rFonts w:asciiTheme="minorHAnsi" w:eastAsiaTheme="minorEastAsia" w:hAnsiTheme="minorHAnsi" w:cstheme="minorBidi"/>
            <w:sz w:val="24"/>
          </w:rPr>
          <w:tab/>
        </w:r>
        <w:r w:rsidR="009D307B" w:rsidRPr="00D5222E">
          <w:rPr>
            <w:rStyle w:val="ae"/>
          </w:rPr>
          <w:t>Annexes</w:t>
        </w:r>
        <w:r w:rsidR="009D307B">
          <w:rPr>
            <w:webHidden/>
          </w:rPr>
          <w:tab/>
        </w:r>
        <w:r w:rsidR="009D307B">
          <w:rPr>
            <w:webHidden/>
          </w:rPr>
          <w:fldChar w:fldCharType="begin"/>
        </w:r>
        <w:r w:rsidR="009D307B">
          <w:rPr>
            <w:webHidden/>
          </w:rPr>
          <w:instrText xml:space="preserve"> PAGEREF _Toc479693890 \h </w:instrText>
        </w:r>
        <w:r w:rsidR="009D307B">
          <w:rPr>
            <w:webHidden/>
          </w:rPr>
        </w:r>
        <w:r w:rsidR="009D307B">
          <w:rPr>
            <w:webHidden/>
          </w:rPr>
          <w:fldChar w:fldCharType="separate"/>
        </w:r>
        <w:r w:rsidR="009D307B">
          <w:rPr>
            <w:webHidden/>
          </w:rPr>
          <w:t>56</w:t>
        </w:r>
        <w:r w:rsidR="009D307B">
          <w:rPr>
            <w:webHidden/>
          </w:rPr>
          <w:fldChar w:fldCharType="end"/>
        </w:r>
      </w:hyperlink>
    </w:p>
    <w:p w14:paraId="6DC32AF4" w14:textId="77777777" w:rsidR="009D307B" w:rsidRDefault="00AA15A7">
      <w:pPr>
        <w:pStyle w:val="23"/>
        <w:tabs>
          <w:tab w:val="right" w:leader="dot" w:pos="10188"/>
        </w:tabs>
        <w:rPr>
          <w:rFonts w:asciiTheme="minorHAnsi" w:eastAsiaTheme="minorEastAsia" w:hAnsiTheme="minorHAnsi" w:cstheme="minorBidi"/>
          <w:noProof/>
          <w:sz w:val="24"/>
        </w:rPr>
      </w:pPr>
      <w:hyperlink w:anchor="_Toc479693891" w:history="1">
        <w:r w:rsidR="009D307B" w:rsidRPr="00D5222E">
          <w:rPr>
            <w:rStyle w:val="ae"/>
            <w:rFonts w:asciiTheme="majorHAnsi" w:hAnsiTheme="majorHAnsi"/>
            <w:noProof/>
          </w:rPr>
          <w:t>Annex A. Multi Year Work Plan</w:t>
        </w:r>
        <w:r w:rsidR="009D307B">
          <w:rPr>
            <w:noProof/>
            <w:webHidden/>
          </w:rPr>
          <w:tab/>
        </w:r>
        <w:r w:rsidR="009D307B">
          <w:rPr>
            <w:noProof/>
            <w:webHidden/>
          </w:rPr>
          <w:fldChar w:fldCharType="begin"/>
        </w:r>
        <w:r w:rsidR="009D307B">
          <w:rPr>
            <w:noProof/>
            <w:webHidden/>
          </w:rPr>
          <w:instrText xml:space="preserve"> PAGEREF _Toc479693891 \h </w:instrText>
        </w:r>
        <w:r w:rsidR="009D307B">
          <w:rPr>
            <w:noProof/>
            <w:webHidden/>
          </w:rPr>
        </w:r>
        <w:r w:rsidR="009D307B">
          <w:rPr>
            <w:noProof/>
            <w:webHidden/>
          </w:rPr>
          <w:fldChar w:fldCharType="separate"/>
        </w:r>
        <w:r w:rsidR="009D307B">
          <w:rPr>
            <w:noProof/>
            <w:webHidden/>
          </w:rPr>
          <w:t>57</w:t>
        </w:r>
        <w:r w:rsidR="009D307B">
          <w:rPr>
            <w:noProof/>
            <w:webHidden/>
          </w:rPr>
          <w:fldChar w:fldCharType="end"/>
        </w:r>
      </w:hyperlink>
    </w:p>
    <w:p w14:paraId="7353B1DF" w14:textId="77777777" w:rsidR="009D307B" w:rsidRDefault="00AA15A7">
      <w:pPr>
        <w:pStyle w:val="23"/>
        <w:tabs>
          <w:tab w:val="right" w:leader="dot" w:pos="10188"/>
        </w:tabs>
        <w:rPr>
          <w:rFonts w:asciiTheme="minorHAnsi" w:eastAsiaTheme="minorEastAsia" w:hAnsiTheme="minorHAnsi" w:cstheme="minorBidi"/>
          <w:noProof/>
          <w:sz w:val="24"/>
        </w:rPr>
      </w:pPr>
      <w:hyperlink w:anchor="_Toc479693892" w:history="1">
        <w:r w:rsidR="009D307B" w:rsidRPr="00D5222E">
          <w:rPr>
            <w:rStyle w:val="ae"/>
            <w:rFonts w:asciiTheme="majorHAnsi" w:hAnsiTheme="majorHAnsi"/>
            <w:noProof/>
          </w:rPr>
          <w:t>Annex B. Monitoring Plan</w:t>
        </w:r>
        <w:r w:rsidR="009D307B">
          <w:rPr>
            <w:noProof/>
            <w:webHidden/>
          </w:rPr>
          <w:tab/>
        </w:r>
        <w:r w:rsidR="009D307B">
          <w:rPr>
            <w:noProof/>
            <w:webHidden/>
          </w:rPr>
          <w:fldChar w:fldCharType="begin"/>
        </w:r>
        <w:r w:rsidR="009D307B">
          <w:rPr>
            <w:noProof/>
            <w:webHidden/>
          </w:rPr>
          <w:instrText xml:space="preserve"> PAGEREF _Toc479693892 \h </w:instrText>
        </w:r>
        <w:r w:rsidR="009D307B">
          <w:rPr>
            <w:noProof/>
            <w:webHidden/>
          </w:rPr>
        </w:r>
        <w:r w:rsidR="009D307B">
          <w:rPr>
            <w:noProof/>
            <w:webHidden/>
          </w:rPr>
          <w:fldChar w:fldCharType="separate"/>
        </w:r>
        <w:r w:rsidR="009D307B">
          <w:rPr>
            <w:noProof/>
            <w:webHidden/>
          </w:rPr>
          <w:t>59</w:t>
        </w:r>
        <w:r w:rsidR="009D307B">
          <w:rPr>
            <w:noProof/>
            <w:webHidden/>
          </w:rPr>
          <w:fldChar w:fldCharType="end"/>
        </w:r>
      </w:hyperlink>
    </w:p>
    <w:p w14:paraId="6CDBB31E" w14:textId="77777777" w:rsidR="009D307B" w:rsidRDefault="00AA15A7">
      <w:pPr>
        <w:pStyle w:val="23"/>
        <w:tabs>
          <w:tab w:val="right" w:leader="dot" w:pos="10188"/>
        </w:tabs>
        <w:rPr>
          <w:rFonts w:asciiTheme="minorHAnsi" w:eastAsiaTheme="minorEastAsia" w:hAnsiTheme="minorHAnsi" w:cstheme="minorBidi"/>
          <w:noProof/>
          <w:sz w:val="24"/>
        </w:rPr>
      </w:pPr>
      <w:hyperlink w:anchor="_Toc479693893" w:history="1">
        <w:r w:rsidR="009D307B" w:rsidRPr="00D5222E">
          <w:rPr>
            <w:rStyle w:val="ae"/>
            <w:rFonts w:asciiTheme="majorHAnsi" w:hAnsiTheme="majorHAnsi"/>
            <w:noProof/>
          </w:rPr>
          <w:t>Annex C. Evaluation Plan</w:t>
        </w:r>
        <w:r w:rsidR="009D307B">
          <w:rPr>
            <w:noProof/>
            <w:webHidden/>
          </w:rPr>
          <w:tab/>
        </w:r>
        <w:r w:rsidR="009D307B">
          <w:rPr>
            <w:noProof/>
            <w:webHidden/>
          </w:rPr>
          <w:fldChar w:fldCharType="begin"/>
        </w:r>
        <w:r w:rsidR="009D307B">
          <w:rPr>
            <w:noProof/>
            <w:webHidden/>
          </w:rPr>
          <w:instrText xml:space="preserve"> PAGEREF _Toc479693893 \h </w:instrText>
        </w:r>
        <w:r w:rsidR="009D307B">
          <w:rPr>
            <w:noProof/>
            <w:webHidden/>
          </w:rPr>
        </w:r>
        <w:r w:rsidR="009D307B">
          <w:rPr>
            <w:noProof/>
            <w:webHidden/>
          </w:rPr>
          <w:fldChar w:fldCharType="separate"/>
        </w:r>
        <w:r w:rsidR="009D307B">
          <w:rPr>
            <w:noProof/>
            <w:webHidden/>
          </w:rPr>
          <w:t>62</w:t>
        </w:r>
        <w:r w:rsidR="009D307B">
          <w:rPr>
            <w:noProof/>
            <w:webHidden/>
          </w:rPr>
          <w:fldChar w:fldCharType="end"/>
        </w:r>
      </w:hyperlink>
    </w:p>
    <w:p w14:paraId="43737086" w14:textId="77777777" w:rsidR="009D307B" w:rsidRDefault="00AA15A7">
      <w:pPr>
        <w:pStyle w:val="23"/>
        <w:tabs>
          <w:tab w:val="right" w:leader="dot" w:pos="10188"/>
        </w:tabs>
        <w:rPr>
          <w:rFonts w:asciiTheme="minorHAnsi" w:eastAsiaTheme="minorEastAsia" w:hAnsiTheme="minorHAnsi" w:cstheme="minorBidi"/>
          <w:noProof/>
          <w:sz w:val="24"/>
        </w:rPr>
      </w:pPr>
      <w:hyperlink w:anchor="_Toc479693894" w:history="1">
        <w:r w:rsidR="009D307B" w:rsidRPr="00D5222E">
          <w:rPr>
            <w:rStyle w:val="ae"/>
            <w:rFonts w:asciiTheme="majorHAnsi" w:hAnsiTheme="majorHAnsi"/>
            <w:noProof/>
          </w:rPr>
          <w:t>Annex D. GEF Tracking Tool</w:t>
        </w:r>
        <w:r w:rsidR="009D307B">
          <w:rPr>
            <w:noProof/>
            <w:webHidden/>
          </w:rPr>
          <w:tab/>
        </w:r>
        <w:r w:rsidR="009D307B">
          <w:rPr>
            <w:noProof/>
            <w:webHidden/>
          </w:rPr>
          <w:fldChar w:fldCharType="begin"/>
        </w:r>
        <w:r w:rsidR="009D307B">
          <w:rPr>
            <w:noProof/>
            <w:webHidden/>
          </w:rPr>
          <w:instrText xml:space="preserve"> PAGEREF _Toc479693894 \h </w:instrText>
        </w:r>
        <w:r w:rsidR="009D307B">
          <w:rPr>
            <w:noProof/>
            <w:webHidden/>
          </w:rPr>
        </w:r>
        <w:r w:rsidR="009D307B">
          <w:rPr>
            <w:noProof/>
            <w:webHidden/>
          </w:rPr>
          <w:fldChar w:fldCharType="separate"/>
        </w:r>
        <w:r w:rsidR="009D307B">
          <w:rPr>
            <w:noProof/>
            <w:webHidden/>
          </w:rPr>
          <w:t>63</w:t>
        </w:r>
        <w:r w:rsidR="009D307B">
          <w:rPr>
            <w:noProof/>
            <w:webHidden/>
          </w:rPr>
          <w:fldChar w:fldCharType="end"/>
        </w:r>
      </w:hyperlink>
    </w:p>
    <w:p w14:paraId="3EB08A70" w14:textId="77777777" w:rsidR="009D307B" w:rsidRDefault="00AA15A7">
      <w:pPr>
        <w:pStyle w:val="23"/>
        <w:tabs>
          <w:tab w:val="right" w:leader="dot" w:pos="10188"/>
        </w:tabs>
        <w:rPr>
          <w:rFonts w:asciiTheme="minorHAnsi" w:eastAsiaTheme="minorEastAsia" w:hAnsiTheme="minorHAnsi" w:cstheme="minorBidi"/>
          <w:noProof/>
          <w:sz w:val="24"/>
        </w:rPr>
      </w:pPr>
      <w:hyperlink w:anchor="_Toc479693895" w:history="1">
        <w:r w:rsidR="009D307B" w:rsidRPr="00D5222E">
          <w:rPr>
            <w:rStyle w:val="ae"/>
            <w:rFonts w:asciiTheme="majorHAnsi" w:hAnsiTheme="majorHAnsi"/>
            <w:noProof/>
          </w:rPr>
          <w:t>Annex E. Terms of Reference for the Project Steering Committee, and Key Project Staff</w:t>
        </w:r>
        <w:r w:rsidR="009D307B">
          <w:rPr>
            <w:noProof/>
            <w:webHidden/>
          </w:rPr>
          <w:tab/>
        </w:r>
        <w:r w:rsidR="009D307B">
          <w:rPr>
            <w:noProof/>
            <w:webHidden/>
          </w:rPr>
          <w:fldChar w:fldCharType="begin"/>
        </w:r>
        <w:r w:rsidR="009D307B">
          <w:rPr>
            <w:noProof/>
            <w:webHidden/>
          </w:rPr>
          <w:instrText xml:space="preserve"> PAGEREF _Toc479693895 \h </w:instrText>
        </w:r>
        <w:r w:rsidR="009D307B">
          <w:rPr>
            <w:noProof/>
            <w:webHidden/>
          </w:rPr>
        </w:r>
        <w:r w:rsidR="009D307B">
          <w:rPr>
            <w:noProof/>
            <w:webHidden/>
          </w:rPr>
          <w:fldChar w:fldCharType="separate"/>
        </w:r>
        <w:r w:rsidR="009D307B">
          <w:rPr>
            <w:noProof/>
            <w:webHidden/>
          </w:rPr>
          <w:t>67</w:t>
        </w:r>
        <w:r w:rsidR="009D307B">
          <w:rPr>
            <w:noProof/>
            <w:webHidden/>
          </w:rPr>
          <w:fldChar w:fldCharType="end"/>
        </w:r>
      </w:hyperlink>
    </w:p>
    <w:p w14:paraId="15BBC8A7" w14:textId="77777777" w:rsidR="009D307B" w:rsidRDefault="00AA15A7">
      <w:pPr>
        <w:pStyle w:val="23"/>
        <w:tabs>
          <w:tab w:val="right" w:leader="dot" w:pos="10188"/>
        </w:tabs>
        <w:rPr>
          <w:rFonts w:asciiTheme="minorHAnsi" w:eastAsiaTheme="minorEastAsia" w:hAnsiTheme="minorHAnsi" w:cstheme="minorBidi"/>
          <w:noProof/>
          <w:sz w:val="24"/>
        </w:rPr>
      </w:pPr>
      <w:hyperlink w:anchor="_Toc479693896" w:history="1">
        <w:r w:rsidR="009D307B" w:rsidRPr="00D5222E">
          <w:rPr>
            <w:rStyle w:val="ae"/>
            <w:rFonts w:asciiTheme="majorHAnsi" w:hAnsiTheme="majorHAnsi"/>
            <w:noProof/>
          </w:rPr>
          <w:t>Annex F. Social and Environmental Screening</w:t>
        </w:r>
        <w:r w:rsidR="009D307B">
          <w:rPr>
            <w:noProof/>
            <w:webHidden/>
          </w:rPr>
          <w:tab/>
        </w:r>
        <w:r w:rsidR="009D307B">
          <w:rPr>
            <w:noProof/>
            <w:webHidden/>
          </w:rPr>
          <w:fldChar w:fldCharType="begin"/>
        </w:r>
        <w:r w:rsidR="009D307B">
          <w:rPr>
            <w:noProof/>
            <w:webHidden/>
          </w:rPr>
          <w:instrText xml:space="preserve"> PAGEREF _Toc479693896 \h </w:instrText>
        </w:r>
        <w:r w:rsidR="009D307B">
          <w:rPr>
            <w:noProof/>
            <w:webHidden/>
          </w:rPr>
        </w:r>
        <w:r w:rsidR="009D307B">
          <w:rPr>
            <w:noProof/>
            <w:webHidden/>
          </w:rPr>
          <w:fldChar w:fldCharType="separate"/>
        </w:r>
        <w:r w:rsidR="009D307B">
          <w:rPr>
            <w:noProof/>
            <w:webHidden/>
          </w:rPr>
          <w:t>79</w:t>
        </w:r>
        <w:r w:rsidR="009D307B">
          <w:rPr>
            <w:noProof/>
            <w:webHidden/>
          </w:rPr>
          <w:fldChar w:fldCharType="end"/>
        </w:r>
      </w:hyperlink>
    </w:p>
    <w:p w14:paraId="600D599A" w14:textId="77777777" w:rsidR="009D307B" w:rsidRDefault="00AA15A7">
      <w:pPr>
        <w:pStyle w:val="23"/>
        <w:tabs>
          <w:tab w:val="right" w:leader="dot" w:pos="10188"/>
        </w:tabs>
        <w:rPr>
          <w:rFonts w:asciiTheme="minorHAnsi" w:eastAsiaTheme="minorEastAsia" w:hAnsiTheme="minorHAnsi" w:cstheme="minorBidi"/>
          <w:noProof/>
          <w:sz w:val="24"/>
        </w:rPr>
      </w:pPr>
      <w:hyperlink w:anchor="_Toc479693897" w:history="1">
        <w:r w:rsidR="009D307B" w:rsidRPr="00D5222E">
          <w:rPr>
            <w:rStyle w:val="ae"/>
            <w:rFonts w:asciiTheme="majorHAnsi" w:hAnsiTheme="majorHAnsi"/>
            <w:noProof/>
          </w:rPr>
          <w:t>Annex G. Environmental and Social Management Plan (ESMP) for moderate and high risk projects only</w:t>
        </w:r>
        <w:r w:rsidR="009D307B">
          <w:rPr>
            <w:noProof/>
            <w:webHidden/>
          </w:rPr>
          <w:tab/>
        </w:r>
        <w:r w:rsidR="009D307B">
          <w:rPr>
            <w:noProof/>
            <w:webHidden/>
          </w:rPr>
          <w:fldChar w:fldCharType="begin"/>
        </w:r>
        <w:r w:rsidR="009D307B">
          <w:rPr>
            <w:noProof/>
            <w:webHidden/>
          </w:rPr>
          <w:instrText xml:space="preserve"> PAGEREF _Toc479693897 \h </w:instrText>
        </w:r>
        <w:r w:rsidR="009D307B">
          <w:rPr>
            <w:noProof/>
            <w:webHidden/>
          </w:rPr>
        </w:r>
        <w:r w:rsidR="009D307B">
          <w:rPr>
            <w:noProof/>
            <w:webHidden/>
          </w:rPr>
          <w:fldChar w:fldCharType="separate"/>
        </w:r>
        <w:r w:rsidR="009D307B">
          <w:rPr>
            <w:noProof/>
            <w:webHidden/>
          </w:rPr>
          <w:t>87</w:t>
        </w:r>
        <w:r w:rsidR="009D307B">
          <w:rPr>
            <w:noProof/>
            <w:webHidden/>
          </w:rPr>
          <w:fldChar w:fldCharType="end"/>
        </w:r>
      </w:hyperlink>
    </w:p>
    <w:p w14:paraId="7B3345DA" w14:textId="77777777" w:rsidR="009D307B" w:rsidRDefault="00AA15A7">
      <w:pPr>
        <w:pStyle w:val="23"/>
        <w:tabs>
          <w:tab w:val="right" w:leader="dot" w:pos="10188"/>
        </w:tabs>
        <w:rPr>
          <w:rFonts w:asciiTheme="minorHAnsi" w:eastAsiaTheme="minorEastAsia" w:hAnsiTheme="minorHAnsi" w:cstheme="minorBidi"/>
          <w:noProof/>
          <w:sz w:val="24"/>
        </w:rPr>
      </w:pPr>
      <w:hyperlink w:anchor="_Toc479693898" w:history="1">
        <w:r w:rsidR="009D307B" w:rsidRPr="00D5222E">
          <w:rPr>
            <w:rStyle w:val="ae"/>
            <w:rFonts w:asciiTheme="majorHAnsi" w:hAnsiTheme="majorHAnsi"/>
            <w:noProof/>
          </w:rPr>
          <w:t>Annex H. UNDP Project Quality Assurance Report</w:t>
        </w:r>
        <w:r w:rsidR="009D307B">
          <w:rPr>
            <w:noProof/>
            <w:webHidden/>
          </w:rPr>
          <w:tab/>
        </w:r>
        <w:r w:rsidR="009D307B">
          <w:rPr>
            <w:noProof/>
            <w:webHidden/>
          </w:rPr>
          <w:fldChar w:fldCharType="begin"/>
        </w:r>
        <w:r w:rsidR="009D307B">
          <w:rPr>
            <w:noProof/>
            <w:webHidden/>
          </w:rPr>
          <w:instrText xml:space="preserve"> PAGEREF _Toc479693898 \h </w:instrText>
        </w:r>
        <w:r w:rsidR="009D307B">
          <w:rPr>
            <w:noProof/>
            <w:webHidden/>
          </w:rPr>
        </w:r>
        <w:r w:rsidR="009D307B">
          <w:rPr>
            <w:noProof/>
            <w:webHidden/>
          </w:rPr>
          <w:fldChar w:fldCharType="separate"/>
        </w:r>
        <w:r w:rsidR="009D307B">
          <w:rPr>
            <w:noProof/>
            <w:webHidden/>
          </w:rPr>
          <w:t>88</w:t>
        </w:r>
        <w:r w:rsidR="009D307B">
          <w:rPr>
            <w:noProof/>
            <w:webHidden/>
          </w:rPr>
          <w:fldChar w:fldCharType="end"/>
        </w:r>
      </w:hyperlink>
    </w:p>
    <w:p w14:paraId="790BC563" w14:textId="77777777" w:rsidR="009D307B" w:rsidRDefault="00AA15A7">
      <w:pPr>
        <w:pStyle w:val="23"/>
        <w:tabs>
          <w:tab w:val="right" w:leader="dot" w:pos="10188"/>
        </w:tabs>
        <w:rPr>
          <w:rFonts w:asciiTheme="minorHAnsi" w:eastAsiaTheme="minorEastAsia" w:hAnsiTheme="minorHAnsi" w:cstheme="minorBidi"/>
          <w:noProof/>
          <w:sz w:val="24"/>
        </w:rPr>
      </w:pPr>
      <w:hyperlink w:anchor="_Toc479693899" w:history="1">
        <w:r w:rsidR="009D307B" w:rsidRPr="00D5222E">
          <w:rPr>
            <w:rStyle w:val="ae"/>
            <w:rFonts w:asciiTheme="majorHAnsi" w:hAnsiTheme="majorHAnsi"/>
            <w:noProof/>
          </w:rPr>
          <w:t>Annex I. UNDP Risk Log</w:t>
        </w:r>
        <w:r w:rsidR="009D307B">
          <w:rPr>
            <w:noProof/>
            <w:webHidden/>
          </w:rPr>
          <w:tab/>
        </w:r>
        <w:r w:rsidR="009D307B">
          <w:rPr>
            <w:noProof/>
            <w:webHidden/>
          </w:rPr>
          <w:fldChar w:fldCharType="begin"/>
        </w:r>
        <w:r w:rsidR="009D307B">
          <w:rPr>
            <w:noProof/>
            <w:webHidden/>
          </w:rPr>
          <w:instrText xml:space="preserve"> PAGEREF _Toc479693899 \h </w:instrText>
        </w:r>
        <w:r w:rsidR="009D307B">
          <w:rPr>
            <w:noProof/>
            <w:webHidden/>
          </w:rPr>
        </w:r>
        <w:r w:rsidR="009D307B">
          <w:rPr>
            <w:noProof/>
            <w:webHidden/>
          </w:rPr>
          <w:fldChar w:fldCharType="separate"/>
        </w:r>
        <w:r w:rsidR="009D307B">
          <w:rPr>
            <w:noProof/>
            <w:webHidden/>
          </w:rPr>
          <w:t>89</w:t>
        </w:r>
        <w:r w:rsidR="009D307B">
          <w:rPr>
            <w:noProof/>
            <w:webHidden/>
          </w:rPr>
          <w:fldChar w:fldCharType="end"/>
        </w:r>
      </w:hyperlink>
    </w:p>
    <w:p w14:paraId="53A05748" w14:textId="77777777" w:rsidR="009D307B" w:rsidRDefault="00AA15A7">
      <w:pPr>
        <w:pStyle w:val="23"/>
        <w:tabs>
          <w:tab w:val="right" w:leader="dot" w:pos="10188"/>
        </w:tabs>
        <w:rPr>
          <w:rFonts w:asciiTheme="minorHAnsi" w:eastAsiaTheme="minorEastAsia" w:hAnsiTheme="minorHAnsi" w:cstheme="minorBidi"/>
          <w:noProof/>
          <w:sz w:val="24"/>
        </w:rPr>
      </w:pPr>
      <w:hyperlink w:anchor="_Toc479693900" w:history="1">
        <w:r w:rsidR="009D307B" w:rsidRPr="00D5222E">
          <w:rPr>
            <w:rStyle w:val="ae"/>
            <w:rFonts w:asciiTheme="majorHAnsi" w:hAnsiTheme="majorHAnsi"/>
            <w:noProof/>
          </w:rPr>
          <w:t>Annex J. Results of the Capacity Assessment of the Project Implementing Partner and HACT Micro Assessment</w:t>
        </w:r>
        <w:r w:rsidR="009D307B">
          <w:rPr>
            <w:noProof/>
            <w:webHidden/>
          </w:rPr>
          <w:tab/>
        </w:r>
        <w:r w:rsidR="009D307B">
          <w:rPr>
            <w:noProof/>
            <w:webHidden/>
          </w:rPr>
          <w:fldChar w:fldCharType="begin"/>
        </w:r>
        <w:r w:rsidR="009D307B">
          <w:rPr>
            <w:noProof/>
            <w:webHidden/>
          </w:rPr>
          <w:instrText xml:space="preserve"> PAGEREF _Toc479693900 \h </w:instrText>
        </w:r>
        <w:r w:rsidR="009D307B">
          <w:rPr>
            <w:noProof/>
            <w:webHidden/>
          </w:rPr>
        </w:r>
        <w:r w:rsidR="009D307B">
          <w:rPr>
            <w:noProof/>
            <w:webHidden/>
          </w:rPr>
          <w:fldChar w:fldCharType="separate"/>
        </w:r>
        <w:r w:rsidR="009D307B">
          <w:rPr>
            <w:noProof/>
            <w:webHidden/>
          </w:rPr>
          <w:t>92</w:t>
        </w:r>
        <w:r w:rsidR="009D307B">
          <w:rPr>
            <w:noProof/>
            <w:webHidden/>
          </w:rPr>
          <w:fldChar w:fldCharType="end"/>
        </w:r>
      </w:hyperlink>
    </w:p>
    <w:p w14:paraId="494149C9" w14:textId="77777777" w:rsidR="009D307B" w:rsidRDefault="00AA15A7">
      <w:pPr>
        <w:pStyle w:val="23"/>
        <w:tabs>
          <w:tab w:val="right" w:leader="dot" w:pos="10188"/>
        </w:tabs>
        <w:rPr>
          <w:rFonts w:asciiTheme="minorHAnsi" w:eastAsiaTheme="minorEastAsia" w:hAnsiTheme="minorHAnsi" w:cstheme="minorBidi"/>
          <w:noProof/>
          <w:sz w:val="24"/>
        </w:rPr>
      </w:pPr>
      <w:hyperlink w:anchor="_Toc479693901" w:history="1">
        <w:r w:rsidR="009D307B" w:rsidRPr="00D5222E">
          <w:rPr>
            <w:rStyle w:val="ae"/>
            <w:rFonts w:asciiTheme="majorHAnsi" w:hAnsiTheme="majorHAnsi"/>
            <w:noProof/>
          </w:rPr>
          <w:t>Annex K. Additional Agreements</w:t>
        </w:r>
        <w:r w:rsidR="009D307B">
          <w:rPr>
            <w:noProof/>
            <w:webHidden/>
          </w:rPr>
          <w:tab/>
        </w:r>
        <w:r w:rsidR="009D307B">
          <w:rPr>
            <w:noProof/>
            <w:webHidden/>
          </w:rPr>
          <w:fldChar w:fldCharType="begin"/>
        </w:r>
        <w:r w:rsidR="009D307B">
          <w:rPr>
            <w:noProof/>
            <w:webHidden/>
          </w:rPr>
          <w:instrText xml:space="preserve"> PAGEREF _Toc479693901 \h </w:instrText>
        </w:r>
        <w:r w:rsidR="009D307B">
          <w:rPr>
            <w:noProof/>
            <w:webHidden/>
          </w:rPr>
        </w:r>
        <w:r w:rsidR="009D307B">
          <w:rPr>
            <w:noProof/>
            <w:webHidden/>
          </w:rPr>
          <w:fldChar w:fldCharType="separate"/>
        </w:r>
        <w:r w:rsidR="009D307B">
          <w:rPr>
            <w:noProof/>
            <w:webHidden/>
          </w:rPr>
          <w:t>93</w:t>
        </w:r>
        <w:r w:rsidR="009D307B">
          <w:rPr>
            <w:noProof/>
            <w:webHidden/>
          </w:rPr>
          <w:fldChar w:fldCharType="end"/>
        </w:r>
      </w:hyperlink>
    </w:p>
    <w:p w14:paraId="68B87BAF" w14:textId="77777777" w:rsidR="009D307B" w:rsidRDefault="00AA15A7">
      <w:pPr>
        <w:pStyle w:val="23"/>
        <w:tabs>
          <w:tab w:val="right" w:leader="dot" w:pos="10188"/>
        </w:tabs>
        <w:rPr>
          <w:rFonts w:asciiTheme="minorHAnsi" w:eastAsiaTheme="minorEastAsia" w:hAnsiTheme="minorHAnsi" w:cstheme="minorBidi"/>
          <w:noProof/>
          <w:sz w:val="24"/>
        </w:rPr>
      </w:pPr>
      <w:hyperlink w:anchor="_Toc479693902" w:history="1">
        <w:r w:rsidR="009D307B" w:rsidRPr="00D5222E">
          <w:rPr>
            <w:rStyle w:val="ae"/>
            <w:rFonts w:asciiTheme="majorHAnsi" w:hAnsiTheme="majorHAnsi"/>
            <w:noProof/>
          </w:rPr>
          <w:t>Annex L. Kazakhstan Renewable Energy Policy Overview</w:t>
        </w:r>
        <w:r w:rsidR="009D307B">
          <w:rPr>
            <w:noProof/>
            <w:webHidden/>
          </w:rPr>
          <w:tab/>
        </w:r>
        <w:r w:rsidR="009D307B">
          <w:rPr>
            <w:noProof/>
            <w:webHidden/>
          </w:rPr>
          <w:fldChar w:fldCharType="begin"/>
        </w:r>
        <w:r w:rsidR="009D307B">
          <w:rPr>
            <w:noProof/>
            <w:webHidden/>
          </w:rPr>
          <w:instrText xml:space="preserve"> PAGEREF _Toc479693902 \h </w:instrText>
        </w:r>
        <w:r w:rsidR="009D307B">
          <w:rPr>
            <w:noProof/>
            <w:webHidden/>
          </w:rPr>
        </w:r>
        <w:r w:rsidR="009D307B">
          <w:rPr>
            <w:noProof/>
            <w:webHidden/>
          </w:rPr>
          <w:fldChar w:fldCharType="separate"/>
        </w:r>
        <w:r w:rsidR="009D307B">
          <w:rPr>
            <w:noProof/>
            <w:webHidden/>
          </w:rPr>
          <w:t>97</w:t>
        </w:r>
        <w:r w:rsidR="009D307B">
          <w:rPr>
            <w:noProof/>
            <w:webHidden/>
          </w:rPr>
          <w:fldChar w:fldCharType="end"/>
        </w:r>
      </w:hyperlink>
    </w:p>
    <w:p w14:paraId="086DD659" w14:textId="77777777" w:rsidR="009D307B" w:rsidRDefault="00AA15A7">
      <w:pPr>
        <w:pStyle w:val="23"/>
        <w:tabs>
          <w:tab w:val="right" w:leader="dot" w:pos="10188"/>
        </w:tabs>
        <w:rPr>
          <w:rFonts w:asciiTheme="minorHAnsi" w:eastAsiaTheme="minorEastAsia" w:hAnsiTheme="minorHAnsi" w:cstheme="minorBidi"/>
          <w:noProof/>
          <w:sz w:val="24"/>
        </w:rPr>
      </w:pPr>
      <w:hyperlink w:anchor="_Toc479693903" w:history="1">
        <w:r w:rsidR="009D307B" w:rsidRPr="00D5222E">
          <w:rPr>
            <w:rStyle w:val="ae"/>
            <w:rFonts w:asciiTheme="majorHAnsi" w:hAnsiTheme="majorHAnsi"/>
            <w:noProof/>
          </w:rPr>
          <w:t>Annex M. GHG Calculations</w:t>
        </w:r>
        <w:r w:rsidR="009D307B">
          <w:rPr>
            <w:noProof/>
            <w:webHidden/>
          </w:rPr>
          <w:tab/>
        </w:r>
        <w:r w:rsidR="009D307B">
          <w:rPr>
            <w:noProof/>
            <w:webHidden/>
          </w:rPr>
          <w:fldChar w:fldCharType="begin"/>
        </w:r>
        <w:r w:rsidR="009D307B">
          <w:rPr>
            <w:noProof/>
            <w:webHidden/>
          </w:rPr>
          <w:instrText xml:space="preserve"> PAGEREF _Toc479693903 \h </w:instrText>
        </w:r>
        <w:r w:rsidR="009D307B">
          <w:rPr>
            <w:noProof/>
            <w:webHidden/>
          </w:rPr>
        </w:r>
        <w:r w:rsidR="009D307B">
          <w:rPr>
            <w:noProof/>
            <w:webHidden/>
          </w:rPr>
          <w:fldChar w:fldCharType="separate"/>
        </w:r>
        <w:r w:rsidR="009D307B">
          <w:rPr>
            <w:noProof/>
            <w:webHidden/>
          </w:rPr>
          <w:t>100</w:t>
        </w:r>
        <w:r w:rsidR="009D307B">
          <w:rPr>
            <w:noProof/>
            <w:webHidden/>
          </w:rPr>
          <w:fldChar w:fldCharType="end"/>
        </w:r>
      </w:hyperlink>
    </w:p>
    <w:p w14:paraId="78C4CBC7" w14:textId="77777777" w:rsidR="009D307B" w:rsidRDefault="00AA15A7">
      <w:pPr>
        <w:pStyle w:val="23"/>
        <w:tabs>
          <w:tab w:val="right" w:leader="dot" w:pos="10188"/>
        </w:tabs>
        <w:rPr>
          <w:rFonts w:asciiTheme="minorHAnsi" w:eastAsiaTheme="minorEastAsia" w:hAnsiTheme="minorHAnsi" w:cstheme="minorBidi"/>
          <w:noProof/>
          <w:sz w:val="24"/>
        </w:rPr>
      </w:pPr>
      <w:hyperlink w:anchor="_Toc479693904" w:history="1">
        <w:r w:rsidR="009D307B" w:rsidRPr="00D5222E">
          <w:rPr>
            <w:rStyle w:val="ae"/>
            <w:rFonts w:asciiTheme="majorHAnsi" w:hAnsiTheme="majorHAnsi"/>
            <w:noProof/>
          </w:rPr>
          <w:t>Annex N. Stakeholder Analysis</w:t>
        </w:r>
        <w:r w:rsidR="009D307B">
          <w:rPr>
            <w:noProof/>
            <w:webHidden/>
          </w:rPr>
          <w:tab/>
        </w:r>
        <w:r w:rsidR="009D307B">
          <w:rPr>
            <w:noProof/>
            <w:webHidden/>
          </w:rPr>
          <w:fldChar w:fldCharType="begin"/>
        </w:r>
        <w:r w:rsidR="009D307B">
          <w:rPr>
            <w:noProof/>
            <w:webHidden/>
          </w:rPr>
          <w:instrText xml:space="preserve"> PAGEREF _Toc479693904 \h </w:instrText>
        </w:r>
        <w:r w:rsidR="009D307B">
          <w:rPr>
            <w:noProof/>
            <w:webHidden/>
          </w:rPr>
        </w:r>
        <w:r w:rsidR="009D307B">
          <w:rPr>
            <w:noProof/>
            <w:webHidden/>
          </w:rPr>
          <w:fldChar w:fldCharType="separate"/>
        </w:r>
        <w:r w:rsidR="009D307B">
          <w:rPr>
            <w:noProof/>
            <w:webHidden/>
          </w:rPr>
          <w:t>102</w:t>
        </w:r>
        <w:r w:rsidR="009D307B">
          <w:rPr>
            <w:noProof/>
            <w:webHidden/>
          </w:rPr>
          <w:fldChar w:fldCharType="end"/>
        </w:r>
      </w:hyperlink>
    </w:p>
    <w:p w14:paraId="30CA7B05" w14:textId="77777777" w:rsidR="009D307B" w:rsidRDefault="00AA15A7">
      <w:pPr>
        <w:pStyle w:val="23"/>
        <w:tabs>
          <w:tab w:val="right" w:leader="dot" w:pos="10188"/>
        </w:tabs>
        <w:rPr>
          <w:rFonts w:asciiTheme="minorHAnsi" w:eastAsiaTheme="minorEastAsia" w:hAnsiTheme="minorHAnsi" w:cstheme="minorBidi"/>
          <w:noProof/>
          <w:sz w:val="24"/>
        </w:rPr>
      </w:pPr>
      <w:hyperlink w:anchor="_Toc479693905" w:history="1">
        <w:r w:rsidR="009D307B" w:rsidRPr="00D5222E">
          <w:rPr>
            <w:rStyle w:val="ae"/>
            <w:rFonts w:asciiTheme="majorHAnsi" w:hAnsiTheme="majorHAnsi"/>
            <w:noProof/>
          </w:rPr>
          <w:t>Annex O. List of References and Resources Consulted</w:t>
        </w:r>
        <w:r w:rsidR="009D307B">
          <w:rPr>
            <w:noProof/>
            <w:webHidden/>
          </w:rPr>
          <w:tab/>
        </w:r>
        <w:r w:rsidR="009D307B">
          <w:rPr>
            <w:noProof/>
            <w:webHidden/>
          </w:rPr>
          <w:fldChar w:fldCharType="begin"/>
        </w:r>
        <w:r w:rsidR="009D307B">
          <w:rPr>
            <w:noProof/>
            <w:webHidden/>
          </w:rPr>
          <w:instrText xml:space="preserve"> PAGEREF _Toc479693905 \h </w:instrText>
        </w:r>
        <w:r w:rsidR="009D307B">
          <w:rPr>
            <w:noProof/>
            <w:webHidden/>
          </w:rPr>
        </w:r>
        <w:r w:rsidR="009D307B">
          <w:rPr>
            <w:noProof/>
            <w:webHidden/>
          </w:rPr>
          <w:fldChar w:fldCharType="separate"/>
        </w:r>
        <w:r w:rsidR="009D307B">
          <w:rPr>
            <w:noProof/>
            <w:webHidden/>
          </w:rPr>
          <w:t>106</w:t>
        </w:r>
        <w:r w:rsidR="009D307B">
          <w:rPr>
            <w:noProof/>
            <w:webHidden/>
          </w:rPr>
          <w:fldChar w:fldCharType="end"/>
        </w:r>
      </w:hyperlink>
    </w:p>
    <w:p w14:paraId="62DE2DAE" w14:textId="77777777" w:rsidR="009D307B" w:rsidRDefault="00AA15A7">
      <w:pPr>
        <w:pStyle w:val="23"/>
        <w:tabs>
          <w:tab w:val="right" w:leader="dot" w:pos="10188"/>
        </w:tabs>
        <w:rPr>
          <w:rFonts w:asciiTheme="minorHAnsi" w:eastAsiaTheme="minorEastAsia" w:hAnsiTheme="minorHAnsi" w:cstheme="minorBidi"/>
          <w:noProof/>
          <w:sz w:val="24"/>
        </w:rPr>
      </w:pPr>
      <w:hyperlink w:anchor="_Toc479693906" w:history="1">
        <w:r w:rsidR="009D307B" w:rsidRPr="00D5222E">
          <w:rPr>
            <w:rStyle w:val="ae"/>
            <w:rFonts w:asciiTheme="majorHAnsi" w:hAnsiTheme="majorHAnsi"/>
            <w:noProof/>
          </w:rPr>
          <w:t>Annex P. Co-financing letters</w:t>
        </w:r>
        <w:r w:rsidR="009D307B">
          <w:rPr>
            <w:noProof/>
            <w:webHidden/>
          </w:rPr>
          <w:tab/>
        </w:r>
        <w:r w:rsidR="009D307B">
          <w:rPr>
            <w:noProof/>
            <w:webHidden/>
          </w:rPr>
          <w:fldChar w:fldCharType="begin"/>
        </w:r>
        <w:r w:rsidR="009D307B">
          <w:rPr>
            <w:noProof/>
            <w:webHidden/>
          </w:rPr>
          <w:instrText xml:space="preserve"> PAGEREF _Toc479693906 \h </w:instrText>
        </w:r>
        <w:r w:rsidR="009D307B">
          <w:rPr>
            <w:noProof/>
            <w:webHidden/>
          </w:rPr>
        </w:r>
        <w:r w:rsidR="009D307B">
          <w:rPr>
            <w:noProof/>
            <w:webHidden/>
          </w:rPr>
          <w:fldChar w:fldCharType="separate"/>
        </w:r>
        <w:r w:rsidR="009D307B">
          <w:rPr>
            <w:noProof/>
            <w:webHidden/>
          </w:rPr>
          <w:t>107</w:t>
        </w:r>
        <w:r w:rsidR="009D307B">
          <w:rPr>
            <w:noProof/>
            <w:webHidden/>
          </w:rPr>
          <w:fldChar w:fldCharType="end"/>
        </w:r>
      </w:hyperlink>
    </w:p>
    <w:p w14:paraId="008B5544" w14:textId="77777777" w:rsidR="009D307B" w:rsidRDefault="00AA15A7">
      <w:pPr>
        <w:pStyle w:val="23"/>
        <w:tabs>
          <w:tab w:val="right" w:leader="dot" w:pos="10188"/>
        </w:tabs>
        <w:rPr>
          <w:rFonts w:asciiTheme="minorHAnsi" w:eastAsiaTheme="minorEastAsia" w:hAnsiTheme="minorHAnsi" w:cstheme="minorBidi"/>
          <w:noProof/>
          <w:sz w:val="24"/>
        </w:rPr>
      </w:pPr>
      <w:hyperlink w:anchor="_Toc479693907" w:history="1">
        <w:r w:rsidR="009D307B" w:rsidRPr="00D5222E">
          <w:rPr>
            <w:rStyle w:val="ae"/>
            <w:rFonts w:asciiTheme="majorHAnsi" w:hAnsiTheme="majorHAnsi"/>
            <w:noProof/>
          </w:rPr>
          <w:t>Annex Q. Gender Mainstreaming Analysis and Action Plan</w:t>
        </w:r>
        <w:r w:rsidR="009D307B">
          <w:rPr>
            <w:noProof/>
            <w:webHidden/>
          </w:rPr>
          <w:tab/>
        </w:r>
        <w:r w:rsidR="009D307B">
          <w:rPr>
            <w:noProof/>
            <w:webHidden/>
          </w:rPr>
          <w:fldChar w:fldCharType="begin"/>
        </w:r>
        <w:r w:rsidR="009D307B">
          <w:rPr>
            <w:noProof/>
            <w:webHidden/>
          </w:rPr>
          <w:instrText xml:space="preserve"> PAGEREF _Toc479693907 \h </w:instrText>
        </w:r>
        <w:r w:rsidR="009D307B">
          <w:rPr>
            <w:noProof/>
            <w:webHidden/>
          </w:rPr>
        </w:r>
        <w:r w:rsidR="009D307B">
          <w:rPr>
            <w:noProof/>
            <w:webHidden/>
          </w:rPr>
          <w:fldChar w:fldCharType="separate"/>
        </w:r>
        <w:r w:rsidR="009D307B">
          <w:rPr>
            <w:noProof/>
            <w:webHidden/>
          </w:rPr>
          <w:t>108</w:t>
        </w:r>
        <w:r w:rsidR="009D307B">
          <w:rPr>
            <w:noProof/>
            <w:webHidden/>
          </w:rPr>
          <w:fldChar w:fldCharType="end"/>
        </w:r>
      </w:hyperlink>
    </w:p>
    <w:p w14:paraId="5853BDD3" w14:textId="77777777" w:rsidR="00D64EA4" w:rsidRDefault="00D64EA4" w:rsidP="00235AE4">
      <w:pPr>
        <w:spacing w:after="240"/>
        <w:rPr>
          <w:b/>
          <w:bCs/>
          <w:noProof/>
          <w:szCs w:val="20"/>
        </w:rPr>
      </w:pPr>
      <w:r w:rsidRPr="006004D1">
        <w:rPr>
          <w:b/>
          <w:bCs/>
          <w:noProof/>
          <w:szCs w:val="20"/>
        </w:rPr>
        <w:fldChar w:fldCharType="end"/>
      </w:r>
    </w:p>
    <w:p w14:paraId="1FA630EE" w14:textId="77777777" w:rsidR="004622EC" w:rsidRDefault="004622EC">
      <w:pPr>
        <w:rPr>
          <w:b/>
          <w:bCs/>
          <w:smallCaps/>
          <w:noProof/>
          <w:szCs w:val="20"/>
        </w:rPr>
      </w:pPr>
      <w:r>
        <w:rPr>
          <w:b/>
          <w:bCs/>
          <w:smallCaps/>
          <w:noProof/>
          <w:szCs w:val="20"/>
        </w:rPr>
        <w:br w:type="page"/>
      </w:r>
    </w:p>
    <w:p w14:paraId="45AFD5CE" w14:textId="77777777" w:rsidR="002B343A" w:rsidRPr="00F879E1" w:rsidRDefault="004622EC" w:rsidP="00235AE4">
      <w:pPr>
        <w:spacing w:after="240"/>
        <w:rPr>
          <w:b/>
          <w:bCs/>
          <w:smallCaps/>
          <w:noProof/>
          <w:szCs w:val="20"/>
        </w:rPr>
      </w:pPr>
      <w:r w:rsidRPr="00F879E1">
        <w:rPr>
          <w:b/>
          <w:bCs/>
          <w:smallCaps/>
          <w:noProof/>
          <w:szCs w:val="20"/>
        </w:rPr>
        <w:lastRenderedPageBreak/>
        <w:t>List of T</w:t>
      </w:r>
      <w:r w:rsidR="002B343A" w:rsidRPr="00F879E1">
        <w:rPr>
          <w:b/>
          <w:bCs/>
          <w:smallCaps/>
          <w:noProof/>
          <w:szCs w:val="20"/>
        </w:rPr>
        <w:t>ables</w:t>
      </w:r>
    </w:p>
    <w:p w14:paraId="1CB28E71" w14:textId="77777777" w:rsidR="009D307B" w:rsidRDefault="00C314E7">
      <w:pPr>
        <w:pStyle w:val="affd"/>
        <w:tabs>
          <w:tab w:val="right" w:leader="dot" w:pos="10188"/>
        </w:tabs>
        <w:rPr>
          <w:rFonts w:asciiTheme="minorHAnsi" w:eastAsiaTheme="minorEastAsia" w:hAnsiTheme="minorHAnsi" w:cstheme="minorBidi"/>
          <w:noProof/>
          <w:sz w:val="24"/>
        </w:rPr>
      </w:pPr>
      <w:r>
        <w:rPr>
          <w:noProof/>
        </w:rPr>
        <w:fldChar w:fldCharType="begin"/>
      </w:r>
      <w:r>
        <w:rPr>
          <w:noProof/>
        </w:rPr>
        <w:instrText xml:space="preserve"> TOC \c "Table" </w:instrText>
      </w:r>
      <w:r>
        <w:rPr>
          <w:noProof/>
        </w:rPr>
        <w:fldChar w:fldCharType="separate"/>
      </w:r>
      <w:r w:rsidR="009D307B">
        <w:rPr>
          <w:noProof/>
        </w:rPr>
        <w:t>Table 1: Targeted installed capacity for 2030 and 2050 in basic and green economy development scenarios</w:t>
      </w:r>
      <w:r w:rsidR="009D307B">
        <w:rPr>
          <w:noProof/>
        </w:rPr>
        <w:tab/>
      </w:r>
      <w:r w:rsidR="009D307B">
        <w:rPr>
          <w:noProof/>
        </w:rPr>
        <w:fldChar w:fldCharType="begin"/>
      </w:r>
      <w:r w:rsidR="009D307B">
        <w:rPr>
          <w:noProof/>
        </w:rPr>
        <w:instrText xml:space="preserve"> PAGEREF _Toc479693908 \h </w:instrText>
      </w:r>
      <w:r w:rsidR="009D307B">
        <w:rPr>
          <w:noProof/>
        </w:rPr>
      </w:r>
      <w:r w:rsidR="009D307B">
        <w:rPr>
          <w:noProof/>
        </w:rPr>
        <w:fldChar w:fldCharType="separate"/>
      </w:r>
      <w:r w:rsidR="009D307B">
        <w:rPr>
          <w:noProof/>
        </w:rPr>
        <w:t>3</w:t>
      </w:r>
      <w:r w:rsidR="009D307B">
        <w:rPr>
          <w:noProof/>
        </w:rPr>
        <w:fldChar w:fldCharType="end"/>
      </w:r>
    </w:p>
    <w:p w14:paraId="090F518E" w14:textId="77777777" w:rsidR="009D307B" w:rsidRDefault="009D307B">
      <w:pPr>
        <w:pStyle w:val="affd"/>
        <w:tabs>
          <w:tab w:val="right" w:leader="dot" w:pos="10188"/>
        </w:tabs>
        <w:rPr>
          <w:rFonts w:asciiTheme="minorHAnsi" w:eastAsiaTheme="minorEastAsia" w:hAnsiTheme="minorHAnsi" w:cstheme="minorBidi"/>
          <w:noProof/>
          <w:sz w:val="24"/>
        </w:rPr>
      </w:pPr>
      <w:r>
        <w:rPr>
          <w:noProof/>
        </w:rPr>
        <w:t>Table 2: Barriers and risks for large-scale renewable energy development in Kazakhstan</w:t>
      </w:r>
      <w:r>
        <w:rPr>
          <w:noProof/>
        </w:rPr>
        <w:tab/>
      </w:r>
      <w:r>
        <w:rPr>
          <w:noProof/>
        </w:rPr>
        <w:fldChar w:fldCharType="begin"/>
      </w:r>
      <w:r>
        <w:rPr>
          <w:noProof/>
        </w:rPr>
        <w:instrText xml:space="preserve"> PAGEREF _Toc479693909 \h </w:instrText>
      </w:r>
      <w:r>
        <w:rPr>
          <w:noProof/>
        </w:rPr>
      </w:r>
      <w:r>
        <w:rPr>
          <w:noProof/>
        </w:rPr>
        <w:fldChar w:fldCharType="separate"/>
      </w:r>
      <w:r>
        <w:rPr>
          <w:noProof/>
        </w:rPr>
        <w:t>6</w:t>
      </w:r>
      <w:r>
        <w:rPr>
          <w:noProof/>
        </w:rPr>
        <w:fldChar w:fldCharType="end"/>
      </w:r>
    </w:p>
    <w:p w14:paraId="2BB87986" w14:textId="77777777" w:rsidR="009D307B" w:rsidRDefault="009D307B">
      <w:pPr>
        <w:pStyle w:val="affd"/>
        <w:tabs>
          <w:tab w:val="right" w:leader="dot" w:pos="10188"/>
        </w:tabs>
        <w:rPr>
          <w:rFonts w:asciiTheme="minorHAnsi" w:eastAsiaTheme="minorEastAsia" w:hAnsiTheme="minorHAnsi" w:cstheme="minorBidi"/>
          <w:noProof/>
          <w:sz w:val="24"/>
        </w:rPr>
      </w:pPr>
      <w:r>
        <w:rPr>
          <w:noProof/>
        </w:rPr>
        <w:t>Table 3: Selection of public instruments to achieve the investment targets for wind energy and solar PV</w:t>
      </w:r>
      <w:r>
        <w:rPr>
          <w:noProof/>
        </w:rPr>
        <w:tab/>
      </w:r>
      <w:r>
        <w:rPr>
          <w:noProof/>
        </w:rPr>
        <w:fldChar w:fldCharType="begin"/>
      </w:r>
      <w:r>
        <w:rPr>
          <w:noProof/>
        </w:rPr>
        <w:instrText xml:space="preserve"> PAGEREF _Toc479693910 \h </w:instrText>
      </w:r>
      <w:r>
        <w:rPr>
          <w:noProof/>
        </w:rPr>
      </w:r>
      <w:r>
        <w:rPr>
          <w:noProof/>
        </w:rPr>
        <w:fldChar w:fldCharType="separate"/>
      </w:r>
      <w:r>
        <w:rPr>
          <w:noProof/>
        </w:rPr>
        <w:t>9</w:t>
      </w:r>
      <w:r>
        <w:rPr>
          <w:noProof/>
        </w:rPr>
        <w:fldChar w:fldCharType="end"/>
      </w:r>
    </w:p>
    <w:p w14:paraId="5F1AC15A" w14:textId="77777777" w:rsidR="009D307B" w:rsidRDefault="009D307B">
      <w:pPr>
        <w:pStyle w:val="affd"/>
        <w:tabs>
          <w:tab w:val="right" w:leader="dot" w:pos="10188"/>
        </w:tabs>
        <w:rPr>
          <w:rFonts w:asciiTheme="minorHAnsi" w:eastAsiaTheme="minorEastAsia" w:hAnsiTheme="minorHAnsi" w:cstheme="minorBidi"/>
          <w:noProof/>
          <w:sz w:val="24"/>
        </w:rPr>
      </w:pPr>
      <w:r>
        <w:rPr>
          <w:noProof/>
        </w:rPr>
        <w:t>Table 4: Risk and barriers for on- and off-grid renewable energy applications</w:t>
      </w:r>
      <w:r>
        <w:rPr>
          <w:noProof/>
        </w:rPr>
        <w:tab/>
      </w:r>
      <w:r>
        <w:rPr>
          <w:noProof/>
        </w:rPr>
        <w:fldChar w:fldCharType="begin"/>
      </w:r>
      <w:r>
        <w:rPr>
          <w:noProof/>
        </w:rPr>
        <w:instrText xml:space="preserve"> PAGEREF _Toc479693911 \h </w:instrText>
      </w:r>
      <w:r>
        <w:rPr>
          <w:noProof/>
        </w:rPr>
      </w:r>
      <w:r>
        <w:rPr>
          <w:noProof/>
        </w:rPr>
        <w:fldChar w:fldCharType="separate"/>
      </w:r>
      <w:r>
        <w:rPr>
          <w:noProof/>
        </w:rPr>
        <w:t>14</w:t>
      </w:r>
      <w:r>
        <w:rPr>
          <w:noProof/>
        </w:rPr>
        <w:fldChar w:fldCharType="end"/>
      </w:r>
    </w:p>
    <w:p w14:paraId="207871F7" w14:textId="77777777" w:rsidR="009D307B" w:rsidRDefault="009D307B">
      <w:pPr>
        <w:pStyle w:val="affd"/>
        <w:tabs>
          <w:tab w:val="right" w:leader="dot" w:pos="10188"/>
        </w:tabs>
        <w:rPr>
          <w:rFonts w:asciiTheme="minorHAnsi" w:eastAsiaTheme="minorEastAsia" w:hAnsiTheme="minorHAnsi" w:cstheme="minorBidi"/>
          <w:noProof/>
          <w:sz w:val="24"/>
        </w:rPr>
      </w:pPr>
      <w:r>
        <w:rPr>
          <w:noProof/>
        </w:rPr>
        <w:t>Table 5: List of measures related to primary and secondary legislation for renewable energy</w:t>
      </w:r>
      <w:r>
        <w:rPr>
          <w:noProof/>
        </w:rPr>
        <w:tab/>
      </w:r>
      <w:r>
        <w:rPr>
          <w:noProof/>
        </w:rPr>
        <w:fldChar w:fldCharType="begin"/>
      </w:r>
      <w:r>
        <w:rPr>
          <w:noProof/>
        </w:rPr>
        <w:instrText xml:space="preserve"> PAGEREF _Toc479693912 \h </w:instrText>
      </w:r>
      <w:r>
        <w:rPr>
          <w:noProof/>
        </w:rPr>
      </w:r>
      <w:r>
        <w:rPr>
          <w:noProof/>
        </w:rPr>
        <w:fldChar w:fldCharType="separate"/>
      </w:r>
      <w:r>
        <w:rPr>
          <w:noProof/>
        </w:rPr>
        <w:t>19</w:t>
      </w:r>
      <w:r>
        <w:rPr>
          <w:noProof/>
        </w:rPr>
        <w:fldChar w:fldCharType="end"/>
      </w:r>
    </w:p>
    <w:p w14:paraId="47B8C328" w14:textId="77777777" w:rsidR="009D307B" w:rsidRDefault="009D307B">
      <w:pPr>
        <w:pStyle w:val="affd"/>
        <w:tabs>
          <w:tab w:val="right" w:leader="dot" w:pos="10188"/>
        </w:tabs>
        <w:rPr>
          <w:rFonts w:asciiTheme="minorHAnsi" w:eastAsiaTheme="minorEastAsia" w:hAnsiTheme="minorHAnsi" w:cstheme="minorBidi"/>
          <w:noProof/>
          <w:sz w:val="24"/>
        </w:rPr>
      </w:pPr>
      <w:r>
        <w:rPr>
          <w:noProof/>
        </w:rPr>
        <w:t>Table 6: Summary of the project’s cost efficiency and effectiveness</w:t>
      </w:r>
      <w:r>
        <w:rPr>
          <w:noProof/>
        </w:rPr>
        <w:tab/>
      </w:r>
      <w:r>
        <w:rPr>
          <w:noProof/>
        </w:rPr>
        <w:fldChar w:fldCharType="begin"/>
      </w:r>
      <w:r>
        <w:rPr>
          <w:noProof/>
        </w:rPr>
        <w:instrText xml:space="preserve"> PAGEREF _Toc479693913 \h </w:instrText>
      </w:r>
      <w:r>
        <w:rPr>
          <w:noProof/>
        </w:rPr>
      </w:r>
      <w:r>
        <w:rPr>
          <w:noProof/>
        </w:rPr>
        <w:fldChar w:fldCharType="separate"/>
      </w:r>
      <w:r>
        <w:rPr>
          <w:noProof/>
        </w:rPr>
        <w:t>30</w:t>
      </w:r>
      <w:r>
        <w:rPr>
          <w:noProof/>
        </w:rPr>
        <w:fldChar w:fldCharType="end"/>
      </w:r>
    </w:p>
    <w:p w14:paraId="1623B8BD" w14:textId="77777777" w:rsidR="009D307B" w:rsidRDefault="009D307B">
      <w:pPr>
        <w:pStyle w:val="affd"/>
        <w:tabs>
          <w:tab w:val="right" w:leader="dot" w:pos="10188"/>
        </w:tabs>
        <w:rPr>
          <w:rFonts w:asciiTheme="minorHAnsi" w:eastAsiaTheme="minorEastAsia" w:hAnsiTheme="minorHAnsi" w:cstheme="minorBidi"/>
          <w:noProof/>
          <w:sz w:val="24"/>
        </w:rPr>
      </w:pPr>
      <w:r>
        <w:rPr>
          <w:noProof/>
        </w:rPr>
        <w:t>Table 7: Project risks</w:t>
      </w:r>
      <w:r>
        <w:rPr>
          <w:noProof/>
        </w:rPr>
        <w:tab/>
      </w:r>
      <w:r>
        <w:rPr>
          <w:noProof/>
        </w:rPr>
        <w:fldChar w:fldCharType="begin"/>
      </w:r>
      <w:r>
        <w:rPr>
          <w:noProof/>
        </w:rPr>
        <w:instrText xml:space="preserve"> PAGEREF _Toc479693914 \h </w:instrText>
      </w:r>
      <w:r>
        <w:rPr>
          <w:noProof/>
        </w:rPr>
      </w:r>
      <w:r>
        <w:rPr>
          <w:noProof/>
        </w:rPr>
        <w:fldChar w:fldCharType="separate"/>
      </w:r>
      <w:r>
        <w:rPr>
          <w:noProof/>
        </w:rPr>
        <w:t>31</w:t>
      </w:r>
      <w:r>
        <w:rPr>
          <w:noProof/>
        </w:rPr>
        <w:fldChar w:fldCharType="end"/>
      </w:r>
    </w:p>
    <w:p w14:paraId="7372F104" w14:textId="77777777" w:rsidR="009D307B" w:rsidRDefault="009D307B">
      <w:pPr>
        <w:pStyle w:val="affd"/>
        <w:tabs>
          <w:tab w:val="right" w:leader="dot" w:pos="10188"/>
        </w:tabs>
        <w:rPr>
          <w:rFonts w:asciiTheme="minorHAnsi" w:eastAsiaTheme="minorEastAsia" w:hAnsiTheme="minorHAnsi" w:cstheme="minorBidi"/>
          <w:noProof/>
          <w:sz w:val="24"/>
        </w:rPr>
      </w:pPr>
      <w:r>
        <w:rPr>
          <w:noProof/>
        </w:rPr>
        <w:t>Table 8: Mandatory GEF M&amp;E Requirements and M&amp;E Budget</w:t>
      </w:r>
      <w:r>
        <w:rPr>
          <w:noProof/>
        </w:rPr>
        <w:tab/>
      </w:r>
      <w:r>
        <w:rPr>
          <w:noProof/>
        </w:rPr>
        <w:fldChar w:fldCharType="begin"/>
      </w:r>
      <w:r>
        <w:rPr>
          <w:noProof/>
        </w:rPr>
        <w:instrText xml:space="preserve"> PAGEREF _Toc479693915 \h </w:instrText>
      </w:r>
      <w:r>
        <w:rPr>
          <w:noProof/>
        </w:rPr>
      </w:r>
      <w:r>
        <w:rPr>
          <w:noProof/>
        </w:rPr>
        <w:fldChar w:fldCharType="separate"/>
      </w:r>
      <w:r>
        <w:rPr>
          <w:noProof/>
        </w:rPr>
        <w:t>41</w:t>
      </w:r>
      <w:r>
        <w:rPr>
          <w:noProof/>
        </w:rPr>
        <w:fldChar w:fldCharType="end"/>
      </w:r>
    </w:p>
    <w:p w14:paraId="1B9515CD" w14:textId="77777777" w:rsidR="009D307B" w:rsidRDefault="009D307B">
      <w:pPr>
        <w:pStyle w:val="affd"/>
        <w:tabs>
          <w:tab w:val="right" w:leader="dot" w:pos="10188"/>
        </w:tabs>
        <w:rPr>
          <w:rFonts w:asciiTheme="minorHAnsi" w:eastAsiaTheme="minorEastAsia" w:hAnsiTheme="minorHAnsi" w:cstheme="minorBidi"/>
          <w:noProof/>
          <w:sz w:val="24"/>
        </w:rPr>
      </w:pPr>
      <w:r>
        <w:rPr>
          <w:noProof/>
        </w:rPr>
        <w:t>Table 9: Co-financing sources and applications</w:t>
      </w:r>
      <w:r>
        <w:rPr>
          <w:noProof/>
        </w:rPr>
        <w:tab/>
      </w:r>
      <w:r>
        <w:rPr>
          <w:noProof/>
        </w:rPr>
        <w:fldChar w:fldCharType="begin"/>
      </w:r>
      <w:r>
        <w:rPr>
          <w:noProof/>
        </w:rPr>
        <w:instrText xml:space="preserve"> PAGEREF _Toc479693916 \h </w:instrText>
      </w:r>
      <w:r>
        <w:rPr>
          <w:noProof/>
        </w:rPr>
      </w:r>
      <w:r>
        <w:rPr>
          <w:noProof/>
        </w:rPr>
        <w:fldChar w:fldCharType="separate"/>
      </w:r>
      <w:r>
        <w:rPr>
          <w:noProof/>
        </w:rPr>
        <w:t>46</w:t>
      </w:r>
      <w:r>
        <w:rPr>
          <w:noProof/>
        </w:rPr>
        <w:fldChar w:fldCharType="end"/>
      </w:r>
    </w:p>
    <w:p w14:paraId="417209F4" w14:textId="77777777" w:rsidR="009D307B" w:rsidRDefault="009D307B">
      <w:pPr>
        <w:pStyle w:val="affd"/>
        <w:tabs>
          <w:tab w:val="right" w:leader="dot" w:pos="10188"/>
        </w:tabs>
        <w:rPr>
          <w:rFonts w:asciiTheme="minorHAnsi" w:eastAsiaTheme="minorEastAsia" w:hAnsiTheme="minorHAnsi" w:cstheme="minorBidi"/>
          <w:noProof/>
          <w:sz w:val="24"/>
        </w:rPr>
      </w:pPr>
      <w:r>
        <w:rPr>
          <w:noProof/>
        </w:rPr>
        <w:t>Table 10: Overview of GHG calculations.</w:t>
      </w:r>
      <w:r>
        <w:rPr>
          <w:noProof/>
        </w:rPr>
        <w:tab/>
      </w:r>
      <w:r>
        <w:rPr>
          <w:noProof/>
        </w:rPr>
        <w:fldChar w:fldCharType="begin"/>
      </w:r>
      <w:r>
        <w:rPr>
          <w:noProof/>
        </w:rPr>
        <w:instrText xml:space="preserve"> PAGEREF _Toc479693917 \h </w:instrText>
      </w:r>
      <w:r>
        <w:rPr>
          <w:noProof/>
        </w:rPr>
      </w:r>
      <w:r>
        <w:rPr>
          <w:noProof/>
        </w:rPr>
        <w:fldChar w:fldCharType="separate"/>
      </w:r>
      <w:r>
        <w:rPr>
          <w:noProof/>
        </w:rPr>
        <w:t>100</w:t>
      </w:r>
      <w:r>
        <w:rPr>
          <w:noProof/>
        </w:rPr>
        <w:fldChar w:fldCharType="end"/>
      </w:r>
    </w:p>
    <w:p w14:paraId="4EF49D1F" w14:textId="77777777" w:rsidR="009D307B" w:rsidRDefault="009D307B">
      <w:pPr>
        <w:pStyle w:val="affd"/>
        <w:tabs>
          <w:tab w:val="right" w:leader="dot" w:pos="10188"/>
        </w:tabs>
        <w:rPr>
          <w:rFonts w:asciiTheme="minorHAnsi" w:eastAsiaTheme="minorEastAsia" w:hAnsiTheme="minorHAnsi" w:cstheme="minorBidi"/>
          <w:noProof/>
          <w:sz w:val="24"/>
        </w:rPr>
      </w:pPr>
      <w:r>
        <w:rPr>
          <w:noProof/>
        </w:rPr>
        <w:t>Table 11: Calculation 1: Reductions from introduction of grants for small-scale developers</w:t>
      </w:r>
      <w:r>
        <w:rPr>
          <w:noProof/>
        </w:rPr>
        <w:tab/>
      </w:r>
      <w:r>
        <w:rPr>
          <w:noProof/>
        </w:rPr>
        <w:fldChar w:fldCharType="begin"/>
      </w:r>
      <w:r>
        <w:rPr>
          <w:noProof/>
        </w:rPr>
        <w:instrText xml:space="preserve"> PAGEREF _Toc479693918 \h </w:instrText>
      </w:r>
      <w:r>
        <w:rPr>
          <w:noProof/>
        </w:rPr>
      </w:r>
      <w:r>
        <w:rPr>
          <w:noProof/>
        </w:rPr>
        <w:fldChar w:fldCharType="separate"/>
      </w:r>
      <w:r>
        <w:rPr>
          <w:noProof/>
        </w:rPr>
        <w:t>101</w:t>
      </w:r>
      <w:r>
        <w:rPr>
          <w:noProof/>
        </w:rPr>
        <w:fldChar w:fldCharType="end"/>
      </w:r>
    </w:p>
    <w:p w14:paraId="193C930B" w14:textId="77777777" w:rsidR="009D307B" w:rsidRDefault="009D307B">
      <w:pPr>
        <w:pStyle w:val="affd"/>
        <w:tabs>
          <w:tab w:val="right" w:leader="dot" w:pos="10188"/>
        </w:tabs>
        <w:rPr>
          <w:rFonts w:asciiTheme="minorHAnsi" w:eastAsiaTheme="minorEastAsia" w:hAnsiTheme="minorHAnsi" w:cstheme="minorBidi"/>
          <w:noProof/>
          <w:sz w:val="24"/>
        </w:rPr>
      </w:pPr>
      <w:r>
        <w:rPr>
          <w:noProof/>
        </w:rPr>
        <w:t>Table 12: Consequential bottom-up emission reductions</w:t>
      </w:r>
      <w:r>
        <w:rPr>
          <w:noProof/>
        </w:rPr>
        <w:tab/>
      </w:r>
      <w:r>
        <w:rPr>
          <w:noProof/>
        </w:rPr>
        <w:fldChar w:fldCharType="begin"/>
      </w:r>
      <w:r>
        <w:rPr>
          <w:noProof/>
        </w:rPr>
        <w:instrText xml:space="preserve"> PAGEREF _Toc479693919 \h </w:instrText>
      </w:r>
      <w:r>
        <w:rPr>
          <w:noProof/>
        </w:rPr>
      </w:r>
      <w:r>
        <w:rPr>
          <w:noProof/>
        </w:rPr>
        <w:fldChar w:fldCharType="separate"/>
      </w:r>
      <w:r>
        <w:rPr>
          <w:noProof/>
        </w:rPr>
        <w:t>101</w:t>
      </w:r>
      <w:r>
        <w:rPr>
          <w:noProof/>
        </w:rPr>
        <w:fldChar w:fldCharType="end"/>
      </w:r>
    </w:p>
    <w:p w14:paraId="43E1CC3C" w14:textId="77777777" w:rsidR="009D307B" w:rsidRDefault="009D307B">
      <w:pPr>
        <w:pStyle w:val="affd"/>
        <w:tabs>
          <w:tab w:val="right" w:leader="dot" w:pos="10188"/>
        </w:tabs>
        <w:rPr>
          <w:rFonts w:asciiTheme="minorHAnsi" w:eastAsiaTheme="minorEastAsia" w:hAnsiTheme="minorHAnsi" w:cstheme="minorBidi"/>
          <w:noProof/>
          <w:sz w:val="24"/>
        </w:rPr>
      </w:pPr>
      <w:r>
        <w:rPr>
          <w:noProof/>
        </w:rPr>
        <w:t>Table 13: Consequential top-down emission reductions</w:t>
      </w:r>
      <w:r>
        <w:rPr>
          <w:noProof/>
        </w:rPr>
        <w:tab/>
      </w:r>
      <w:r>
        <w:rPr>
          <w:noProof/>
        </w:rPr>
        <w:fldChar w:fldCharType="begin"/>
      </w:r>
      <w:r>
        <w:rPr>
          <w:noProof/>
        </w:rPr>
        <w:instrText xml:space="preserve"> PAGEREF _Toc479693920 \h </w:instrText>
      </w:r>
      <w:r>
        <w:rPr>
          <w:noProof/>
        </w:rPr>
      </w:r>
      <w:r>
        <w:rPr>
          <w:noProof/>
        </w:rPr>
        <w:fldChar w:fldCharType="separate"/>
      </w:r>
      <w:r>
        <w:rPr>
          <w:noProof/>
        </w:rPr>
        <w:t>101</w:t>
      </w:r>
      <w:r>
        <w:rPr>
          <w:noProof/>
        </w:rPr>
        <w:fldChar w:fldCharType="end"/>
      </w:r>
    </w:p>
    <w:p w14:paraId="1C3D7D78" w14:textId="77777777" w:rsidR="002B343A" w:rsidRDefault="00C314E7" w:rsidP="00235AE4">
      <w:pPr>
        <w:spacing w:after="240"/>
        <w:rPr>
          <w:b/>
          <w:bCs/>
          <w:noProof/>
          <w:szCs w:val="20"/>
        </w:rPr>
      </w:pPr>
      <w:r>
        <w:rPr>
          <w:noProof/>
        </w:rPr>
        <w:fldChar w:fldCharType="end"/>
      </w:r>
    </w:p>
    <w:p w14:paraId="7E032FAB" w14:textId="77777777" w:rsidR="002B343A" w:rsidRPr="00F879E1" w:rsidRDefault="004622EC" w:rsidP="00235AE4">
      <w:pPr>
        <w:spacing w:after="240"/>
        <w:rPr>
          <w:b/>
          <w:bCs/>
          <w:smallCaps/>
          <w:noProof/>
          <w:szCs w:val="20"/>
        </w:rPr>
      </w:pPr>
      <w:r w:rsidRPr="00F879E1">
        <w:rPr>
          <w:b/>
          <w:bCs/>
          <w:smallCaps/>
          <w:noProof/>
          <w:szCs w:val="20"/>
        </w:rPr>
        <w:t>List of F</w:t>
      </w:r>
      <w:r w:rsidR="002B343A" w:rsidRPr="00F879E1">
        <w:rPr>
          <w:b/>
          <w:bCs/>
          <w:smallCaps/>
          <w:noProof/>
          <w:szCs w:val="20"/>
        </w:rPr>
        <w:t>igures</w:t>
      </w:r>
    </w:p>
    <w:p w14:paraId="34A45030" w14:textId="77777777" w:rsidR="009D307B" w:rsidRDefault="002B343A">
      <w:pPr>
        <w:pStyle w:val="affd"/>
        <w:tabs>
          <w:tab w:val="right" w:leader="dot" w:pos="10188"/>
        </w:tabs>
        <w:rPr>
          <w:rFonts w:asciiTheme="minorHAnsi" w:eastAsiaTheme="minorEastAsia" w:hAnsiTheme="minorHAnsi" w:cstheme="minorBidi"/>
          <w:noProof/>
          <w:sz w:val="24"/>
        </w:rPr>
      </w:pPr>
      <w:r>
        <w:rPr>
          <w:b/>
          <w:bCs/>
          <w:noProof/>
          <w:szCs w:val="20"/>
        </w:rPr>
        <w:fldChar w:fldCharType="begin"/>
      </w:r>
      <w:r>
        <w:rPr>
          <w:b/>
          <w:bCs/>
          <w:noProof/>
          <w:szCs w:val="20"/>
        </w:rPr>
        <w:instrText xml:space="preserve"> TOC \c "Figure" </w:instrText>
      </w:r>
      <w:r>
        <w:rPr>
          <w:b/>
          <w:bCs/>
          <w:noProof/>
          <w:szCs w:val="20"/>
        </w:rPr>
        <w:fldChar w:fldCharType="separate"/>
      </w:r>
      <w:r w:rsidR="009D307B">
        <w:rPr>
          <w:noProof/>
        </w:rPr>
        <w:t>Figure 1: GHG emissions by sector, in millions of tons of CO</w:t>
      </w:r>
      <w:r w:rsidR="009D307B" w:rsidRPr="007B1457">
        <w:rPr>
          <w:noProof/>
          <w:vertAlign w:val="subscript"/>
        </w:rPr>
        <w:t>2eq</w:t>
      </w:r>
      <w:r w:rsidR="009D307B">
        <w:rPr>
          <w:noProof/>
        </w:rPr>
        <w:t xml:space="preserve"> excluding LULUCF</w:t>
      </w:r>
      <w:r w:rsidR="009D307B">
        <w:rPr>
          <w:noProof/>
        </w:rPr>
        <w:tab/>
      </w:r>
      <w:r w:rsidR="009D307B">
        <w:rPr>
          <w:noProof/>
        </w:rPr>
        <w:fldChar w:fldCharType="begin"/>
      </w:r>
      <w:r w:rsidR="009D307B">
        <w:rPr>
          <w:noProof/>
        </w:rPr>
        <w:instrText xml:space="preserve"> PAGEREF _Toc479693921 \h </w:instrText>
      </w:r>
      <w:r w:rsidR="009D307B">
        <w:rPr>
          <w:noProof/>
        </w:rPr>
      </w:r>
      <w:r w:rsidR="009D307B">
        <w:rPr>
          <w:noProof/>
        </w:rPr>
        <w:fldChar w:fldCharType="separate"/>
      </w:r>
      <w:r w:rsidR="009D307B">
        <w:rPr>
          <w:noProof/>
        </w:rPr>
        <w:t>2</w:t>
      </w:r>
      <w:r w:rsidR="009D307B">
        <w:rPr>
          <w:noProof/>
        </w:rPr>
        <w:fldChar w:fldCharType="end"/>
      </w:r>
    </w:p>
    <w:p w14:paraId="1EA50314" w14:textId="77777777" w:rsidR="009D307B" w:rsidRDefault="009D307B">
      <w:pPr>
        <w:pStyle w:val="affd"/>
        <w:tabs>
          <w:tab w:val="right" w:leader="dot" w:pos="10188"/>
        </w:tabs>
        <w:rPr>
          <w:rFonts w:asciiTheme="minorHAnsi" w:eastAsiaTheme="minorEastAsia" w:hAnsiTheme="minorHAnsi" w:cstheme="minorBidi"/>
          <w:noProof/>
          <w:sz w:val="24"/>
        </w:rPr>
      </w:pPr>
      <w:r>
        <w:rPr>
          <w:noProof/>
        </w:rPr>
        <w:t>Figure 2: Installed Electricity Capacity and Technical Potential of Renewable Sources in Kazakhstan</w:t>
      </w:r>
      <w:r>
        <w:rPr>
          <w:noProof/>
        </w:rPr>
        <w:tab/>
      </w:r>
      <w:r>
        <w:rPr>
          <w:noProof/>
        </w:rPr>
        <w:fldChar w:fldCharType="begin"/>
      </w:r>
      <w:r>
        <w:rPr>
          <w:noProof/>
        </w:rPr>
        <w:instrText xml:space="preserve"> PAGEREF _Toc479693922 \h </w:instrText>
      </w:r>
      <w:r>
        <w:rPr>
          <w:noProof/>
        </w:rPr>
      </w:r>
      <w:r>
        <w:rPr>
          <w:noProof/>
        </w:rPr>
        <w:fldChar w:fldCharType="separate"/>
      </w:r>
      <w:r>
        <w:rPr>
          <w:noProof/>
        </w:rPr>
        <w:t>2</w:t>
      </w:r>
      <w:r>
        <w:rPr>
          <w:noProof/>
        </w:rPr>
        <w:fldChar w:fldCharType="end"/>
      </w:r>
    </w:p>
    <w:p w14:paraId="3B73CE3D" w14:textId="77777777" w:rsidR="009D307B" w:rsidRDefault="009D307B">
      <w:pPr>
        <w:pStyle w:val="affd"/>
        <w:tabs>
          <w:tab w:val="right" w:leader="dot" w:pos="10188"/>
        </w:tabs>
        <w:rPr>
          <w:rFonts w:asciiTheme="minorHAnsi" w:eastAsiaTheme="minorEastAsia" w:hAnsiTheme="minorHAnsi" w:cstheme="minorBidi"/>
          <w:noProof/>
          <w:sz w:val="24"/>
        </w:rPr>
      </w:pPr>
      <w:r>
        <w:rPr>
          <w:noProof/>
        </w:rPr>
        <w:t>Figure 3: Typical components of a public instrument package for large-scale renewable energy</w:t>
      </w:r>
      <w:r>
        <w:rPr>
          <w:noProof/>
        </w:rPr>
        <w:tab/>
      </w:r>
      <w:r>
        <w:rPr>
          <w:noProof/>
        </w:rPr>
        <w:fldChar w:fldCharType="begin"/>
      </w:r>
      <w:r>
        <w:rPr>
          <w:noProof/>
        </w:rPr>
        <w:instrText xml:space="preserve"> PAGEREF _Toc479693923 \h </w:instrText>
      </w:r>
      <w:r>
        <w:rPr>
          <w:noProof/>
        </w:rPr>
      </w:r>
      <w:r>
        <w:rPr>
          <w:noProof/>
        </w:rPr>
        <w:fldChar w:fldCharType="separate"/>
      </w:r>
      <w:r>
        <w:rPr>
          <w:noProof/>
        </w:rPr>
        <w:t>4</w:t>
      </w:r>
      <w:r>
        <w:rPr>
          <w:noProof/>
        </w:rPr>
        <w:fldChar w:fldCharType="end"/>
      </w:r>
    </w:p>
    <w:p w14:paraId="64BBC7EF" w14:textId="77777777" w:rsidR="009D307B" w:rsidRDefault="009D307B">
      <w:pPr>
        <w:pStyle w:val="affd"/>
        <w:tabs>
          <w:tab w:val="right" w:leader="dot" w:pos="10188"/>
        </w:tabs>
        <w:rPr>
          <w:rFonts w:asciiTheme="minorHAnsi" w:eastAsiaTheme="minorEastAsia" w:hAnsiTheme="minorHAnsi" w:cstheme="minorBidi"/>
          <w:noProof/>
          <w:sz w:val="24"/>
        </w:rPr>
      </w:pPr>
      <w:r>
        <w:rPr>
          <w:noProof/>
        </w:rPr>
        <w:t>Figure 4: Overview of the DREI methodology for selecting public instruments to promote renewable energy investment</w:t>
      </w:r>
      <w:r>
        <w:rPr>
          <w:noProof/>
        </w:rPr>
        <w:tab/>
      </w:r>
      <w:r>
        <w:rPr>
          <w:noProof/>
        </w:rPr>
        <w:fldChar w:fldCharType="begin"/>
      </w:r>
      <w:r>
        <w:rPr>
          <w:noProof/>
        </w:rPr>
        <w:instrText xml:space="preserve"> PAGEREF _Toc479693924 \h </w:instrText>
      </w:r>
      <w:r>
        <w:rPr>
          <w:noProof/>
        </w:rPr>
      </w:r>
      <w:r>
        <w:rPr>
          <w:noProof/>
        </w:rPr>
        <w:fldChar w:fldCharType="separate"/>
      </w:r>
      <w:r>
        <w:rPr>
          <w:noProof/>
        </w:rPr>
        <w:t>6</w:t>
      </w:r>
      <w:r>
        <w:rPr>
          <w:noProof/>
        </w:rPr>
        <w:fldChar w:fldCharType="end"/>
      </w:r>
    </w:p>
    <w:p w14:paraId="12F20A7F" w14:textId="77777777" w:rsidR="009D307B" w:rsidRDefault="009D307B">
      <w:pPr>
        <w:pStyle w:val="affd"/>
        <w:tabs>
          <w:tab w:val="right" w:leader="dot" w:pos="10188"/>
        </w:tabs>
        <w:rPr>
          <w:rFonts w:asciiTheme="minorHAnsi" w:eastAsiaTheme="minorEastAsia" w:hAnsiTheme="minorHAnsi" w:cstheme="minorBidi"/>
          <w:noProof/>
          <w:sz w:val="24"/>
        </w:rPr>
      </w:pPr>
      <w:r>
        <w:rPr>
          <w:noProof/>
        </w:rPr>
        <w:t>Figure 5: Impact of risk categories on financing costs for wind energy and solar PV investments in Kazakhstan, business-as-usual scenario (preliminary findings)</w:t>
      </w:r>
      <w:r>
        <w:rPr>
          <w:noProof/>
        </w:rPr>
        <w:tab/>
      </w:r>
      <w:r>
        <w:rPr>
          <w:noProof/>
        </w:rPr>
        <w:fldChar w:fldCharType="begin"/>
      </w:r>
      <w:r>
        <w:rPr>
          <w:noProof/>
        </w:rPr>
        <w:instrText xml:space="preserve"> PAGEREF _Toc479693925 \h </w:instrText>
      </w:r>
      <w:r>
        <w:rPr>
          <w:noProof/>
        </w:rPr>
      </w:r>
      <w:r>
        <w:rPr>
          <w:noProof/>
        </w:rPr>
        <w:fldChar w:fldCharType="separate"/>
      </w:r>
      <w:r>
        <w:rPr>
          <w:noProof/>
        </w:rPr>
        <w:t>8</w:t>
      </w:r>
      <w:r>
        <w:rPr>
          <w:noProof/>
        </w:rPr>
        <w:fldChar w:fldCharType="end"/>
      </w:r>
    </w:p>
    <w:p w14:paraId="6A89687A" w14:textId="77777777" w:rsidR="009D307B" w:rsidRDefault="009D307B">
      <w:pPr>
        <w:pStyle w:val="affd"/>
        <w:tabs>
          <w:tab w:val="right" w:leader="dot" w:pos="10188"/>
        </w:tabs>
        <w:rPr>
          <w:rFonts w:asciiTheme="minorHAnsi" w:eastAsiaTheme="minorEastAsia" w:hAnsiTheme="minorHAnsi" w:cstheme="minorBidi"/>
          <w:noProof/>
          <w:sz w:val="24"/>
        </w:rPr>
      </w:pPr>
      <w:r>
        <w:rPr>
          <w:noProof/>
        </w:rPr>
        <w:t>Figure 6: Impact of public derisking instruments on reducing financing costs for wind energy and solar PV in Kazakhstan post-derisking scenario (preliminary findings)</w:t>
      </w:r>
      <w:r>
        <w:rPr>
          <w:noProof/>
        </w:rPr>
        <w:tab/>
      </w:r>
      <w:r>
        <w:rPr>
          <w:noProof/>
        </w:rPr>
        <w:fldChar w:fldCharType="begin"/>
      </w:r>
      <w:r>
        <w:rPr>
          <w:noProof/>
        </w:rPr>
        <w:instrText xml:space="preserve"> PAGEREF _Toc479693926 \h </w:instrText>
      </w:r>
      <w:r>
        <w:rPr>
          <w:noProof/>
        </w:rPr>
      </w:r>
      <w:r>
        <w:rPr>
          <w:noProof/>
        </w:rPr>
        <w:fldChar w:fldCharType="separate"/>
      </w:r>
      <w:r>
        <w:rPr>
          <w:noProof/>
        </w:rPr>
        <w:t>10</w:t>
      </w:r>
      <w:r>
        <w:rPr>
          <w:noProof/>
        </w:rPr>
        <w:fldChar w:fldCharType="end"/>
      </w:r>
    </w:p>
    <w:p w14:paraId="3479EEF5" w14:textId="77777777" w:rsidR="009D307B" w:rsidRDefault="009D307B">
      <w:pPr>
        <w:pStyle w:val="affd"/>
        <w:tabs>
          <w:tab w:val="right" w:leader="dot" w:pos="10188"/>
        </w:tabs>
        <w:rPr>
          <w:rFonts w:asciiTheme="minorHAnsi" w:eastAsiaTheme="minorEastAsia" w:hAnsiTheme="minorHAnsi" w:cstheme="minorBidi"/>
          <w:noProof/>
          <w:sz w:val="24"/>
        </w:rPr>
      </w:pPr>
      <w:r>
        <w:rPr>
          <w:noProof/>
        </w:rPr>
        <w:t>Figure 7: LCOEs for the baseline and wind energy investment in Kazakhstan (preliminary findings)</w:t>
      </w:r>
      <w:r>
        <w:rPr>
          <w:noProof/>
        </w:rPr>
        <w:tab/>
      </w:r>
      <w:r>
        <w:rPr>
          <w:noProof/>
        </w:rPr>
        <w:fldChar w:fldCharType="begin"/>
      </w:r>
      <w:r>
        <w:rPr>
          <w:noProof/>
        </w:rPr>
        <w:instrText xml:space="preserve"> PAGEREF _Toc479693927 \h </w:instrText>
      </w:r>
      <w:r>
        <w:rPr>
          <w:noProof/>
        </w:rPr>
      </w:r>
      <w:r>
        <w:rPr>
          <w:noProof/>
        </w:rPr>
        <w:fldChar w:fldCharType="separate"/>
      </w:r>
      <w:r>
        <w:rPr>
          <w:noProof/>
        </w:rPr>
        <w:t>11</w:t>
      </w:r>
      <w:r>
        <w:rPr>
          <w:noProof/>
        </w:rPr>
        <w:fldChar w:fldCharType="end"/>
      </w:r>
    </w:p>
    <w:p w14:paraId="44D0F04A" w14:textId="77777777" w:rsidR="009D307B" w:rsidRDefault="009D307B">
      <w:pPr>
        <w:pStyle w:val="affd"/>
        <w:tabs>
          <w:tab w:val="right" w:leader="dot" w:pos="10188"/>
        </w:tabs>
        <w:rPr>
          <w:rFonts w:asciiTheme="minorHAnsi" w:eastAsiaTheme="minorEastAsia" w:hAnsiTheme="minorHAnsi" w:cstheme="minorBidi"/>
          <w:noProof/>
          <w:sz w:val="24"/>
        </w:rPr>
      </w:pPr>
      <w:r>
        <w:rPr>
          <w:noProof/>
        </w:rPr>
        <w:t>Figure 8: LCOEs for the baseline and solar PV investment in Kazakhstan (preliminary findings)</w:t>
      </w:r>
      <w:r>
        <w:rPr>
          <w:noProof/>
        </w:rPr>
        <w:tab/>
      </w:r>
      <w:r>
        <w:rPr>
          <w:noProof/>
        </w:rPr>
        <w:fldChar w:fldCharType="begin"/>
      </w:r>
      <w:r>
        <w:rPr>
          <w:noProof/>
        </w:rPr>
        <w:instrText xml:space="preserve"> PAGEREF _Toc479693928 \h </w:instrText>
      </w:r>
      <w:r>
        <w:rPr>
          <w:noProof/>
        </w:rPr>
      </w:r>
      <w:r>
        <w:rPr>
          <w:noProof/>
        </w:rPr>
        <w:fldChar w:fldCharType="separate"/>
      </w:r>
      <w:r>
        <w:rPr>
          <w:noProof/>
        </w:rPr>
        <w:t>11</w:t>
      </w:r>
      <w:r>
        <w:rPr>
          <w:noProof/>
        </w:rPr>
        <w:fldChar w:fldCharType="end"/>
      </w:r>
    </w:p>
    <w:p w14:paraId="1E9F2512" w14:textId="77777777" w:rsidR="009D307B" w:rsidRDefault="009D307B">
      <w:pPr>
        <w:pStyle w:val="affd"/>
        <w:tabs>
          <w:tab w:val="right" w:leader="dot" w:pos="10188"/>
        </w:tabs>
        <w:rPr>
          <w:rFonts w:asciiTheme="minorHAnsi" w:eastAsiaTheme="minorEastAsia" w:hAnsiTheme="minorHAnsi" w:cstheme="minorBidi"/>
          <w:noProof/>
          <w:sz w:val="24"/>
        </w:rPr>
      </w:pPr>
      <w:r>
        <w:rPr>
          <w:noProof/>
        </w:rPr>
        <w:t>Figure 9: Performance metrics for the selected package of derisking instruments in promoting 1 GW of wind energy investment in Kazakhstan (preliminary findings)</w:t>
      </w:r>
      <w:r>
        <w:rPr>
          <w:noProof/>
        </w:rPr>
        <w:tab/>
      </w:r>
      <w:r>
        <w:rPr>
          <w:noProof/>
        </w:rPr>
        <w:fldChar w:fldCharType="begin"/>
      </w:r>
      <w:r>
        <w:rPr>
          <w:noProof/>
        </w:rPr>
        <w:instrText xml:space="preserve"> PAGEREF _Toc479693929 \h </w:instrText>
      </w:r>
      <w:r>
        <w:rPr>
          <w:noProof/>
        </w:rPr>
      </w:r>
      <w:r>
        <w:rPr>
          <w:noProof/>
        </w:rPr>
        <w:fldChar w:fldCharType="separate"/>
      </w:r>
      <w:r>
        <w:rPr>
          <w:noProof/>
        </w:rPr>
        <w:t>12</w:t>
      </w:r>
      <w:r>
        <w:rPr>
          <w:noProof/>
        </w:rPr>
        <w:fldChar w:fldCharType="end"/>
      </w:r>
    </w:p>
    <w:p w14:paraId="5A5DE360" w14:textId="77777777" w:rsidR="009D307B" w:rsidRDefault="009D307B">
      <w:pPr>
        <w:pStyle w:val="affd"/>
        <w:tabs>
          <w:tab w:val="right" w:leader="dot" w:pos="10188"/>
        </w:tabs>
        <w:rPr>
          <w:rFonts w:asciiTheme="minorHAnsi" w:eastAsiaTheme="minorEastAsia" w:hAnsiTheme="minorHAnsi" w:cstheme="minorBidi"/>
          <w:noProof/>
          <w:sz w:val="24"/>
        </w:rPr>
      </w:pPr>
      <w:r>
        <w:rPr>
          <w:noProof/>
        </w:rPr>
        <w:t>Figure 10: Performance metrics for the selected package of derisking instruments in promoting 250 MW of solar PV investment in Kazakhstan (preliminary findings)</w:t>
      </w:r>
      <w:r>
        <w:rPr>
          <w:noProof/>
        </w:rPr>
        <w:tab/>
      </w:r>
      <w:r>
        <w:rPr>
          <w:noProof/>
        </w:rPr>
        <w:fldChar w:fldCharType="begin"/>
      </w:r>
      <w:r>
        <w:rPr>
          <w:noProof/>
        </w:rPr>
        <w:instrText xml:space="preserve"> PAGEREF _Toc479693930 \h </w:instrText>
      </w:r>
      <w:r>
        <w:rPr>
          <w:noProof/>
        </w:rPr>
      </w:r>
      <w:r>
        <w:rPr>
          <w:noProof/>
        </w:rPr>
        <w:fldChar w:fldCharType="separate"/>
      </w:r>
      <w:r>
        <w:rPr>
          <w:noProof/>
        </w:rPr>
        <w:t>13</w:t>
      </w:r>
      <w:r>
        <w:rPr>
          <w:noProof/>
        </w:rPr>
        <w:fldChar w:fldCharType="end"/>
      </w:r>
    </w:p>
    <w:p w14:paraId="5EE8D0C9" w14:textId="77777777" w:rsidR="009D307B" w:rsidRDefault="009D307B">
      <w:pPr>
        <w:pStyle w:val="affd"/>
        <w:tabs>
          <w:tab w:val="right" w:leader="dot" w:pos="10188"/>
        </w:tabs>
        <w:rPr>
          <w:rFonts w:asciiTheme="minorHAnsi" w:eastAsiaTheme="minorEastAsia" w:hAnsiTheme="minorHAnsi" w:cstheme="minorBidi"/>
          <w:noProof/>
          <w:sz w:val="24"/>
        </w:rPr>
      </w:pPr>
      <w:r>
        <w:rPr>
          <w:noProof/>
        </w:rPr>
        <w:t>Figure 11: Project organisational chart</w:t>
      </w:r>
      <w:r>
        <w:rPr>
          <w:noProof/>
        </w:rPr>
        <w:tab/>
      </w:r>
      <w:r>
        <w:rPr>
          <w:noProof/>
        </w:rPr>
        <w:fldChar w:fldCharType="begin"/>
      </w:r>
      <w:r>
        <w:rPr>
          <w:noProof/>
        </w:rPr>
        <w:instrText xml:space="preserve"> PAGEREF _Toc479693931 \h </w:instrText>
      </w:r>
      <w:r>
        <w:rPr>
          <w:noProof/>
        </w:rPr>
      </w:r>
      <w:r>
        <w:rPr>
          <w:noProof/>
        </w:rPr>
        <w:fldChar w:fldCharType="separate"/>
      </w:r>
      <w:r>
        <w:rPr>
          <w:noProof/>
        </w:rPr>
        <w:t>45</w:t>
      </w:r>
      <w:r>
        <w:rPr>
          <w:noProof/>
        </w:rPr>
        <w:fldChar w:fldCharType="end"/>
      </w:r>
    </w:p>
    <w:p w14:paraId="2695B17E" w14:textId="77777777" w:rsidR="002B343A" w:rsidRDefault="002B343A" w:rsidP="00235AE4">
      <w:pPr>
        <w:spacing w:after="240"/>
        <w:rPr>
          <w:b/>
          <w:bCs/>
          <w:noProof/>
          <w:szCs w:val="20"/>
        </w:rPr>
      </w:pPr>
      <w:r>
        <w:rPr>
          <w:b/>
          <w:bCs/>
          <w:noProof/>
          <w:szCs w:val="20"/>
        </w:rPr>
        <w:fldChar w:fldCharType="end"/>
      </w:r>
    </w:p>
    <w:p w14:paraId="57C6F9C7" w14:textId="77777777" w:rsidR="008D13CD" w:rsidRPr="00F879E1" w:rsidRDefault="008D13CD" w:rsidP="004622EC">
      <w:pPr>
        <w:pageBreakBefore/>
        <w:tabs>
          <w:tab w:val="right" w:pos="9351"/>
        </w:tabs>
        <w:spacing w:after="180"/>
        <w:rPr>
          <w:b/>
          <w:caps/>
          <w:smallCaps/>
          <w:sz w:val="28"/>
        </w:rPr>
      </w:pPr>
      <w:r w:rsidRPr="00F879E1">
        <w:rPr>
          <w:b/>
          <w:smallCaps/>
          <w:sz w:val="28"/>
        </w:rPr>
        <w:lastRenderedPageBreak/>
        <w:t>List of acronyms</w:t>
      </w:r>
    </w:p>
    <w:p w14:paraId="07691A51" w14:textId="77777777" w:rsidR="00FB6EC8" w:rsidRPr="00C04B58" w:rsidRDefault="00FB6EC8" w:rsidP="008D13CD">
      <w:pPr>
        <w:rPr>
          <w:rFonts w:asciiTheme="majorHAnsi" w:hAnsiTheme="majorHAnsi"/>
          <w:bCs/>
          <w:szCs w:val="22"/>
        </w:rPr>
      </w:pPr>
      <w:r w:rsidRPr="00C04B58">
        <w:rPr>
          <w:rFonts w:asciiTheme="majorHAnsi" w:hAnsiTheme="majorHAnsi"/>
          <w:bCs/>
          <w:szCs w:val="22"/>
        </w:rPr>
        <w:t>AAO</w:t>
      </w:r>
      <w:r w:rsidR="00A13246" w:rsidRPr="00C04B58">
        <w:rPr>
          <w:rFonts w:asciiTheme="majorHAnsi" w:hAnsiTheme="majorHAnsi"/>
          <w:bCs/>
          <w:szCs w:val="22"/>
        </w:rPr>
        <w:tab/>
      </w:r>
      <w:r w:rsidR="00A13246" w:rsidRPr="00C04B58">
        <w:rPr>
          <w:rFonts w:asciiTheme="majorHAnsi" w:hAnsiTheme="majorHAnsi"/>
          <w:bCs/>
          <w:szCs w:val="22"/>
        </w:rPr>
        <w:tab/>
      </w:r>
      <w:r w:rsidR="00A13246" w:rsidRPr="00C04B58">
        <w:rPr>
          <w:rFonts w:asciiTheme="majorHAnsi" w:hAnsiTheme="majorHAnsi" w:cs="Arial"/>
          <w:szCs w:val="22"/>
          <w:lang w:val="en-GB"/>
        </w:rPr>
        <w:t>Associations of Apartment Owners and Tenants</w:t>
      </w:r>
    </w:p>
    <w:p w14:paraId="662352CA" w14:textId="77777777" w:rsidR="00FB6EC8" w:rsidRPr="00C04B58" w:rsidRDefault="00FB6EC8" w:rsidP="008D13CD">
      <w:pPr>
        <w:rPr>
          <w:rFonts w:asciiTheme="majorHAnsi" w:hAnsiTheme="majorHAnsi"/>
          <w:bCs/>
          <w:szCs w:val="22"/>
        </w:rPr>
      </w:pPr>
      <w:r w:rsidRPr="00C04B58">
        <w:rPr>
          <w:rFonts w:asciiTheme="majorHAnsi" w:hAnsiTheme="majorHAnsi"/>
          <w:bCs/>
          <w:szCs w:val="22"/>
        </w:rPr>
        <w:t>AFC</w:t>
      </w:r>
      <w:r w:rsidR="00A13246" w:rsidRPr="00C04B58">
        <w:rPr>
          <w:rFonts w:asciiTheme="majorHAnsi" w:hAnsiTheme="majorHAnsi"/>
          <w:bCs/>
          <w:szCs w:val="22"/>
        </w:rPr>
        <w:tab/>
      </w:r>
      <w:r w:rsidR="00A13246" w:rsidRPr="00C04B58">
        <w:rPr>
          <w:rFonts w:asciiTheme="majorHAnsi" w:hAnsiTheme="majorHAnsi"/>
          <w:bCs/>
          <w:szCs w:val="22"/>
        </w:rPr>
        <w:tab/>
      </w:r>
      <w:r w:rsidR="00A13246" w:rsidRPr="00C04B58">
        <w:rPr>
          <w:rFonts w:asciiTheme="majorHAnsi" w:hAnsiTheme="majorHAnsi" w:cs="Arial"/>
          <w:szCs w:val="22"/>
          <w:lang w:val="en-GB"/>
        </w:rPr>
        <w:t>Astana Financial Centre</w:t>
      </w:r>
    </w:p>
    <w:p w14:paraId="742C0684" w14:textId="77777777" w:rsidR="00B82EC1" w:rsidRPr="00C04B58" w:rsidRDefault="00B82EC1" w:rsidP="008D13CD">
      <w:pPr>
        <w:rPr>
          <w:rFonts w:asciiTheme="majorHAnsi" w:hAnsiTheme="majorHAnsi"/>
          <w:bCs/>
          <w:szCs w:val="22"/>
        </w:rPr>
      </w:pPr>
      <w:r w:rsidRPr="00C04B58">
        <w:rPr>
          <w:rFonts w:asciiTheme="majorHAnsi" w:hAnsiTheme="majorHAnsi"/>
          <w:bCs/>
          <w:szCs w:val="22"/>
        </w:rPr>
        <w:t>ANMR</w:t>
      </w:r>
      <w:r w:rsidRPr="00C04B58">
        <w:rPr>
          <w:rFonts w:asciiTheme="majorHAnsi" w:hAnsiTheme="majorHAnsi"/>
          <w:bCs/>
          <w:szCs w:val="22"/>
        </w:rPr>
        <w:tab/>
      </w:r>
      <w:r w:rsidRPr="00C04B58">
        <w:rPr>
          <w:rFonts w:asciiTheme="majorHAnsi" w:hAnsiTheme="majorHAnsi"/>
          <w:bCs/>
          <w:szCs w:val="22"/>
        </w:rPr>
        <w:tab/>
      </w:r>
      <w:r w:rsidRPr="00C04B58">
        <w:rPr>
          <w:rFonts w:asciiTheme="majorHAnsi" w:hAnsiTheme="majorHAnsi" w:cs="Calibri"/>
          <w:szCs w:val="22"/>
        </w:rPr>
        <w:t>Agency of the Republic of Kazakhstan on Regulation of Natural Monopolies</w:t>
      </w:r>
    </w:p>
    <w:p w14:paraId="5802EED0" w14:textId="77777777" w:rsidR="00FB6EC8" w:rsidRPr="00C04B58" w:rsidRDefault="00FB6EC8" w:rsidP="008D13CD">
      <w:pPr>
        <w:rPr>
          <w:rFonts w:asciiTheme="majorHAnsi" w:hAnsiTheme="majorHAnsi"/>
          <w:bCs/>
          <w:szCs w:val="22"/>
        </w:rPr>
      </w:pPr>
      <w:r w:rsidRPr="00C04B58">
        <w:rPr>
          <w:rFonts w:asciiTheme="majorHAnsi" w:hAnsiTheme="majorHAnsi"/>
          <w:bCs/>
          <w:szCs w:val="22"/>
        </w:rPr>
        <w:t>APA</w:t>
      </w:r>
      <w:r w:rsidR="00A13246" w:rsidRPr="00C04B58">
        <w:rPr>
          <w:rFonts w:asciiTheme="majorHAnsi" w:hAnsiTheme="majorHAnsi"/>
          <w:bCs/>
          <w:szCs w:val="22"/>
        </w:rPr>
        <w:tab/>
      </w:r>
      <w:r w:rsidR="00A13246" w:rsidRPr="00C04B58">
        <w:rPr>
          <w:rFonts w:asciiTheme="majorHAnsi" w:hAnsiTheme="majorHAnsi"/>
          <w:bCs/>
          <w:szCs w:val="22"/>
        </w:rPr>
        <w:tab/>
        <w:t>Annual Plan of Actions</w:t>
      </w:r>
    </w:p>
    <w:p w14:paraId="03907AF5" w14:textId="77777777" w:rsidR="00FB6EC8" w:rsidRPr="00C04B58" w:rsidRDefault="00FB6EC8" w:rsidP="008D13CD">
      <w:pPr>
        <w:rPr>
          <w:rFonts w:asciiTheme="majorHAnsi" w:hAnsiTheme="majorHAnsi"/>
          <w:bCs/>
          <w:szCs w:val="22"/>
        </w:rPr>
      </w:pPr>
      <w:r w:rsidRPr="00C04B58">
        <w:rPr>
          <w:rFonts w:asciiTheme="majorHAnsi" w:hAnsiTheme="majorHAnsi"/>
          <w:bCs/>
          <w:szCs w:val="22"/>
        </w:rPr>
        <w:t>AsDB</w:t>
      </w:r>
      <w:r w:rsidR="00A13246" w:rsidRPr="00C04B58">
        <w:rPr>
          <w:rFonts w:asciiTheme="majorHAnsi" w:hAnsiTheme="majorHAnsi"/>
          <w:bCs/>
          <w:szCs w:val="22"/>
        </w:rPr>
        <w:tab/>
      </w:r>
      <w:r w:rsidR="00A13246" w:rsidRPr="00C04B58">
        <w:rPr>
          <w:rFonts w:asciiTheme="majorHAnsi" w:hAnsiTheme="majorHAnsi"/>
          <w:bCs/>
          <w:szCs w:val="22"/>
        </w:rPr>
        <w:tab/>
        <w:t>Asian Development Bank</w:t>
      </w:r>
    </w:p>
    <w:p w14:paraId="58C9B0DD" w14:textId="77777777" w:rsidR="00FB6EC8" w:rsidRPr="00C04B58" w:rsidRDefault="00FB6EC8" w:rsidP="008D13CD">
      <w:pPr>
        <w:rPr>
          <w:rFonts w:asciiTheme="majorHAnsi" w:hAnsiTheme="majorHAnsi"/>
          <w:bCs/>
          <w:szCs w:val="22"/>
        </w:rPr>
      </w:pPr>
      <w:r w:rsidRPr="00C04B58">
        <w:rPr>
          <w:rFonts w:asciiTheme="majorHAnsi" w:hAnsiTheme="majorHAnsi"/>
          <w:bCs/>
          <w:szCs w:val="22"/>
        </w:rPr>
        <w:t>AWP</w:t>
      </w:r>
      <w:r w:rsidR="00A13246" w:rsidRPr="00C04B58">
        <w:rPr>
          <w:rFonts w:asciiTheme="majorHAnsi" w:hAnsiTheme="majorHAnsi"/>
          <w:bCs/>
          <w:szCs w:val="22"/>
        </w:rPr>
        <w:tab/>
      </w:r>
      <w:r w:rsidR="00A13246" w:rsidRPr="00C04B58">
        <w:rPr>
          <w:rFonts w:asciiTheme="majorHAnsi" w:hAnsiTheme="majorHAnsi"/>
          <w:bCs/>
          <w:szCs w:val="22"/>
        </w:rPr>
        <w:tab/>
        <w:t>Annual Work Plan</w:t>
      </w:r>
    </w:p>
    <w:p w14:paraId="4C930067" w14:textId="77777777" w:rsidR="00FB6EC8" w:rsidRPr="00C04B58" w:rsidRDefault="00FB6EC8" w:rsidP="008D13CD">
      <w:pPr>
        <w:rPr>
          <w:rFonts w:asciiTheme="majorHAnsi" w:hAnsiTheme="majorHAnsi"/>
          <w:bCs/>
          <w:szCs w:val="22"/>
        </w:rPr>
      </w:pPr>
      <w:r w:rsidRPr="00C04B58">
        <w:rPr>
          <w:rFonts w:asciiTheme="majorHAnsi" w:hAnsiTheme="majorHAnsi"/>
          <w:bCs/>
          <w:szCs w:val="22"/>
        </w:rPr>
        <w:t>BAU</w:t>
      </w:r>
      <w:r w:rsidR="00A13246" w:rsidRPr="00C04B58">
        <w:rPr>
          <w:rFonts w:asciiTheme="majorHAnsi" w:hAnsiTheme="majorHAnsi"/>
          <w:bCs/>
          <w:szCs w:val="22"/>
        </w:rPr>
        <w:tab/>
      </w:r>
      <w:r w:rsidR="00A13246" w:rsidRPr="00C04B58">
        <w:rPr>
          <w:rFonts w:asciiTheme="majorHAnsi" w:hAnsiTheme="majorHAnsi"/>
          <w:bCs/>
          <w:szCs w:val="22"/>
        </w:rPr>
        <w:tab/>
        <w:t>Business-as-usual</w:t>
      </w:r>
    </w:p>
    <w:p w14:paraId="3E833B65" w14:textId="77777777" w:rsidR="00B82EC1" w:rsidRPr="00C04B58" w:rsidRDefault="00B82EC1" w:rsidP="008D13CD">
      <w:pPr>
        <w:rPr>
          <w:rFonts w:asciiTheme="majorHAnsi" w:hAnsiTheme="majorHAnsi"/>
          <w:bCs/>
          <w:szCs w:val="22"/>
        </w:rPr>
      </w:pPr>
      <w:r w:rsidRPr="00C04B58">
        <w:rPr>
          <w:rFonts w:asciiTheme="majorHAnsi" w:hAnsiTheme="majorHAnsi"/>
          <w:bCs/>
          <w:szCs w:val="22"/>
        </w:rPr>
        <w:t>CD</w:t>
      </w:r>
      <w:r w:rsidRPr="00C04B58">
        <w:rPr>
          <w:rFonts w:asciiTheme="majorHAnsi" w:hAnsiTheme="majorHAnsi"/>
          <w:bCs/>
          <w:szCs w:val="22"/>
        </w:rPr>
        <w:tab/>
      </w:r>
      <w:r w:rsidRPr="00C04B58">
        <w:rPr>
          <w:rFonts w:asciiTheme="majorHAnsi" w:hAnsiTheme="majorHAnsi"/>
          <w:bCs/>
          <w:szCs w:val="22"/>
        </w:rPr>
        <w:tab/>
        <w:t>Country Director</w:t>
      </w:r>
    </w:p>
    <w:p w14:paraId="4B8A7293" w14:textId="77777777" w:rsidR="00B82EC1" w:rsidRPr="00C04B58" w:rsidRDefault="00B82EC1" w:rsidP="008D13CD">
      <w:pPr>
        <w:rPr>
          <w:rFonts w:asciiTheme="majorHAnsi" w:hAnsiTheme="majorHAnsi"/>
          <w:bCs/>
          <w:szCs w:val="22"/>
        </w:rPr>
      </w:pPr>
      <w:r w:rsidRPr="00C04B58">
        <w:rPr>
          <w:rFonts w:asciiTheme="majorHAnsi" w:hAnsiTheme="majorHAnsi"/>
          <w:bCs/>
          <w:szCs w:val="22"/>
        </w:rPr>
        <w:t>CDR</w:t>
      </w:r>
      <w:r w:rsidRPr="00C04B58">
        <w:rPr>
          <w:rFonts w:asciiTheme="majorHAnsi" w:hAnsiTheme="majorHAnsi"/>
          <w:bCs/>
          <w:szCs w:val="22"/>
        </w:rPr>
        <w:tab/>
      </w:r>
      <w:r w:rsidRPr="00C04B58">
        <w:rPr>
          <w:rFonts w:asciiTheme="majorHAnsi" w:hAnsiTheme="majorHAnsi"/>
          <w:bCs/>
          <w:szCs w:val="22"/>
        </w:rPr>
        <w:tab/>
        <w:t>Combined Delivery Reports</w:t>
      </w:r>
    </w:p>
    <w:p w14:paraId="195A45ED" w14:textId="77777777" w:rsidR="00FB6EC8" w:rsidRPr="00C04B58" w:rsidRDefault="00FB6EC8" w:rsidP="008D13CD">
      <w:pPr>
        <w:rPr>
          <w:rFonts w:asciiTheme="majorHAnsi" w:hAnsiTheme="majorHAnsi"/>
          <w:bCs/>
          <w:szCs w:val="22"/>
        </w:rPr>
      </w:pPr>
      <w:r w:rsidRPr="00C04B58">
        <w:rPr>
          <w:rFonts w:asciiTheme="majorHAnsi" w:hAnsiTheme="majorHAnsi"/>
          <w:bCs/>
          <w:szCs w:val="22"/>
        </w:rPr>
        <w:t>CHP</w:t>
      </w:r>
      <w:r w:rsidR="00A13246" w:rsidRPr="00C04B58">
        <w:rPr>
          <w:rFonts w:asciiTheme="majorHAnsi" w:hAnsiTheme="majorHAnsi"/>
          <w:bCs/>
          <w:szCs w:val="22"/>
        </w:rPr>
        <w:tab/>
      </w:r>
      <w:r w:rsidR="00A13246" w:rsidRPr="00C04B58">
        <w:rPr>
          <w:rFonts w:asciiTheme="majorHAnsi" w:hAnsiTheme="majorHAnsi"/>
          <w:bCs/>
          <w:szCs w:val="22"/>
        </w:rPr>
        <w:tab/>
        <w:t>Combined Heat and Power</w:t>
      </w:r>
    </w:p>
    <w:p w14:paraId="37394461" w14:textId="77777777" w:rsidR="008D13CD" w:rsidRPr="00C04B58" w:rsidRDefault="008D13CD" w:rsidP="008D13CD">
      <w:pPr>
        <w:rPr>
          <w:rFonts w:asciiTheme="majorHAnsi" w:hAnsiTheme="majorHAnsi"/>
          <w:szCs w:val="22"/>
        </w:rPr>
      </w:pPr>
      <w:r w:rsidRPr="00C04B58">
        <w:rPr>
          <w:rFonts w:asciiTheme="majorHAnsi" w:hAnsiTheme="majorHAnsi"/>
          <w:bCs/>
          <w:szCs w:val="22"/>
        </w:rPr>
        <w:t>CO</w:t>
      </w:r>
      <w:r w:rsidRPr="00C04B58">
        <w:rPr>
          <w:rFonts w:asciiTheme="majorHAnsi" w:hAnsiTheme="majorHAnsi"/>
          <w:szCs w:val="22"/>
        </w:rPr>
        <w:tab/>
      </w:r>
      <w:r w:rsidRPr="00C04B58">
        <w:rPr>
          <w:rFonts w:asciiTheme="majorHAnsi" w:hAnsiTheme="majorHAnsi"/>
          <w:szCs w:val="22"/>
        </w:rPr>
        <w:tab/>
        <w:t>UNDP Country Office</w:t>
      </w:r>
    </w:p>
    <w:p w14:paraId="2B010851" w14:textId="77777777" w:rsidR="008D13CD" w:rsidRPr="00C04B58" w:rsidRDefault="008D13CD" w:rsidP="008D13CD">
      <w:pPr>
        <w:rPr>
          <w:rFonts w:asciiTheme="majorHAnsi" w:hAnsiTheme="majorHAnsi"/>
          <w:szCs w:val="22"/>
        </w:rPr>
      </w:pPr>
      <w:r w:rsidRPr="00C04B58">
        <w:rPr>
          <w:rFonts w:asciiTheme="majorHAnsi" w:hAnsiTheme="majorHAnsi"/>
          <w:bCs/>
          <w:szCs w:val="22"/>
        </w:rPr>
        <w:t>CO</w:t>
      </w:r>
      <w:r w:rsidRPr="00C04B58">
        <w:rPr>
          <w:rFonts w:asciiTheme="majorHAnsi" w:hAnsiTheme="majorHAnsi"/>
          <w:bCs/>
          <w:szCs w:val="22"/>
          <w:vertAlign w:val="subscript"/>
        </w:rPr>
        <w:t>2</w:t>
      </w:r>
      <w:r w:rsidRPr="00C04B58">
        <w:rPr>
          <w:rFonts w:asciiTheme="majorHAnsi" w:hAnsiTheme="majorHAnsi"/>
          <w:szCs w:val="22"/>
        </w:rPr>
        <w:tab/>
      </w:r>
      <w:r w:rsidRPr="00C04B58">
        <w:rPr>
          <w:rFonts w:asciiTheme="majorHAnsi" w:hAnsiTheme="majorHAnsi"/>
          <w:szCs w:val="22"/>
        </w:rPr>
        <w:tab/>
        <w:t>Carbon dioxide</w:t>
      </w:r>
    </w:p>
    <w:p w14:paraId="61A8E56A" w14:textId="77777777" w:rsidR="00FB6EC8" w:rsidRPr="00C04B58" w:rsidRDefault="00FB6EC8" w:rsidP="008D13CD">
      <w:pPr>
        <w:rPr>
          <w:rFonts w:asciiTheme="majorHAnsi" w:hAnsiTheme="majorHAnsi" w:cs="Arial"/>
          <w:bCs/>
          <w:szCs w:val="22"/>
          <w:lang w:eastAsia="fi-FI"/>
        </w:rPr>
      </w:pPr>
      <w:r w:rsidRPr="00C04B58">
        <w:rPr>
          <w:rFonts w:asciiTheme="majorHAnsi" w:hAnsiTheme="majorHAnsi" w:cs="Arial"/>
          <w:bCs/>
          <w:szCs w:val="22"/>
          <w:lang w:eastAsia="fi-FI"/>
        </w:rPr>
        <w:t>CTF</w:t>
      </w:r>
      <w:r w:rsidR="00A13246" w:rsidRPr="00C04B58">
        <w:rPr>
          <w:rFonts w:asciiTheme="majorHAnsi" w:hAnsiTheme="majorHAnsi" w:cs="Arial"/>
          <w:bCs/>
          <w:szCs w:val="22"/>
          <w:lang w:eastAsia="fi-FI"/>
        </w:rPr>
        <w:tab/>
      </w:r>
      <w:r w:rsidR="00A13246" w:rsidRPr="00C04B58">
        <w:rPr>
          <w:rFonts w:asciiTheme="majorHAnsi" w:hAnsiTheme="majorHAnsi" w:cs="Arial"/>
          <w:bCs/>
          <w:szCs w:val="22"/>
          <w:lang w:eastAsia="fi-FI"/>
        </w:rPr>
        <w:tab/>
        <w:t>Clean Technology Fund</w:t>
      </w:r>
    </w:p>
    <w:p w14:paraId="2775F31E" w14:textId="77777777" w:rsidR="00FB6EC8" w:rsidRPr="00C04B58" w:rsidRDefault="00FB6EC8" w:rsidP="004622EC">
      <w:pPr>
        <w:rPr>
          <w:rFonts w:asciiTheme="majorHAnsi" w:eastAsia="Times New Roman" w:hAnsiTheme="majorHAnsi"/>
          <w:szCs w:val="22"/>
        </w:rPr>
      </w:pPr>
      <w:r w:rsidRPr="00C04B58">
        <w:rPr>
          <w:rFonts w:asciiTheme="majorHAnsi" w:hAnsiTheme="majorHAnsi" w:cs="Arial"/>
          <w:bCs/>
          <w:szCs w:val="22"/>
          <w:lang w:eastAsia="fi-FI"/>
        </w:rPr>
        <w:t>DAMU</w:t>
      </w:r>
      <w:r w:rsidR="00A13246" w:rsidRPr="00C04B58">
        <w:rPr>
          <w:rFonts w:asciiTheme="majorHAnsi" w:hAnsiTheme="majorHAnsi" w:cs="Arial"/>
          <w:bCs/>
          <w:szCs w:val="22"/>
          <w:lang w:eastAsia="fi-FI"/>
        </w:rPr>
        <w:tab/>
      </w:r>
      <w:r w:rsidR="00A13246" w:rsidRPr="00C04B58">
        <w:rPr>
          <w:rFonts w:asciiTheme="majorHAnsi" w:hAnsiTheme="majorHAnsi" w:cs="Arial"/>
          <w:bCs/>
          <w:szCs w:val="22"/>
          <w:lang w:eastAsia="fi-FI"/>
        </w:rPr>
        <w:tab/>
      </w:r>
      <w:r w:rsidR="00806A0D" w:rsidRPr="00C04B58">
        <w:rPr>
          <w:rFonts w:asciiTheme="majorHAnsi" w:hAnsiTheme="majorHAnsi" w:cs="Arial"/>
          <w:bCs/>
          <w:szCs w:val="22"/>
          <w:lang w:eastAsia="fi-FI"/>
        </w:rPr>
        <w:t>Entrepreneurship Development Fund</w:t>
      </w:r>
    </w:p>
    <w:p w14:paraId="72FC970B" w14:textId="77777777" w:rsidR="00B82EC1" w:rsidRPr="00C04B58" w:rsidRDefault="00B82EC1" w:rsidP="008D13CD">
      <w:pPr>
        <w:rPr>
          <w:rFonts w:asciiTheme="majorHAnsi" w:hAnsiTheme="majorHAnsi" w:cs="Arial"/>
          <w:bCs/>
          <w:szCs w:val="22"/>
          <w:lang w:eastAsia="fi-FI"/>
        </w:rPr>
      </w:pPr>
      <w:r w:rsidRPr="00C04B58">
        <w:rPr>
          <w:rFonts w:asciiTheme="majorHAnsi" w:hAnsiTheme="majorHAnsi" w:cs="Arial"/>
          <w:bCs/>
          <w:szCs w:val="22"/>
          <w:lang w:eastAsia="fi-FI"/>
        </w:rPr>
        <w:t>DCD</w:t>
      </w:r>
      <w:r w:rsidRPr="00C04B58">
        <w:rPr>
          <w:rFonts w:asciiTheme="majorHAnsi" w:hAnsiTheme="majorHAnsi" w:cs="Arial"/>
          <w:bCs/>
          <w:szCs w:val="22"/>
          <w:lang w:eastAsia="fi-FI"/>
        </w:rPr>
        <w:tab/>
      </w:r>
      <w:r w:rsidRPr="00C04B58">
        <w:rPr>
          <w:rFonts w:asciiTheme="majorHAnsi" w:hAnsiTheme="majorHAnsi" w:cs="Arial"/>
          <w:bCs/>
          <w:szCs w:val="22"/>
          <w:lang w:eastAsia="fi-FI"/>
        </w:rPr>
        <w:tab/>
        <w:t>Deputy Country Director</w:t>
      </w:r>
    </w:p>
    <w:p w14:paraId="5F3B7655" w14:textId="77777777" w:rsidR="00FB6EC8" w:rsidRPr="00C04B58" w:rsidRDefault="00FB6EC8" w:rsidP="008D13CD">
      <w:pPr>
        <w:rPr>
          <w:rFonts w:asciiTheme="majorHAnsi" w:hAnsiTheme="majorHAnsi" w:cs="Arial"/>
          <w:bCs/>
          <w:szCs w:val="22"/>
          <w:lang w:eastAsia="fi-FI"/>
        </w:rPr>
      </w:pPr>
      <w:r w:rsidRPr="00C04B58">
        <w:rPr>
          <w:rFonts w:asciiTheme="majorHAnsi" w:hAnsiTheme="majorHAnsi" w:cs="Arial"/>
          <w:bCs/>
          <w:szCs w:val="22"/>
          <w:lang w:eastAsia="fi-FI"/>
        </w:rPr>
        <w:t>DREI</w:t>
      </w:r>
      <w:r w:rsidR="00806A0D" w:rsidRPr="00C04B58">
        <w:rPr>
          <w:rFonts w:asciiTheme="majorHAnsi" w:hAnsiTheme="majorHAnsi" w:cs="Arial"/>
          <w:bCs/>
          <w:szCs w:val="22"/>
          <w:lang w:eastAsia="fi-FI"/>
        </w:rPr>
        <w:tab/>
      </w:r>
      <w:r w:rsidR="00806A0D" w:rsidRPr="00C04B58">
        <w:rPr>
          <w:rFonts w:asciiTheme="majorHAnsi" w:hAnsiTheme="majorHAnsi" w:cs="Arial"/>
          <w:bCs/>
          <w:szCs w:val="22"/>
          <w:lang w:eastAsia="fi-FI"/>
        </w:rPr>
        <w:tab/>
        <w:t>Derisking Renewable Energy Investment</w:t>
      </w:r>
    </w:p>
    <w:p w14:paraId="0737861B" w14:textId="77777777" w:rsidR="00B82EC1" w:rsidRPr="00C04B58" w:rsidRDefault="00B82EC1" w:rsidP="008D13CD">
      <w:pPr>
        <w:rPr>
          <w:rFonts w:asciiTheme="majorHAnsi" w:hAnsiTheme="majorHAnsi" w:cs="Arial"/>
          <w:bCs/>
          <w:szCs w:val="22"/>
          <w:lang w:eastAsia="fi-FI"/>
        </w:rPr>
      </w:pPr>
      <w:r w:rsidRPr="00C04B58">
        <w:rPr>
          <w:rFonts w:asciiTheme="majorHAnsi" w:hAnsiTheme="majorHAnsi" w:cs="Arial"/>
          <w:bCs/>
          <w:szCs w:val="22"/>
          <w:lang w:eastAsia="fi-FI"/>
        </w:rPr>
        <w:t>DRR</w:t>
      </w:r>
      <w:r w:rsidRPr="00C04B58">
        <w:rPr>
          <w:rFonts w:asciiTheme="majorHAnsi" w:hAnsiTheme="majorHAnsi" w:cs="Arial"/>
          <w:bCs/>
          <w:szCs w:val="22"/>
          <w:lang w:eastAsia="fi-FI"/>
        </w:rPr>
        <w:tab/>
      </w:r>
      <w:r w:rsidRPr="00C04B58">
        <w:rPr>
          <w:rFonts w:asciiTheme="majorHAnsi" w:hAnsiTheme="majorHAnsi" w:cs="Arial"/>
          <w:bCs/>
          <w:szCs w:val="22"/>
          <w:lang w:eastAsia="fi-FI"/>
        </w:rPr>
        <w:tab/>
        <w:t>Deputy Resident Representative</w:t>
      </w:r>
    </w:p>
    <w:p w14:paraId="78206A82" w14:textId="77777777" w:rsidR="008D13CD" w:rsidRPr="00C04B58" w:rsidRDefault="008D13CD" w:rsidP="008D13CD">
      <w:pPr>
        <w:rPr>
          <w:rFonts w:asciiTheme="majorHAnsi" w:hAnsiTheme="majorHAnsi" w:cs="Arial"/>
          <w:bCs/>
          <w:szCs w:val="22"/>
          <w:lang w:eastAsia="fi-FI"/>
        </w:rPr>
      </w:pPr>
      <w:r w:rsidRPr="00C04B58">
        <w:rPr>
          <w:rFonts w:asciiTheme="majorHAnsi" w:hAnsiTheme="majorHAnsi" w:cs="Arial"/>
          <w:bCs/>
          <w:szCs w:val="22"/>
          <w:lang w:eastAsia="fi-FI"/>
        </w:rPr>
        <w:t>EBRD</w:t>
      </w:r>
      <w:r w:rsidRPr="00C04B58">
        <w:rPr>
          <w:rFonts w:asciiTheme="majorHAnsi" w:hAnsiTheme="majorHAnsi" w:cs="Arial"/>
          <w:bCs/>
          <w:szCs w:val="22"/>
          <w:lang w:eastAsia="fi-FI"/>
        </w:rPr>
        <w:tab/>
      </w:r>
      <w:r w:rsidRPr="00C04B58">
        <w:rPr>
          <w:rFonts w:asciiTheme="majorHAnsi" w:hAnsiTheme="majorHAnsi" w:cs="Arial"/>
          <w:bCs/>
          <w:szCs w:val="22"/>
          <w:lang w:eastAsia="fi-FI"/>
        </w:rPr>
        <w:tab/>
        <w:t xml:space="preserve">European Bank for Reconstruction and Development </w:t>
      </w:r>
    </w:p>
    <w:p w14:paraId="0EA2FFFB" w14:textId="77777777" w:rsidR="008D13CD" w:rsidRPr="00C04B58" w:rsidRDefault="008D13CD" w:rsidP="008D13CD">
      <w:pPr>
        <w:rPr>
          <w:rFonts w:asciiTheme="majorHAnsi" w:hAnsiTheme="majorHAnsi" w:cs="Arial"/>
          <w:szCs w:val="22"/>
          <w:lang w:eastAsia="fi-FI"/>
        </w:rPr>
      </w:pPr>
      <w:r w:rsidRPr="00C04B58">
        <w:rPr>
          <w:rFonts w:asciiTheme="majorHAnsi" w:hAnsiTheme="majorHAnsi" w:cs="Arial"/>
          <w:bCs/>
          <w:szCs w:val="22"/>
          <w:lang w:eastAsia="fi-FI"/>
        </w:rPr>
        <w:t>EE</w:t>
      </w:r>
      <w:r w:rsidRPr="00C04B58">
        <w:rPr>
          <w:rFonts w:asciiTheme="majorHAnsi" w:hAnsiTheme="majorHAnsi"/>
          <w:szCs w:val="22"/>
          <w:lang w:eastAsia="fi-FI"/>
        </w:rPr>
        <w:tab/>
      </w:r>
      <w:r w:rsidRPr="00C04B58">
        <w:rPr>
          <w:rFonts w:asciiTheme="majorHAnsi" w:hAnsiTheme="majorHAnsi"/>
          <w:szCs w:val="22"/>
          <w:lang w:eastAsia="fi-FI"/>
        </w:rPr>
        <w:tab/>
      </w:r>
      <w:r w:rsidRPr="00C04B58">
        <w:rPr>
          <w:rFonts w:asciiTheme="majorHAnsi" w:hAnsiTheme="majorHAnsi" w:cs="Arial"/>
          <w:szCs w:val="22"/>
          <w:lang w:eastAsia="fi-FI"/>
        </w:rPr>
        <w:t>Energy Efficiency</w:t>
      </w:r>
    </w:p>
    <w:p w14:paraId="1E42F250" w14:textId="77777777" w:rsidR="008D13CD" w:rsidRPr="00C04B58" w:rsidRDefault="008D13CD" w:rsidP="008D13CD">
      <w:pPr>
        <w:rPr>
          <w:rFonts w:asciiTheme="majorHAnsi" w:hAnsiTheme="majorHAnsi" w:cs="Arial"/>
          <w:bCs/>
          <w:szCs w:val="22"/>
        </w:rPr>
      </w:pPr>
      <w:r w:rsidRPr="00C04B58">
        <w:rPr>
          <w:rFonts w:asciiTheme="majorHAnsi" w:hAnsiTheme="majorHAnsi" w:cs="Arial"/>
          <w:bCs/>
          <w:szCs w:val="22"/>
        </w:rPr>
        <w:t>EIA</w:t>
      </w:r>
      <w:r w:rsidRPr="00C04B58">
        <w:rPr>
          <w:rFonts w:asciiTheme="majorHAnsi" w:hAnsiTheme="majorHAnsi" w:cs="Arial"/>
          <w:bCs/>
          <w:szCs w:val="22"/>
        </w:rPr>
        <w:tab/>
      </w:r>
      <w:r w:rsidRPr="00C04B58">
        <w:rPr>
          <w:rFonts w:asciiTheme="majorHAnsi" w:hAnsiTheme="majorHAnsi" w:cs="Arial"/>
          <w:bCs/>
          <w:szCs w:val="22"/>
        </w:rPr>
        <w:tab/>
        <w:t>Environmental Impact Assessment</w:t>
      </w:r>
    </w:p>
    <w:p w14:paraId="0956AE66"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t>EIB</w:t>
      </w:r>
      <w:r w:rsidR="00806A0D" w:rsidRPr="00C04B58">
        <w:rPr>
          <w:rFonts w:asciiTheme="majorHAnsi" w:hAnsiTheme="majorHAnsi" w:cs="Arial"/>
          <w:bCs/>
          <w:szCs w:val="22"/>
        </w:rPr>
        <w:tab/>
      </w:r>
      <w:r w:rsidR="00806A0D" w:rsidRPr="00C04B58">
        <w:rPr>
          <w:rFonts w:asciiTheme="majorHAnsi" w:hAnsiTheme="majorHAnsi" w:cs="Arial"/>
          <w:bCs/>
          <w:szCs w:val="22"/>
        </w:rPr>
        <w:tab/>
        <w:t>European Investment Bank</w:t>
      </w:r>
    </w:p>
    <w:p w14:paraId="5D6D2F88" w14:textId="77777777" w:rsidR="008D13CD" w:rsidRPr="00C04B58" w:rsidRDefault="008D13CD" w:rsidP="008D13CD">
      <w:pPr>
        <w:rPr>
          <w:rFonts w:asciiTheme="majorHAnsi" w:hAnsiTheme="majorHAnsi" w:cs="Arial"/>
          <w:bCs/>
          <w:szCs w:val="22"/>
        </w:rPr>
      </w:pPr>
      <w:r w:rsidRPr="00C04B58">
        <w:rPr>
          <w:rFonts w:asciiTheme="majorHAnsi" w:hAnsiTheme="majorHAnsi" w:cs="Arial"/>
          <w:bCs/>
          <w:szCs w:val="22"/>
        </w:rPr>
        <w:t>EMS</w:t>
      </w:r>
      <w:r w:rsidRPr="00C04B58">
        <w:rPr>
          <w:rFonts w:asciiTheme="majorHAnsi" w:hAnsiTheme="majorHAnsi" w:cs="Arial"/>
          <w:bCs/>
          <w:szCs w:val="22"/>
        </w:rPr>
        <w:tab/>
      </w:r>
      <w:r w:rsidRPr="00C04B58">
        <w:rPr>
          <w:rFonts w:asciiTheme="majorHAnsi" w:hAnsiTheme="majorHAnsi" w:cs="Arial"/>
          <w:bCs/>
          <w:szCs w:val="22"/>
        </w:rPr>
        <w:tab/>
        <w:t>Energy Management System</w:t>
      </w:r>
    </w:p>
    <w:p w14:paraId="40C56240" w14:textId="77777777" w:rsidR="008D13CD" w:rsidRPr="00C04B58" w:rsidRDefault="008D13CD" w:rsidP="008D13CD">
      <w:pPr>
        <w:rPr>
          <w:rFonts w:asciiTheme="majorHAnsi" w:hAnsiTheme="majorHAnsi" w:cs="Arial"/>
          <w:bCs/>
          <w:szCs w:val="22"/>
        </w:rPr>
      </w:pPr>
      <w:r w:rsidRPr="00C04B58">
        <w:rPr>
          <w:rFonts w:asciiTheme="majorHAnsi" w:hAnsiTheme="majorHAnsi" w:cs="Arial"/>
          <w:bCs/>
          <w:szCs w:val="22"/>
        </w:rPr>
        <w:t>EMIS</w:t>
      </w:r>
      <w:r w:rsidRPr="00C04B58">
        <w:rPr>
          <w:rFonts w:asciiTheme="majorHAnsi" w:hAnsiTheme="majorHAnsi" w:cs="Arial"/>
          <w:bCs/>
          <w:szCs w:val="22"/>
        </w:rPr>
        <w:tab/>
      </w:r>
      <w:r w:rsidRPr="00C04B58">
        <w:rPr>
          <w:rFonts w:asciiTheme="majorHAnsi" w:hAnsiTheme="majorHAnsi" w:cs="Arial"/>
          <w:bCs/>
          <w:szCs w:val="22"/>
        </w:rPr>
        <w:tab/>
        <w:t>Energy Management Information System</w:t>
      </w:r>
    </w:p>
    <w:p w14:paraId="6F571607" w14:textId="77777777" w:rsidR="00B82EC1" w:rsidRPr="00C04B58" w:rsidRDefault="00B82EC1" w:rsidP="008D13CD">
      <w:pPr>
        <w:rPr>
          <w:rFonts w:asciiTheme="majorHAnsi" w:hAnsiTheme="majorHAnsi" w:cs="Arial"/>
          <w:bCs/>
          <w:szCs w:val="22"/>
        </w:rPr>
      </w:pPr>
      <w:r w:rsidRPr="00C04B58">
        <w:rPr>
          <w:rFonts w:asciiTheme="majorHAnsi" w:hAnsiTheme="majorHAnsi" w:cs="Arial"/>
          <w:bCs/>
          <w:szCs w:val="22"/>
        </w:rPr>
        <w:t>ERC</w:t>
      </w:r>
      <w:r w:rsidRPr="00C04B58">
        <w:rPr>
          <w:rFonts w:asciiTheme="majorHAnsi" w:hAnsiTheme="majorHAnsi" w:cs="Arial"/>
          <w:bCs/>
          <w:szCs w:val="22"/>
        </w:rPr>
        <w:tab/>
      </w:r>
      <w:r w:rsidRPr="00C04B58">
        <w:rPr>
          <w:rFonts w:asciiTheme="majorHAnsi" w:hAnsiTheme="majorHAnsi" w:cs="Arial"/>
          <w:bCs/>
          <w:szCs w:val="22"/>
        </w:rPr>
        <w:tab/>
        <w:t>UNDP Evaluation Resources Center</w:t>
      </w:r>
    </w:p>
    <w:p w14:paraId="7AF4F024"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t>ESIA</w:t>
      </w:r>
      <w:r w:rsidR="00806A0D" w:rsidRPr="00C04B58">
        <w:rPr>
          <w:rFonts w:asciiTheme="majorHAnsi" w:hAnsiTheme="majorHAnsi" w:cs="Arial"/>
          <w:bCs/>
          <w:szCs w:val="22"/>
        </w:rPr>
        <w:tab/>
      </w:r>
      <w:r w:rsidR="00806A0D" w:rsidRPr="00C04B58">
        <w:rPr>
          <w:rFonts w:asciiTheme="majorHAnsi" w:hAnsiTheme="majorHAnsi" w:cs="Arial"/>
          <w:bCs/>
          <w:szCs w:val="22"/>
        </w:rPr>
        <w:tab/>
        <w:t>Environmental and Social Impact Assessment</w:t>
      </w:r>
    </w:p>
    <w:p w14:paraId="21ADA0F9" w14:textId="77777777" w:rsidR="008D13CD" w:rsidRPr="00C04B58" w:rsidRDefault="008D13CD" w:rsidP="008D13CD">
      <w:pPr>
        <w:rPr>
          <w:rFonts w:asciiTheme="majorHAnsi" w:hAnsiTheme="majorHAnsi" w:cs="Arial"/>
          <w:szCs w:val="22"/>
        </w:rPr>
      </w:pPr>
      <w:r w:rsidRPr="00C04B58">
        <w:rPr>
          <w:rFonts w:asciiTheme="majorHAnsi" w:hAnsiTheme="majorHAnsi" w:cs="Arial"/>
          <w:bCs/>
          <w:szCs w:val="22"/>
        </w:rPr>
        <w:t>EU</w:t>
      </w:r>
      <w:r w:rsidRPr="00C04B58">
        <w:rPr>
          <w:rFonts w:asciiTheme="majorHAnsi" w:hAnsiTheme="majorHAnsi" w:cs="Arial"/>
          <w:szCs w:val="22"/>
        </w:rPr>
        <w:tab/>
      </w:r>
      <w:r w:rsidRPr="00C04B58">
        <w:rPr>
          <w:rFonts w:asciiTheme="majorHAnsi" w:hAnsiTheme="majorHAnsi" w:cs="Arial"/>
          <w:szCs w:val="22"/>
        </w:rPr>
        <w:tab/>
        <w:t>European Union</w:t>
      </w:r>
    </w:p>
    <w:p w14:paraId="1D0528BB" w14:textId="77777777" w:rsidR="008D13CD" w:rsidRPr="00C04B58" w:rsidRDefault="008D13CD" w:rsidP="008D13CD">
      <w:pPr>
        <w:rPr>
          <w:rFonts w:asciiTheme="majorHAnsi" w:hAnsiTheme="majorHAnsi" w:cs="Arial"/>
          <w:bCs/>
          <w:szCs w:val="22"/>
        </w:rPr>
      </w:pPr>
      <w:r w:rsidRPr="00C04B58">
        <w:rPr>
          <w:rFonts w:asciiTheme="majorHAnsi" w:hAnsiTheme="majorHAnsi" w:cs="Arial"/>
          <w:bCs/>
          <w:szCs w:val="22"/>
        </w:rPr>
        <w:t>EUR</w:t>
      </w:r>
      <w:r w:rsidRPr="00C04B58">
        <w:rPr>
          <w:rFonts w:asciiTheme="majorHAnsi" w:hAnsiTheme="majorHAnsi" w:cs="Arial"/>
          <w:bCs/>
          <w:szCs w:val="22"/>
        </w:rPr>
        <w:tab/>
      </w:r>
      <w:r w:rsidRPr="00C04B58">
        <w:rPr>
          <w:rFonts w:asciiTheme="majorHAnsi" w:hAnsiTheme="majorHAnsi" w:cs="Arial"/>
          <w:bCs/>
          <w:szCs w:val="22"/>
        </w:rPr>
        <w:tab/>
        <w:t>Euros</w:t>
      </w:r>
    </w:p>
    <w:p w14:paraId="69F85138"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t>FFSA</w:t>
      </w:r>
      <w:r w:rsidR="00806A0D" w:rsidRPr="00C04B58">
        <w:rPr>
          <w:rFonts w:asciiTheme="majorHAnsi" w:hAnsiTheme="majorHAnsi" w:cs="Arial"/>
          <w:bCs/>
          <w:szCs w:val="22"/>
        </w:rPr>
        <w:tab/>
      </w:r>
      <w:r w:rsidR="00806A0D" w:rsidRPr="00C04B58">
        <w:rPr>
          <w:rFonts w:asciiTheme="majorHAnsi" w:hAnsiTheme="majorHAnsi" w:cs="Arial"/>
          <w:bCs/>
          <w:szCs w:val="22"/>
        </w:rPr>
        <w:tab/>
        <w:t>Fund for Financial Support of Agriculture</w:t>
      </w:r>
    </w:p>
    <w:p w14:paraId="7650AF87"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t>FiT</w:t>
      </w:r>
      <w:r w:rsidR="00806A0D" w:rsidRPr="00C04B58">
        <w:rPr>
          <w:rFonts w:asciiTheme="majorHAnsi" w:hAnsiTheme="majorHAnsi" w:cs="Arial"/>
          <w:bCs/>
          <w:szCs w:val="22"/>
        </w:rPr>
        <w:tab/>
      </w:r>
      <w:r w:rsidR="00806A0D" w:rsidRPr="00C04B58">
        <w:rPr>
          <w:rFonts w:asciiTheme="majorHAnsi" w:hAnsiTheme="majorHAnsi" w:cs="Arial"/>
          <w:bCs/>
          <w:szCs w:val="22"/>
        </w:rPr>
        <w:tab/>
        <w:t>Feed in Tariff</w:t>
      </w:r>
    </w:p>
    <w:p w14:paraId="106AB440" w14:textId="77777777" w:rsidR="0051197F" w:rsidRPr="00C04B58" w:rsidRDefault="0051197F" w:rsidP="008D13CD">
      <w:pPr>
        <w:rPr>
          <w:rFonts w:asciiTheme="majorHAnsi" w:hAnsiTheme="majorHAnsi" w:cs="Arial"/>
          <w:bCs/>
          <w:szCs w:val="22"/>
        </w:rPr>
      </w:pPr>
      <w:r w:rsidRPr="00C04B58">
        <w:rPr>
          <w:rFonts w:asciiTheme="majorHAnsi" w:hAnsiTheme="majorHAnsi" w:cs="Arial"/>
          <w:bCs/>
          <w:szCs w:val="22"/>
        </w:rPr>
        <w:t>FSP</w:t>
      </w:r>
      <w:r w:rsidRPr="00C04B58">
        <w:rPr>
          <w:rFonts w:asciiTheme="majorHAnsi" w:hAnsiTheme="majorHAnsi" w:cs="Arial"/>
          <w:bCs/>
          <w:szCs w:val="22"/>
        </w:rPr>
        <w:tab/>
      </w:r>
      <w:r w:rsidRPr="00C04B58">
        <w:rPr>
          <w:rFonts w:asciiTheme="majorHAnsi" w:hAnsiTheme="majorHAnsi" w:cs="Arial"/>
          <w:bCs/>
          <w:szCs w:val="22"/>
        </w:rPr>
        <w:tab/>
        <w:t>Full sized project</w:t>
      </w:r>
    </w:p>
    <w:p w14:paraId="6891A56F" w14:textId="77777777" w:rsidR="008D13CD" w:rsidRPr="00C04B58" w:rsidRDefault="008D13CD" w:rsidP="008D13CD">
      <w:pPr>
        <w:rPr>
          <w:rFonts w:asciiTheme="majorHAnsi" w:hAnsiTheme="majorHAnsi" w:cs="Arial"/>
          <w:szCs w:val="22"/>
        </w:rPr>
      </w:pPr>
      <w:r w:rsidRPr="00C04B58">
        <w:rPr>
          <w:rFonts w:asciiTheme="majorHAnsi" w:hAnsiTheme="majorHAnsi" w:cs="Arial"/>
          <w:bCs/>
          <w:szCs w:val="22"/>
        </w:rPr>
        <w:t>GDP</w:t>
      </w:r>
      <w:r w:rsidRPr="00C04B58">
        <w:rPr>
          <w:rFonts w:asciiTheme="majorHAnsi" w:hAnsiTheme="majorHAnsi" w:cs="Arial"/>
          <w:szCs w:val="22"/>
        </w:rPr>
        <w:tab/>
      </w:r>
      <w:r w:rsidRPr="00C04B58">
        <w:rPr>
          <w:rFonts w:asciiTheme="majorHAnsi" w:hAnsiTheme="majorHAnsi" w:cs="Arial"/>
          <w:szCs w:val="22"/>
        </w:rPr>
        <w:tab/>
        <w:t>Gross Domestic Product</w:t>
      </w:r>
    </w:p>
    <w:p w14:paraId="36847748" w14:textId="77777777" w:rsidR="008D13CD" w:rsidRPr="00C04B58" w:rsidRDefault="008D13CD" w:rsidP="008D13CD">
      <w:pPr>
        <w:rPr>
          <w:rFonts w:asciiTheme="majorHAnsi" w:hAnsiTheme="majorHAnsi" w:cs="Arial"/>
          <w:szCs w:val="22"/>
        </w:rPr>
      </w:pPr>
      <w:r w:rsidRPr="00C04B58">
        <w:rPr>
          <w:rFonts w:asciiTheme="majorHAnsi" w:hAnsiTheme="majorHAnsi" w:cs="Arial"/>
          <w:bCs/>
          <w:szCs w:val="22"/>
        </w:rPr>
        <w:t>GEF</w:t>
      </w:r>
      <w:r w:rsidRPr="00C04B58">
        <w:rPr>
          <w:rFonts w:asciiTheme="majorHAnsi" w:hAnsiTheme="majorHAnsi" w:cs="Arial"/>
          <w:szCs w:val="22"/>
        </w:rPr>
        <w:tab/>
      </w:r>
      <w:r w:rsidRPr="00C04B58">
        <w:rPr>
          <w:rFonts w:asciiTheme="majorHAnsi" w:hAnsiTheme="majorHAnsi" w:cs="Arial"/>
          <w:szCs w:val="22"/>
        </w:rPr>
        <w:tab/>
        <w:t>Global Environment Facility</w:t>
      </w:r>
    </w:p>
    <w:p w14:paraId="12E0C479" w14:textId="77777777" w:rsidR="0051197F" w:rsidRPr="00C04B58" w:rsidRDefault="0051197F" w:rsidP="008D13CD">
      <w:pPr>
        <w:rPr>
          <w:rFonts w:asciiTheme="majorHAnsi" w:hAnsiTheme="majorHAnsi" w:cs="Arial"/>
          <w:szCs w:val="22"/>
        </w:rPr>
      </w:pPr>
      <w:r w:rsidRPr="00C04B58">
        <w:rPr>
          <w:rFonts w:asciiTheme="majorHAnsi" w:hAnsiTheme="majorHAnsi" w:cs="Arial"/>
          <w:szCs w:val="22"/>
        </w:rPr>
        <w:t>GEF Sec</w:t>
      </w:r>
      <w:r w:rsidRPr="00C04B58">
        <w:rPr>
          <w:rFonts w:asciiTheme="majorHAnsi" w:hAnsiTheme="majorHAnsi" w:cs="Arial"/>
          <w:szCs w:val="22"/>
        </w:rPr>
        <w:tab/>
      </w:r>
      <w:r w:rsidRPr="00C04B58">
        <w:rPr>
          <w:rFonts w:asciiTheme="majorHAnsi" w:hAnsiTheme="majorHAnsi" w:cs="Arial"/>
          <w:szCs w:val="22"/>
        </w:rPr>
        <w:tab/>
        <w:t>Global Environment Facility Secretariat</w:t>
      </w:r>
    </w:p>
    <w:p w14:paraId="53DE1C17" w14:textId="77777777" w:rsidR="008D13CD" w:rsidRPr="00C04B58" w:rsidRDefault="008D13CD" w:rsidP="008D13CD">
      <w:pPr>
        <w:rPr>
          <w:rFonts w:asciiTheme="majorHAnsi" w:hAnsiTheme="majorHAnsi" w:cs="Arial"/>
          <w:szCs w:val="22"/>
        </w:rPr>
      </w:pPr>
      <w:r w:rsidRPr="00C04B58">
        <w:rPr>
          <w:rFonts w:asciiTheme="majorHAnsi" w:hAnsiTheme="majorHAnsi" w:cs="Arial"/>
          <w:bCs/>
          <w:szCs w:val="22"/>
        </w:rPr>
        <w:t>GHG</w:t>
      </w:r>
      <w:r w:rsidRPr="00C04B58">
        <w:rPr>
          <w:rFonts w:asciiTheme="majorHAnsi" w:hAnsiTheme="majorHAnsi" w:cs="Arial"/>
          <w:szCs w:val="22"/>
        </w:rPr>
        <w:tab/>
      </w:r>
      <w:r w:rsidRPr="00C04B58">
        <w:rPr>
          <w:rFonts w:asciiTheme="majorHAnsi" w:hAnsiTheme="majorHAnsi" w:cs="Arial"/>
          <w:szCs w:val="22"/>
        </w:rPr>
        <w:tab/>
        <w:t>Greenhouse Gas</w:t>
      </w:r>
    </w:p>
    <w:p w14:paraId="0AE878CC" w14:textId="77777777" w:rsidR="008D13CD" w:rsidRPr="00C04B58" w:rsidRDefault="008D13CD" w:rsidP="008D13CD">
      <w:pPr>
        <w:rPr>
          <w:rFonts w:asciiTheme="majorHAnsi" w:hAnsiTheme="majorHAnsi" w:cs="Arial"/>
          <w:bCs/>
          <w:szCs w:val="22"/>
        </w:rPr>
      </w:pPr>
      <w:r w:rsidRPr="00C04B58">
        <w:rPr>
          <w:rFonts w:asciiTheme="majorHAnsi" w:hAnsiTheme="majorHAnsi" w:cs="Arial"/>
          <w:bCs/>
          <w:szCs w:val="22"/>
        </w:rPr>
        <w:t>GWh</w:t>
      </w:r>
      <w:r w:rsidRPr="00C04B58">
        <w:rPr>
          <w:rFonts w:asciiTheme="majorHAnsi" w:hAnsiTheme="majorHAnsi" w:cs="Arial"/>
          <w:bCs/>
          <w:szCs w:val="22"/>
        </w:rPr>
        <w:tab/>
      </w:r>
      <w:r w:rsidRPr="00C04B58">
        <w:rPr>
          <w:rFonts w:asciiTheme="majorHAnsi" w:hAnsiTheme="majorHAnsi" w:cs="Arial"/>
          <w:bCs/>
          <w:szCs w:val="22"/>
        </w:rPr>
        <w:tab/>
      </w:r>
      <w:r w:rsidR="00BE7649" w:rsidRPr="00C04B58">
        <w:rPr>
          <w:rFonts w:asciiTheme="majorHAnsi" w:hAnsiTheme="majorHAnsi" w:cs="Arial"/>
          <w:bCs/>
          <w:szCs w:val="22"/>
        </w:rPr>
        <w:t>Gigawatt hour</w:t>
      </w:r>
    </w:p>
    <w:p w14:paraId="136EE6CE" w14:textId="77777777" w:rsidR="008D13CD" w:rsidRPr="00C04B58" w:rsidRDefault="008D13CD" w:rsidP="008D13CD">
      <w:pPr>
        <w:rPr>
          <w:rFonts w:asciiTheme="majorHAnsi" w:hAnsiTheme="majorHAnsi" w:cs="Arial"/>
          <w:szCs w:val="22"/>
        </w:rPr>
      </w:pPr>
      <w:r w:rsidRPr="00C04B58">
        <w:rPr>
          <w:rFonts w:asciiTheme="majorHAnsi" w:hAnsiTheme="majorHAnsi" w:cs="Arial"/>
          <w:bCs/>
          <w:szCs w:val="22"/>
        </w:rPr>
        <w:t>HQ</w:t>
      </w:r>
      <w:r w:rsidRPr="00C04B58">
        <w:rPr>
          <w:rFonts w:asciiTheme="majorHAnsi" w:hAnsiTheme="majorHAnsi" w:cs="Arial"/>
          <w:szCs w:val="22"/>
        </w:rPr>
        <w:tab/>
      </w:r>
      <w:r w:rsidRPr="00C04B58">
        <w:rPr>
          <w:rFonts w:asciiTheme="majorHAnsi" w:hAnsiTheme="majorHAnsi" w:cs="Arial"/>
          <w:szCs w:val="22"/>
        </w:rPr>
        <w:tab/>
        <w:t>UNDP Headquarters</w:t>
      </w:r>
    </w:p>
    <w:p w14:paraId="20992542" w14:textId="77777777" w:rsidR="004F2521" w:rsidRPr="00C04B58" w:rsidRDefault="004F2521" w:rsidP="008D13CD">
      <w:pPr>
        <w:rPr>
          <w:rFonts w:asciiTheme="majorHAnsi" w:hAnsiTheme="majorHAnsi" w:cs="Arial"/>
          <w:bCs/>
          <w:szCs w:val="22"/>
        </w:rPr>
      </w:pPr>
      <w:r w:rsidRPr="00C04B58">
        <w:rPr>
          <w:rFonts w:asciiTheme="majorHAnsi" w:hAnsiTheme="majorHAnsi" w:cs="Arial"/>
          <w:bCs/>
          <w:szCs w:val="22"/>
        </w:rPr>
        <w:t>IDB</w:t>
      </w:r>
      <w:r w:rsidR="00806A0D" w:rsidRPr="00C04B58">
        <w:rPr>
          <w:rFonts w:asciiTheme="majorHAnsi" w:hAnsiTheme="majorHAnsi" w:cs="Arial"/>
          <w:bCs/>
          <w:szCs w:val="22"/>
        </w:rPr>
        <w:tab/>
      </w:r>
      <w:r w:rsidR="00806A0D" w:rsidRPr="00C04B58">
        <w:rPr>
          <w:rFonts w:asciiTheme="majorHAnsi" w:hAnsiTheme="majorHAnsi" w:cs="Arial"/>
          <w:bCs/>
          <w:szCs w:val="22"/>
        </w:rPr>
        <w:tab/>
        <w:t>Islamic Development Bank</w:t>
      </w:r>
    </w:p>
    <w:p w14:paraId="2E372633"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t>IEO</w:t>
      </w:r>
      <w:r w:rsidR="00806A0D" w:rsidRPr="00C04B58">
        <w:rPr>
          <w:rFonts w:asciiTheme="majorHAnsi" w:hAnsiTheme="majorHAnsi" w:cs="Arial"/>
          <w:bCs/>
          <w:szCs w:val="22"/>
        </w:rPr>
        <w:tab/>
      </w:r>
      <w:r w:rsidR="00806A0D" w:rsidRPr="00C04B58">
        <w:rPr>
          <w:rFonts w:asciiTheme="majorHAnsi" w:hAnsiTheme="majorHAnsi" w:cs="Arial"/>
          <w:bCs/>
          <w:szCs w:val="22"/>
        </w:rPr>
        <w:tab/>
        <w:t>Independent Evaluation Office</w:t>
      </w:r>
    </w:p>
    <w:p w14:paraId="14C14879"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t>IFC</w:t>
      </w:r>
      <w:r w:rsidR="00806A0D" w:rsidRPr="00C04B58">
        <w:rPr>
          <w:rFonts w:asciiTheme="majorHAnsi" w:hAnsiTheme="majorHAnsi" w:cs="Arial"/>
          <w:bCs/>
          <w:szCs w:val="22"/>
        </w:rPr>
        <w:tab/>
      </w:r>
      <w:r w:rsidR="00806A0D" w:rsidRPr="00C04B58">
        <w:rPr>
          <w:rFonts w:asciiTheme="majorHAnsi" w:hAnsiTheme="majorHAnsi" w:cs="Arial"/>
          <w:bCs/>
          <w:szCs w:val="22"/>
        </w:rPr>
        <w:tab/>
        <w:t>International Finance Corporation</w:t>
      </w:r>
    </w:p>
    <w:p w14:paraId="56060A8B" w14:textId="77777777" w:rsidR="004F2521" w:rsidRPr="00C04B58" w:rsidRDefault="004F2521" w:rsidP="008D13CD">
      <w:pPr>
        <w:rPr>
          <w:rFonts w:asciiTheme="majorHAnsi" w:hAnsiTheme="majorHAnsi" w:cs="Arial"/>
          <w:bCs/>
          <w:szCs w:val="22"/>
        </w:rPr>
      </w:pPr>
      <w:r w:rsidRPr="00C04B58">
        <w:rPr>
          <w:rFonts w:asciiTheme="majorHAnsi" w:hAnsiTheme="majorHAnsi" w:cs="Arial"/>
          <w:bCs/>
          <w:szCs w:val="22"/>
        </w:rPr>
        <w:t>IFI</w:t>
      </w:r>
      <w:r w:rsidR="00806A0D" w:rsidRPr="00C04B58">
        <w:rPr>
          <w:rFonts w:asciiTheme="majorHAnsi" w:hAnsiTheme="majorHAnsi" w:cs="Arial"/>
          <w:bCs/>
          <w:szCs w:val="22"/>
        </w:rPr>
        <w:tab/>
      </w:r>
      <w:r w:rsidR="00806A0D" w:rsidRPr="00C04B58">
        <w:rPr>
          <w:rFonts w:asciiTheme="majorHAnsi" w:hAnsiTheme="majorHAnsi" w:cs="Arial"/>
          <w:bCs/>
          <w:szCs w:val="22"/>
        </w:rPr>
        <w:tab/>
        <w:t>International Financial Institutions</w:t>
      </w:r>
    </w:p>
    <w:p w14:paraId="40CF665D" w14:textId="77777777" w:rsidR="00B82EC1" w:rsidRPr="00C04B58" w:rsidRDefault="00B82EC1" w:rsidP="008D13CD">
      <w:pPr>
        <w:rPr>
          <w:rFonts w:asciiTheme="majorHAnsi" w:hAnsiTheme="majorHAnsi" w:cs="Arial"/>
          <w:bCs/>
          <w:szCs w:val="22"/>
        </w:rPr>
      </w:pPr>
      <w:r w:rsidRPr="00C04B58">
        <w:rPr>
          <w:rFonts w:asciiTheme="majorHAnsi" w:hAnsiTheme="majorHAnsi" w:cs="Arial"/>
          <w:bCs/>
          <w:szCs w:val="22"/>
        </w:rPr>
        <w:t>INV</w:t>
      </w:r>
      <w:r w:rsidRPr="00C04B58">
        <w:rPr>
          <w:rFonts w:asciiTheme="majorHAnsi" w:hAnsiTheme="majorHAnsi" w:cs="Arial"/>
          <w:bCs/>
          <w:szCs w:val="22"/>
        </w:rPr>
        <w:tab/>
      </w:r>
      <w:r w:rsidRPr="00C04B58">
        <w:rPr>
          <w:rFonts w:asciiTheme="majorHAnsi" w:hAnsiTheme="majorHAnsi" w:cs="Arial"/>
          <w:bCs/>
          <w:szCs w:val="22"/>
        </w:rPr>
        <w:tab/>
        <w:t>Investment</w:t>
      </w:r>
    </w:p>
    <w:p w14:paraId="6F96DEE4"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t>IPP</w:t>
      </w:r>
      <w:r w:rsidR="00806A0D" w:rsidRPr="00C04B58">
        <w:rPr>
          <w:rFonts w:asciiTheme="majorHAnsi" w:hAnsiTheme="majorHAnsi" w:cs="Arial"/>
          <w:bCs/>
          <w:szCs w:val="22"/>
        </w:rPr>
        <w:tab/>
      </w:r>
      <w:r w:rsidR="00806A0D" w:rsidRPr="00C04B58">
        <w:rPr>
          <w:rFonts w:asciiTheme="majorHAnsi" w:hAnsiTheme="majorHAnsi" w:cs="Arial"/>
          <w:bCs/>
          <w:szCs w:val="22"/>
        </w:rPr>
        <w:tab/>
        <w:t>Independent Power Producer</w:t>
      </w:r>
    </w:p>
    <w:p w14:paraId="09F1BA42" w14:textId="77777777" w:rsidR="00FB6EC8" w:rsidRPr="00C04B58" w:rsidRDefault="00717BFB" w:rsidP="008D13CD">
      <w:pPr>
        <w:rPr>
          <w:rFonts w:asciiTheme="majorHAnsi" w:hAnsiTheme="majorHAnsi" w:cs="Arial"/>
          <w:bCs/>
          <w:szCs w:val="22"/>
        </w:rPr>
      </w:pPr>
      <w:r w:rsidRPr="00C04B58">
        <w:rPr>
          <w:rFonts w:asciiTheme="majorHAnsi" w:hAnsiTheme="majorHAnsi" w:cs="Arial"/>
          <w:bCs/>
          <w:szCs w:val="22"/>
        </w:rPr>
        <w:t>IRR</w:t>
      </w:r>
      <w:r w:rsidR="00FB6EC8" w:rsidRPr="00C04B58">
        <w:rPr>
          <w:rFonts w:asciiTheme="majorHAnsi" w:hAnsiTheme="majorHAnsi" w:cs="Arial"/>
          <w:bCs/>
          <w:szCs w:val="22"/>
        </w:rPr>
        <w:t>F</w:t>
      </w:r>
      <w:r w:rsidR="00806A0D" w:rsidRPr="00C04B58">
        <w:rPr>
          <w:rFonts w:asciiTheme="majorHAnsi" w:hAnsiTheme="majorHAnsi" w:cs="Arial"/>
          <w:bCs/>
          <w:szCs w:val="22"/>
        </w:rPr>
        <w:tab/>
      </w:r>
      <w:r w:rsidR="00806A0D" w:rsidRPr="00C04B58">
        <w:rPr>
          <w:rFonts w:asciiTheme="majorHAnsi" w:hAnsiTheme="majorHAnsi" w:cs="Arial"/>
          <w:bCs/>
          <w:szCs w:val="22"/>
        </w:rPr>
        <w:tab/>
        <w:t>Integrated Results and Resources Framework</w:t>
      </w:r>
    </w:p>
    <w:p w14:paraId="198318F9"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t>KCCMP</w:t>
      </w:r>
      <w:r w:rsidR="00717BFB" w:rsidRPr="00C04B58">
        <w:rPr>
          <w:rFonts w:asciiTheme="majorHAnsi" w:hAnsiTheme="majorHAnsi" w:cs="Arial"/>
          <w:bCs/>
          <w:szCs w:val="22"/>
        </w:rPr>
        <w:tab/>
      </w:r>
      <w:r w:rsidR="00717BFB" w:rsidRPr="00C04B58">
        <w:rPr>
          <w:rFonts w:asciiTheme="majorHAnsi" w:hAnsiTheme="majorHAnsi" w:cs="Arial"/>
          <w:bCs/>
          <w:szCs w:val="22"/>
        </w:rPr>
        <w:tab/>
        <w:t>Kazakhstan Climate Change Mitigation Program</w:t>
      </w:r>
    </w:p>
    <w:p w14:paraId="5561B543"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t>KEGOC</w:t>
      </w:r>
      <w:r w:rsidR="00717BFB" w:rsidRPr="00C04B58">
        <w:rPr>
          <w:rFonts w:asciiTheme="majorHAnsi" w:hAnsiTheme="majorHAnsi" w:cs="Arial"/>
          <w:bCs/>
          <w:szCs w:val="22"/>
        </w:rPr>
        <w:tab/>
      </w:r>
      <w:r w:rsidR="00717BFB" w:rsidRPr="00C04B58">
        <w:rPr>
          <w:rFonts w:asciiTheme="majorHAnsi" w:hAnsiTheme="majorHAnsi" w:cs="Arial"/>
          <w:bCs/>
          <w:szCs w:val="22"/>
        </w:rPr>
        <w:tab/>
        <w:t>Kazakhstan Electricity Grid Operating Company</w:t>
      </w:r>
    </w:p>
    <w:p w14:paraId="2073BD02"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t>KZT</w:t>
      </w:r>
      <w:r w:rsidR="00717BFB" w:rsidRPr="00C04B58">
        <w:rPr>
          <w:rFonts w:asciiTheme="majorHAnsi" w:hAnsiTheme="majorHAnsi" w:cs="Arial"/>
          <w:bCs/>
          <w:szCs w:val="22"/>
        </w:rPr>
        <w:tab/>
      </w:r>
      <w:r w:rsidR="00717BFB" w:rsidRPr="00C04B58">
        <w:rPr>
          <w:rFonts w:asciiTheme="majorHAnsi" w:hAnsiTheme="majorHAnsi" w:cs="Arial"/>
          <w:bCs/>
          <w:szCs w:val="22"/>
        </w:rPr>
        <w:tab/>
        <w:t>Kazakhstan Tenge</w:t>
      </w:r>
    </w:p>
    <w:p w14:paraId="1326BE43"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t>LCOE</w:t>
      </w:r>
      <w:r w:rsidR="00717BFB" w:rsidRPr="00C04B58">
        <w:rPr>
          <w:rFonts w:asciiTheme="majorHAnsi" w:hAnsiTheme="majorHAnsi" w:cs="Arial"/>
          <w:bCs/>
          <w:szCs w:val="22"/>
        </w:rPr>
        <w:tab/>
      </w:r>
      <w:r w:rsidR="00717BFB" w:rsidRPr="00C04B58">
        <w:rPr>
          <w:rFonts w:asciiTheme="majorHAnsi" w:hAnsiTheme="majorHAnsi" w:cs="Arial"/>
          <w:bCs/>
          <w:szCs w:val="22"/>
        </w:rPr>
        <w:tab/>
        <w:t>Levelized cost of electricity</w:t>
      </w:r>
    </w:p>
    <w:p w14:paraId="505DBD39" w14:textId="77777777" w:rsidR="00B82EC1" w:rsidRPr="00C04B58" w:rsidRDefault="00B82EC1" w:rsidP="008D13CD">
      <w:pPr>
        <w:rPr>
          <w:rFonts w:asciiTheme="majorHAnsi" w:hAnsiTheme="majorHAnsi" w:cs="Arial"/>
          <w:bCs/>
          <w:szCs w:val="22"/>
        </w:rPr>
      </w:pPr>
      <w:r w:rsidRPr="00C04B58">
        <w:rPr>
          <w:rFonts w:asciiTheme="majorHAnsi" w:hAnsiTheme="majorHAnsi" w:cs="Arial"/>
          <w:bCs/>
          <w:szCs w:val="22"/>
        </w:rPr>
        <w:t>LULUCF</w:t>
      </w:r>
      <w:r w:rsidRPr="00C04B58">
        <w:rPr>
          <w:rFonts w:asciiTheme="majorHAnsi" w:hAnsiTheme="majorHAnsi" w:cs="Arial"/>
          <w:bCs/>
          <w:szCs w:val="22"/>
        </w:rPr>
        <w:tab/>
      </w:r>
      <w:r w:rsidRPr="00C04B58">
        <w:rPr>
          <w:rFonts w:asciiTheme="majorHAnsi" w:hAnsiTheme="majorHAnsi" w:cs="Arial"/>
          <w:bCs/>
          <w:szCs w:val="22"/>
        </w:rPr>
        <w:tab/>
        <w:t>Land use, land-use change and forestry</w:t>
      </w:r>
    </w:p>
    <w:p w14:paraId="373105FB" w14:textId="77777777" w:rsidR="00B82EC1" w:rsidRPr="00C04B58" w:rsidRDefault="00B82EC1" w:rsidP="008D13CD">
      <w:pPr>
        <w:rPr>
          <w:rFonts w:asciiTheme="majorHAnsi" w:hAnsiTheme="majorHAnsi" w:cs="Arial"/>
          <w:bCs/>
          <w:szCs w:val="22"/>
        </w:rPr>
      </w:pPr>
      <w:r w:rsidRPr="00C04B58">
        <w:rPr>
          <w:rFonts w:asciiTheme="majorHAnsi" w:hAnsiTheme="majorHAnsi" w:cs="Arial"/>
          <w:bCs/>
          <w:szCs w:val="22"/>
        </w:rPr>
        <w:t>MoE</w:t>
      </w:r>
      <w:r w:rsidRPr="00C04B58">
        <w:rPr>
          <w:rFonts w:asciiTheme="majorHAnsi" w:hAnsiTheme="majorHAnsi" w:cs="Arial"/>
          <w:bCs/>
          <w:szCs w:val="22"/>
        </w:rPr>
        <w:tab/>
      </w:r>
      <w:r w:rsidRPr="00C04B58">
        <w:rPr>
          <w:rFonts w:asciiTheme="majorHAnsi" w:hAnsiTheme="majorHAnsi" w:cs="Arial"/>
          <w:bCs/>
          <w:szCs w:val="22"/>
        </w:rPr>
        <w:tab/>
        <w:t>Ministry of Energy</w:t>
      </w:r>
    </w:p>
    <w:p w14:paraId="6EBF3297" w14:textId="77777777" w:rsidR="008D13CD" w:rsidRPr="00C04B58" w:rsidRDefault="008D13CD" w:rsidP="008D13CD">
      <w:pPr>
        <w:rPr>
          <w:rFonts w:asciiTheme="majorHAnsi" w:hAnsiTheme="majorHAnsi" w:cs="Arial"/>
          <w:szCs w:val="22"/>
        </w:rPr>
      </w:pPr>
      <w:r w:rsidRPr="00C04B58">
        <w:rPr>
          <w:rFonts w:asciiTheme="majorHAnsi" w:hAnsiTheme="majorHAnsi" w:cs="Arial"/>
          <w:bCs/>
          <w:szCs w:val="22"/>
        </w:rPr>
        <w:t>M&amp;E</w:t>
      </w:r>
      <w:r w:rsidRPr="00C04B58">
        <w:rPr>
          <w:rFonts w:asciiTheme="majorHAnsi" w:hAnsiTheme="majorHAnsi" w:cs="Arial"/>
          <w:szCs w:val="22"/>
        </w:rPr>
        <w:tab/>
      </w:r>
      <w:r w:rsidRPr="00C04B58">
        <w:rPr>
          <w:rFonts w:asciiTheme="majorHAnsi" w:hAnsiTheme="majorHAnsi" w:cs="Arial"/>
          <w:szCs w:val="22"/>
        </w:rPr>
        <w:tab/>
        <w:t>Monitoring and Evaluation</w:t>
      </w:r>
    </w:p>
    <w:p w14:paraId="3804C4D7" w14:textId="77777777" w:rsidR="008D13CD" w:rsidRPr="00C04B58" w:rsidRDefault="008D13CD" w:rsidP="008D13CD">
      <w:pPr>
        <w:rPr>
          <w:rFonts w:asciiTheme="majorHAnsi" w:hAnsiTheme="majorHAnsi" w:cs="Arial"/>
          <w:bCs/>
          <w:szCs w:val="22"/>
        </w:rPr>
      </w:pPr>
      <w:r w:rsidRPr="00C04B58">
        <w:rPr>
          <w:rFonts w:asciiTheme="majorHAnsi" w:hAnsiTheme="majorHAnsi" w:cs="Arial"/>
          <w:bCs/>
          <w:szCs w:val="22"/>
        </w:rPr>
        <w:t>MRV</w:t>
      </w:r>
      <w:r w:rsidRPr="00C04B58">
        <w:rPr>
          <w:rFonts w:asciiTheme="majorHAnsi" w:hAnsiTheme="majorHAnsi" w:cs="Arial"/>
          <w:bCs/>
          <w:szCs w:val="22"/>
        </w:rPr>
        <w:tab/>
      </w:r>
      <w:r w:rsidRPr="00C04B58">
        <w:rPr>
          <w:rFonts w:asciiTheme="majorHAnsi" w:hAnsiTheme="majorHAnsi" w:cs="Arial"/>
          <w:bCs/>
          <w:szCs w:val="22"/>
        </w:rPr>
        <w:tab/>
        <w:t>Monitoring, Reporting and Verification</w:t>
      </w:r>
    </w:p>
    <w:p w14:paraId="2A003ADB"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t>MTR</w:t>
      </w:r>
      <w:r w:rsidR="00717BFB" w:rsidRPr="00C04B58">
        <w:rPr>
          <w:rFonts w:asciiTheme="majorHAnsi" w:hAnsiTheme="majorHAnsi" w:cs="Arial"/>
          <w:bCs/>
          <w:szCs w:val="22"/>
        </w:rPr>
        <w:tab/>
      </w:r>
      <w:r w:rsidR="00717BFB" w:rsidRPr="00C04B58">
        <w:rPr>
          <w:rFonts w:asciiTheme="majorHAnsi" w:hAnsiTheme="majorHAnsi" w:cs="Arial"/>
          <w:bCs/>
          <w:szCs w:val="22"/>
        </w:rPr>
        <w:tab/>
        <w:t>Mid-term review</w:t>
      </w:r>
    </w:p>
    <w:p w14:paraId="65DEB9B9"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lastRenderedPageBreak/>
        <w:t>MW</w:t>
      </w:r>
      <w:r w:rsidR="00717BFB" w:rsidRPr="00C04B58">
        <w:rPr>
          <w:rFonts w:asciiTheme="majorHAnsi" w:hAnsiTheme="majorHAnsi" w:cs="Arial"/>
          <w:bCs/>
          <w:szCs w:val="22"/>
        </w:rPr>
        <w:tab/>
      </w:r>
      <w:r w:rsidR="00717BFB" w:rsidRPr="00C04B58">
        <w:rPr>
          <w:rFonts w:asciiTheme="majorHAnsi" w:hAnsiTheme="majorHAnsi" w:cs="Arial"/>
          <w:bCs/>
          <w:szCs w:val="22"/>
        </w:rPr>
        <w:tab/>
        <w:t>Mega watt</w:t>
      </w:r>
    </w:p>
    <w:p w14:paraId="2C87EA11" w14:textId="77777777" w:rsidR="008D13CD" w:rsidRPr="00C04B58" w:rsidRDefault="008D13CD" w:rsidP="008D13CD">
      <w:pPr>
        <w:rPr>
          <w:rFonts w:asciiTheme="majorHAnsi" w:hAnsiTheme="majorHAnsi" w:cs="Arial"/>
          <w:szCs w:val="22"/>
        </w:rPr>
      </w:pPr>
      <w:r w:rsidRPr="00C04B58">
        <w:rPr>
          <w:rFonts w:asciiTheme="majorHAnsi" w:hAnsiTheme="majorHAnsi" w:cs="Arial"/>
          <w:bCs/>
          <w:szCs w:val="22"/>
        </w:rPr>
        <w:t>NGO</w:t>
      </w:r>
      <w:r w:rsidRPr="00C04B58">
        <w:rPr>
          <w:rFonts w:asciiTheme="majorHAnsi" w:hAnsiTheme="majorHAnsi" w:cs="Arial"/>
          <w:szCs w:val="22"/>
        </w:rPr>
        <w:tab/>
      </w:r>
      <w:r w:rsidRPr="00C04B58">
        <w:rPr>
          <w:rFonts w:asciiTheme="majorHAnsi" w:hAnsiTheme="majorHAnsi" w:cs="Arial"/>
          <w:szCs w:val="22"/>
        </w:rPr>
        <w:tab/>
        <w:t>Non-Governmental Organization</w:t>
      </w:r>
    </w:p>
    <w:p w14:paraId="752B4B50"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t>NIM</w:t>
      </w:r>
      <w:r w:rsidR="00717BFB" w:rsidRPr="00C04B58">
        <w:rPr>
          <w:rFonts w:asciiTheme="majorHAnsi" w:hAnsiTheme="majorHAnsi" w:cs="Arial"/>
          <w:bCs/>
          <w:szCs w:val="22"/>
        </w:rPr>
        <w:tab/>
      </w:r>
      <w:r w:rsidR="00717BFB" w:rsidRPr="00C04B58">
        <w:rPr>
          <w:rFonts w:asciiTheme="majorHAnsi" w:hAnsiTheme="majorHAnsi" w:cs="Arial"/>
          <w:bCs/>
          <w:szCs w:val="22"/>
        </w:rPr>
        <w:tab/>
        <w:t>National Implementation Modality</w:t>
      </w:r>
    </w:p>
    <w:p w14:paraId="18F544A9"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t>NIMBY</w:t>
      </w:r>
      <w:r w:rsidR="00717BFB" w:rsidRPr="00C04B58">
        <w:rPr>
          <w:rFonts w:asciiTheme="majorHAnsi" w:hAnsiTheme="majorHAnsi" w:cs="Arial"/>
          <w:bCs/>
          <w:szCs w:val="22"/>
        </w:rPr>
        <w:tab/>
      </w:r>
      <w:r w:rsidR="00717BFB" w:rsidRPr="00C04B58">
        <w:rPr>
          <w:rFonts w:asciiTheme="majorHAnsi" w:hAnsiTheme="majorHAnsi" w:cs="Arial"/>
          <w:bCs/>
          <w:szCs w:val="22"/>
        </w:rPr>
        <w:tab/>
        <w:t>Not in my backyard</w:t>
      </w:r>
    </w:p>
    <w:p w14:paraId="1457BFF8"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t>OFP</w:t>
      </w:r>
      <w:r w:rsidR="00717BFB" w:rsidRPr="00C04B58">
        <w:rPr>
          <w:rFonts w:asciiTheme="majorHAnsi" w:hAnsiTheme="majorHAnsi" w:cs="Arial"/>
          <w:bCs/>
          <w:szCs w:val="22"/>
        </w:rPr>
        <w:tab/>
      </w:r>
      <w:r w:rsidR="00717BFB" w:rsidRPr="00C04B58">
        <w:rPr>
          <w:rFonts w:asciiTheme="majorHAnsi" w:hAnsiTheme="majorHAnsi" w:cs="Arial"/>
          <w:bCs/>
          <w:szCs w:val="22"/>
        </w:rPr>
        <w:tab/>
        <w:t>Operational Focal Point</w:t>
      </w:r>
    </w:p>
    <w:p w14:paraId="056C45E5" w14:textId="77777777" w:rsidR="008D13CD" w:rsidRPr="00C04B58" w:rsidRDefault="008D13CD" w:rsidP="008D13CD">
      <w:pPr>
        <w:rPr>
          <w:rFonts w:asciiTheme="majorHAnsi" w:hAnsiTheme="majorHAnsi" w:cs="Arial"/>
          <w:bCs/>
          <w:szCs w:val="22"/>
        </w:rPr>
      </w:pPr>
      <w:r w:rsidRPr="00C04B58">
        <w:rPr>
          <w:rFonts w:asciiTheme="majorHAnsi" w:hAnsiTheme="majorHAnsi" w:cs="Arial"/>
          <w:bCs/>
          <w:szCs w:val="22"/>
        </w:rPr>
        <w:t>O&amp;M</w:t>
      </w:r>
      <w:r w:rsidRPr="00C04B58">
        <w:rPr>
          <w:rFonts w:asciiTheme="majorHAnsi" w:hAnsiTheme="majorHAnsi" w:cs="Arial"/>
          <w:bCs/>
          <w:szCs w:val="22"/>
        </w:rPr>
        <w:tab/>
      </w:r>
      <w:r w:rsidRPr="00C04B58">
        <w:rPr>
          <w:rFonts w:asciiTheme="majorHAnsi" w:hAnsiTheme="majorHAnsi" w:cs="Arial"/>
          <w:bCs/>
          <w:szCs w:val="22"/>
        </w:rPr>
        <w:tab/>
        <w:t>Operation &amp; Maintenance</w:t>
      </w:r>
    </w:p>
    <w:p w14:paraId="25C20988"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t>PAC</w:t>
      </w:r>
      <w:r w:rsidR="00717BFB" w:rsidRPr="00C04B58">
        <w:rPr>
          <w:rFonts w:asciiTheme="majorHAnsi" w:hAnsiTheme="majorHAnsi" w:cs="Arial"/>
          <w:bCs/>
          <w:szCs w:val="22"/>
        </w:rPr>
        <w:tab/>
      </w:r>
      <w:r w:rsidR="00717BFB" w:rsidRPr="00C04B58">
        <w:rPr>
          <w:rFonts w:asciiTheme="majorHAnsi" w:hAnsiTheme="majorHAnsi" w:cs="Arial"/>
          <w:bCs/>
          <w:szCs w:val="22"/>
        </w:rPr>
        <w:tab/>
        <w:t>Project Appraisal Committee</w:t>
      </w:r>
    </w:p>
    <w:p w14:paraId="1FF467BF" w14:textId="77777777" w:rsidR="0051197F" w:rsidRPr="00C04B58" w:rsidRDefault="0051197F" w:rsidP="008D13CD">
      <w:pPr>
        <w:rPr>
          <w:rFonts w:asciiTheme="majorHAnsi" w:hAnsiTheme="majorHAnsi" w:cs="Arial"/>
          <w:bCs/>
          <w:szCs w:val="22"/>
        </w:rPr>
      </w:pPr>
      <w:r w:rsidRPr="00C04B58">
        <w:rPr>
          <w:rFonts w:asciiTheme="majorHAnsi" w:hAnsiTheme="majorHAnsi" w:cs="Arial"/>
          <w:bCs/>
          <w:szCs w:val="22"/>
        </w:rPr>
        <w:t>PIF</w:t>
      </w:r>
      <w:r w:rsidRPr="00C04B58">
        <w:rPr>
          <w:rFonts w:asciiTheme="majorHAnsi" w:hAnsiTheme="majorHAnsi" w:cs="Arial"/>
          <w:bCs/>
          <w:szCs w:val="22"/>
        </w:rPr>
        <w:tab/>
      </w:r>
      <w:r w:rsidRPr="00C04B58">
        <w:rPr>
          <w:rFonts w:asciiTheme="majorHAnsi" w:hAnsiTheme="majorHAnsi" w:cs="Arial"/>
          <w:bCs/>
          <w:szCs w:val="22"/>
        </w:rPr>
        <w:tab/>
        <w:t>Project Identification Form</w:t>
      </w:r>
    </w:p>
    <w:p w14:paraId="7E3CCCD8" w14:textId="77777777" w:rsidR="008D13CD" w:rsidRPr="00C04B58" w:rsidRDefault="008D13CD" w:rsidP="008D13CD">
      <w:pPr>
        <w:rPr>
          <w:rFonts w:asciiTheme="majorHAnsi" w:hAnsiTheme="majorHAnsi" w:cs="Arial"/>
          <w:szCs w:val="22"/>
        </w:rPr>
      </w:pPr>
      <w:r w:rsidRPr="00C04B58">
        <w:rPr>
          <w:rFonts w:asciiTheme="majorHAnsi" w:hAnsiTheme="majorHAnsi" w:cs="Arial"/>
          <w:bCs/>
          <w:szCs w:val="22"/>
        </w:rPr>
        <w:t>PIR</w:t>
      </w:r>
      <w:r w:rsidRPr="00C04B58">
        <w:rPr>
          <w:rFonts w:asciiTheme="majorHAnsi" w:hAnsiTheme="majorHAnsi" w:cs="Arial"/>
          <w:szCs w:val="22"/>
        </w:rPr>
        <w:tab/>
      </w:r>
      <w:r w:rsidRPr="00C04B58">
        <w:rPr>
          <w:rFonts w:asciiTheme="majorHAnsi" w:hAnsiTheme="majorHAnsi" w:cs="Arial"/>
          <w:szCs w:val="22"/>
        </w:rPr>
        <w:tab/>
      </w:r>
      <w:r w:rsidR="0051197F" w:rsidRPr="00C04B58">
        <w:rPr>
          <w:rFonts w:asciiTheme="majorHAnsi" w:hAnsiTheme="majorHAnsi" w:cs="Arial"/>
          <w:szCs w:val="22"/>
        </w:rPr>
        <w:t xml:space="preserve">GEF </w:t>
      </w:r>
      <w:r w:rsidRPr="00C04B58">
        <w:rPr>
          <w:rFonts w:asciiTheme="majorHAnsi" w:hAnsiTheme="majorHAnsi" w:cs="Arial"/>
          <w:szCs w:val="22"/>
        </w:rPr>
        <w:t>Project Implementation Review</w:t>
      </w:r>
    </w:p>
    <w:p w14:paraId="7D8B7F17"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t>PM</w:t>
      </w:r>
      <w:r w:rsidR="00717BFB" w:rsidRPr="00C04B58">
        <w:rPr>
          <w:rFonts w:asciiTheme="majorHAnsi" w:hAnsiTheme="majorHAnsi" w:cs="Arial"/>
          <w:bCs/>
          <w:szCs w:val="22"/>
        </w:rPr>
        <w:tab/>
      </w:r>
      <w:r w:rsidR="00717BFB" w:rsidRPr="00C04B58">
        <w:rPr>
          <w:rFonts w:asciiTheme="majorHAnsi" w:hAnsiTheme="majorHAnsi" w:cs="Arial"/>
          <w:bCs/>
          <w:szCs w:val="22"/>
        </w:rPr>
        <w:tab/>
        <w:t>Project Manager</w:t>
      </w:r>
    </w:p>
    <w:p w14:paraId="6B9782AC" w14:textId="77777777" w:rsidR="008D13CD" w:rsidRPr="00C04B58" w:rsidRDefault="008D13CD" w:rsidP="008D13CD">
      <w:pPr>
        <w:rPr>
          <w:rFonts w:asciiTheme="majorHAnsi" w:hAnsiTheme="majorHAnsi" w:cs="Arial"/>
          <w:szCs w:val="22"/>
        </w:rPr>
      </w:pPr>
      <w:r w:rsidRPr="00C04B58">
        <w:rPr>
          <w:rFonts w:asciiTheme="majorHAnsi" w:hAnsiTheme="majorHAnsi" w:cs="Arial"/>
          <w:bCs/>
          <w:szCs w:val="22"/>
        </w:rPr>
        <w:t>PMU</w:t>
      </w:r>
      <w:r w:rsidRPr="00C04B58">
        <w:rPr>
          <w:rFonts w:asciiTheme="majorHAnsi" w:hAnsiTheme="majorHAnsi" w:cs="Arial"/>
          <w:szCs w:val="22"/>
        </w:rPr>
        <w:tab/>
      </w:r>
      <w:r w:rsidRPr="00C04B58">
        <w:rPr>
          <w:rFonts w:asciiTheme="majorHAnsi" w:hAnsiTheme="majorHAnsi" w:cs="Arial"/>
          <w:szCs w:val="22"/>
        </w:rPr>
        <w:tab/>
        <w:t>Project Management Unit</w:t>
      </w:r>
    </w:p>
    <w:p w14:paraId="2E7D014A" w14:textId="77777777" w:rsidR="0051197F" w:rsidRPr="00C04B58" w:rsidRDefault="0051197F" w:rsidP="008D13CD">
      <w:pPr>
        <w:rPr>
          <w:rFonts w:asciiTheme="majorHAnsi" w:hAnsiTheme="majorHAnsi" w:cs="Arial"/>
          <w:bCs/>
          <w:szCs w:val="22"/>
        </w:rPr>
      </w:pPr>
      <w:r w:rsidRPr="00C04B58">
        <w:rPr>
          <w:rFonts w:asciiTheme="majorHAnsi" w:hAnsiTheme="majorHAnsi" w:cs="Arial"/>
          <w:bCs/>
          <w:szCs w:val="22"/>
        </w:rPr>
        <w:t>POPP</w:t>
      </w:r>
      <w:r w:rsidRPr="00C04B58">
        <w:rPr>
          <w:rFonts w:asciiTheme="majorHAnsi" w:hAnsiTheme="majorHAnsi" w:cs="Arial"/>
          <w:bCs/>
          <w:szCs w:val="22"/>
        </w:rPr>
        <w:tab/>
      </w:r>
      <w:r w:rsidRPr="00C04B58">
        <w:rPr>
          <w:rFonts w:asciiTheme="majorHAnsi" w:hAnsiTheme="majorHAnsi" w:cs="Arial"/>
          <w:bCs/>
          <w:szCs w:val="22"/>
        </w:rPr>
        <w:tab/>
        <w:t>Programme and Operations Policies and Procedures</w:t>
      </w:r>
    </w:p>
    <w:p w14:paraId="0CA730A7"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t>PPA</w:t>
      </w:r>
      <w:r w:rsidR="00717BFB" w:rsidRPr="00C04B58">
        <w:rPr>
          <w:rFonts w:asciiTheme="majorHAnsi" w:hAnsiTheme="majorHAnsi" w:cs="Arial"/>
          <w:bCs/>
          <w:szCs w:val="22"/>
        </w:rPr>
        <w:tab/>
      </w:r>
      <w:r w:rsidR="00717BFB" w:rsidRPr="00C04B58">
        <w:rPr>
          <w:rFonts w:asciiTheme="majorHAnsi" w:hAnsiTheme="majorHAnsi" w:cs="Arial"/>
          <w:bCs/>
          <w:szCs w:val="22"/>
        </w:rPr>
        <w:tab/>
      </w:r>
      <w:r w:rsidR="00BD7D2F" w:rsidRPr="00C04B58">
        <w:rPr>
          <w:rFonts w:asciiTheme="majorHAnsi" w:hAnsiTheme="majorHAnsi" w:cs="Arial"/>
          <w:bCs/>
          <w:szCs w:val="22"/>
        </w:rPr>
        <w:t>Power Purchase Agreement</w:t>
      </w:r>
    </w:p>
    <w:p w14:paraId="05023610" w14:textId="77777777" w:rsidR="008D13CD" w:rsidRPr="00C04B58" w:rsidRDefault="008D13CD" w:rsidP="008D13CD">
      <w:pPr>
        <w:rPr>
          <w:rFonts w:asciiTheme="majorHAnsi" w:hAnsiTheme="majorHAnsi" w:cs="Arial"/>
          <w:szCs w:val="22"/>
        </w:rPr>
      </w:pPr>
      <w:r w:rsidRPr="00C04B58">
        <w:rPr>
          <w:rFonts w:asciiTheme="majorHAnsi" w:hAnsiTheme="majorHAnsi" w:cs="Arial"/>
          <w:bCs/>
          <w:szCs w:val="22"/>
        </w:rPr>
        <w:t>PPG</w:t>
      </w:r>
      <w:r w:rsidRPr="00C04B58">
        <w:rPr>
          <w:rFonts w:asciiTheme="majorHAnsi" w:hAnsiTheme="majorHAnsi" w:cs="Arial"/>
          <w:szCs w:val="22"/>
        </w:rPr>
        <w:tab/>
      </w:r>
      <w:r w:rsidRPr="00C04B58">
        <w:rPr>
          <w:rFonts w:asciiTheme="majorHAnsi" w:hAnsiTheme="majorHAnsi" w:cs="Arial"/>
          <w:szCs w:val="22"/>
        </w:rPr>
        <w:tab/>
        <w:t>Project Preparation Grant</w:t>
      </w:r>
    </w:p>
    <w:p w14:paraId="40E0AA8D"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t>PPP</w:t>
      </w:r>
      <w:r w:rsidR="00BD7D2F" w:rsidRPr="00C04B58">
        <w:rPr>
          <w:rFonts w:asciiTheme="majorHAnsi" w:hAnsiTheme="majorHAnsi" w:cs="Arial"/>
          <w:bCs/>
          <w:szCs w:val="22"/>
        </w:rPr>
        <w:tab/>
      </w:r>
      <w:r w:rsidR="00BD7D2F" w:rsidRPr="00C04B58">
        <w:rPr>
          <w:rFonts w:asciiTheme="majorHAnsi" w:hAnsiTheme="majorHAnsi" w:cs="Arial"/>
          <w:bCs/>
          <w:szCs w:val="22"/>
        </w:rPr>
        <w:tab/>
        <w:t>Public private partnership</w:t>
      </w:r>
    </w:p>
    <w:p w14:paraId="05FBB98B"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t>PRI</w:t>
      </w:r>
      <w:r w:rsidR="00BD7D2F" w:rsidRPr="00C04B58">
        <w:rPr>
          <w:rFonts w:asciiTheme="majorHAnsi" w:hAnsiTheme="majorHAnsi" w:cs="Arial"/>
          <w:bCs/>
          <w:szCs w:val="22"/>
        </w:rPr>
        <w:tab/>
      </w:r>
      <w:r w:rsidR="00BD7D2F" w:rsidRPr="00C04B58">
        <w:rPr>
          <w:rFonts w:asciiTheme="majorHAnsi" w:hAnsiTheme="majorHAnsi" w:cs="Arial"/>
          <w:bCs/>
          <w:szCs w:val="22"/>
        </w:rPr>
        <w:tab/>
        <w:t xml:space="preserve">Political risk </w:t>
      </w:r>
      <w:r w:rsidR="00C953AA" w:rsidRPr="00C04B58">
        <w:rPr>
          <w:rFonts w:asciiTheme="majorHAnsi" w:hAnsiTheme="majorHAnsi" w:cs="Arial"/>
          <w:bCs/>
          <w:szCs w:val="22"/>
        </w:rPr>
        <w:t>insurance</w:t>
      </w:r>
    </w:p>
    <w:p w14:paraId="2509C691" w14:textId="77777777" w:rsidR="008D13CD" w:rsidRPr="00C04B58" w:rsidRDefault="008D13CD" w:rsidP="008D13CD">
      <w:pPr>
        <w:rPr>
          <w:rFonts w:asciiTheme="majorHAnsi" w:hAnsiTheme="majorHAnsi" w:cs="Arial"/>
          <w:szCs w:val="22"/>
        </w:rPr>
      </w:pPr>
      <w:r w:rsidRPr="00C04B58">
        <w:rPr>
          <w:rFonts w:asciiTheme="majorHAnsi" w:hAnsiTheme="majorHAnsi" w:cs="Arial"/>
          <w:bCs/>
          <w:szCs w:val="22"/>
        </w:rPr>
        <w:t>PSC</w:t>
      </w:r>
      <w:r w:rsidRPr="00C04B58">
        <w:rPr>
          <w:rFonts w:asciiTheme="majorHAnsi" w:hAnsiTheme="majorHAnsi" w:cs="Arial"/>
          <w:szCs w:val="22"/>
        </w:rPr>
        <w:tab/>
      </w:r>
      <w:r w:rsidRPr="00C04B58">
        <w:rPr>
          <w:rFonts w:asciiTheme="majorHAnsi" w:hAnsiTheme="majorHAnsi" w:cs="Arial"/>
          <w:szCs w:val="22"/>
        </w:rPr>
        <w:tab/>
        <w:t>Project Steering Committee</w:t>
      </w:r>
    </w:p>
    <w:p w14:paraId="03135D94"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t>PT</w:t>
      </w:r>
      <w:r w:rsidR="00BD7D2F" w:rsidRPr="00C04B58">
        <w:rPr>
          <w:rFonts w:asciiTheme="majorHAnsi" w:hAnsiTheme="majorHAnsi" w:cs="Arial"/>
          <w:bCs/>
          <w:szCs w:val="22"/>
        </w:rPr>
        <w:tab/>
      </w:r>
      <w:r w:rsidR="00BD7D2F" w:rsidRPr="00C04B58">
        <w:rPr>
          <w:rFonts w:asciiTheme="majorHAnsi" w:hAnsiTheme="majorHAnsi" w:cs="Arial"/>
          <w:bCs/>
          <w:szCs w:val="22"/>
        </w:rPr>
        <w:tab/>
        <w:t>Project Team</w:t>
      </w:r>
    </w:p>
    <w:p w14:paraId="18F9B363" w14:textId="77777777" w:rsidR="008D13CD" w:rsidRPr="00C04B58" w:rsidRDefault="008D13CD" w:rsidP="008D13CD">
      <w:pPr>
        <w:rPr>
          <w:rFonts w:asciiTheme="majorHAnsi" w:hAnsiTheme="majorHAnsi" w:cs="Arial"/>
          <w:szCs w:val="22"/>
        </w:rPr>
      </w:pPr>
      <w:r w:rsidRPr="00C04B58">
        <w:rPr>
          <w:rFonts w:asciiTheme="majorHAnsi" w:hAnsiTheme="majorHAnsi" w:cs="Arial"/>
          <w:bCs/>
          <w:szCs w:val="22"/>
        </w:rPr>
        <w:t>PV</w:t>
      </w:r>
      <w:r w:rsidRPr="00C04B58">
        <w:rPr>
          <w:rFonts w:asciiTheme="majorHAnsi" w:hAnsiTheme="majorHAnsi" w:cs="Arial"/>
          <w:szCs w:val="22"/>
        </w:rPr>
        <w:tab/>
      </w:r>
      <w:r w:rsidRPr="00C04B58">
        <w:rPr>
          <w:rFonts w:asciiTheme="majorHAnsi" w:hAnsiTheme="majorHAnsi" w:cs="Arial"/>
          <w:szCs w:val="22"/>
        </w:rPr>
        <w:tab/>
        <w:t>Photovoltaic</w:t>
      </w:r>
    </w:p>
    <w:p w14:paraId="3E638E6C" w14:textId="77777777" w:rsidR="00B82EC1" w:rsidRPr="00C04B58" w:rsidRDefault="00B82EC1" w:rsidP="008D13CD">
      <w:pPr>
        <w:rPr>
          <w:rFonts w:asciiTheme="majorHAnsi" w:hAnsiTheme="majorHAnsi" w:cs="Arial"/>
          <w:bCs/>
          <w:szCs w:val="22"/>
        </w:rPr>
      </w:pPr>
      <w:r w:rsidRPr="00C04B58">
        <w:rPr>
          <w:rFonts w:asciiTheme="majorHAnsi" w:hAnsiTheme="majorHAnsi" w:cs="Arial"/>
          <w:bCs/>
          <w:szCs w:val="22"/>
        </w:rPr>
        <w:t>QA</w:t>
      </w:r>
      <w:r w:rsidRPr="00C04B58">
        <w:rPr>
          <w:rFonts w:asciiTheme="majorHAnsi" w:hAnsiTheme="majorHAnsi" w:cs="Arial"/>
          <w:bCs/>
          <w:szCs w:val="22"/>
        </w:rPr>
        <w:tab/>
      </w:r>
      <w:r w:rsidRPr="00C04B58">
        <w:rPr>
          <w:rFonts w:asciiTheme="majorHAnsi" w:hAnsiTheme="majorHAnsi" w:cs="Arial"/>
          <w:bCs/>
          <w:szCs w:val="22"/>
        </w:rPr>
        <w:tab/>
        <w:t>Quality Assurance</w:t>
      </w:r>
    </w:p>
    <w:p w14:paraId="0C5B8B39" w14:textId="77777777" w:rsidR="008D13CD" w:rsidRPr="00C04B58" w:rsidRDefault="008D13CD" w:rsidP="008D13CD">
      <w:pPr>
        <w:rPr>
          <w:rFonts w:asciiTheme="majorHAnsi" w:hAnsiTheme="majorHAnsi" w:cs="Arial"/>
          <w:szCs w:val="22"/>
        </w:rPr>
      </w:pPr>
      <w:r w:rsidRPr="00C04B58">
        <w:rPr>
          <w:rFonts w:asciiTheme="majorHAnsi" w:hAnsiTheme="majorHAnsi" w:cs="Arial"/>
          <w:bCs/>
          <w:szCs w:val="22"/>
        </w:rPr>
        <w:t>QPR</w:t>
      </w:r>
      <w:r w:rsidRPr="00C04B58">
        <w:rPr>
          <w:rFonts w:asciiTheme="majorHAnsi" w:hAnsiTheme="majorHAnsi" w:cs="Arial"/>
          <w:bCs/>
          <w:szCs w:val="22"/>
        </w:rPr>
        <w:tab/>
      </w:r>
      <w:r w:rsidRPr="00C04B58">
        <w:rPr>
          <w:rFonts w:asciiTheme="majorHAnsi" w:hAnsiTheme="majorHAnsi" w:cs="Arial"/>
          <w:szCs w:val="22"/>
        </w:rPr>
        <w:tab/>
        <w:t>Quarterly Progress Report</w:t>
      </w:r>
    </w:p>
    <w:p w14:paraId="2EF8AFD9" w14:textId="77777777" w:rsidR="008D13CD" w:rsidRPr="00C04B58" w:rsidRDefault="008D13CD" w:rsidP="008D13CD">
      <w:pPr>
        <w:rPr>
          <w:rFonts w:asciiTheme="majorHAnsi" w:hAnsiTheme="majorHAnsi" w:cs="Arial"/>
          <w:szCs w:val="22"/>
        </w:rPr>
      </w:pPr>
      <w:r w:rsidRPr="00C04B58">
        <w:rPr>
          <w:rFonts w:asciiTheme="majorHAnsi" w:hAnsiTheme="majorHAnsi" w:cs="Arial"/>
          <w:bCs/>
          <w:szCs w:val="22"/>
        </w:rPr>
        <w:t>RCU</w:t>
      </w:r>
      <w:r w:rsidRPr="00C04B58">
        <w:rPr>
          <w:rFonts w:asciiTheme="majorHAnsi" w:hAnsiTheme="majorHAnsi" w:cs="Arial"/>
          <w:szCs w:val="22"/>
        </w:rPr>
        <w:tab/>
      </w:r>
      <w:r w:rsidRPr="00C04B58">
        <w:rPr>
          <w:rFonts w:asciiTheme="majorHAnsi" w:hAnsiTheme="majorHAnsi" w:cs="Arial"/>
          <w:szCs w:val="22"/>
        </w:rPr>
        <w:tab/>
        <w:t>UNDP Regional Coordination Unit</w:t>
      </w:r>
    </w:p>
    <w:p w14:paraId="157EDCC5" w14:textId="77777777" w:rsidR="008D13CD" w:rsidRPr="00C04B58" w:rsidRDefault="008D13CD" w:rsidP="008D13CD">
      <w:pPr>
        <w:rPr>
          <w:rFonts w:asciiTheme="majorHAnsi" w:hAnsiTheme="majorHAnsi" w:cs="Arial"/>
          <w:szCs w:val="22"/>
        </w:rPr>
      </w:pPr>
      <w:r w:rsidRPr="00C04B58">
        <w:rPr>
          <w:rFonts w:asciiTheme="majorHAnsi" w:hAnsiTheme="majorHAnsi" w:cs="Arial"/>
          <w:bCs/>
          <w:szCs w:val="22"/>
        </w:rPr>
        <w:t>RE</w:t>
      </w:r>
      <w:r w:rsidRPr="00C04B58">
        <w:rPr>
          <w:rFonts w:asciiTheme="majorHAnsi" w:hAnsiTheme="majorHAnsi" w:cs="Arial"/>
          <w:szCs w:val="22"/>
        </w:rPr>
        <w:tab/>
      </w:r>
      <w:r w:rsidRPr="00C04B58">
        <w:rPr>
          <w:rFonts w:asciiTheme="majorHAnsi" w:hAnsiTheme="majorHAnsi" w:cs="Arial"/>
          <w:szCs w:val="22"/>
        </w:rPr>
        <w:tab/>
        <w:t>Renewable Energy</w:t>
      </w:r>
    </w:p>
    <w:p w14:paraId="3EE8293D"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t>RESCO</w:t>
      </w:r>
      <w:r w:rsidR="00BD7D2F" w:rsidRPr="00C04B58">
        <w:rPr>
          <w:rFonts w:asciiTheme="majorHAnsi" w:hAnsiTheme="majorHAnsi" w:cs="Arial"/>
          <w:bCs/>
          <w:szCs w:val="22"/>
        </w:rPr>
        <w:tab/>
      </w:r>
      <w:r w:rsidR="00BD7D2F" w:rsidRPr="00C04B58">
        <w:rPr>
          <w:rFonts w:asciiTheme="majorHAnsi" w:hAnsiTheme="majorHAnsi" w:cs="Arial"/>
          <w:bCs/>
          <w:szCs w:val="22"/>
        </w:rPr>
        <w:tab/>
        <w:t>Renewable Energy Service Company</w:t>
      </w:r>
    </w:p>
    <w:p w14:paraId="6B82E16C" w14:textId="77777777" w:rsidR="00B82EC1" w:rsidRPr="00C04B58" w:rsidRDefault="00B82EC1" w:rsidP="008D13CD">
      <w:pPr>
        <w:rPr>
          <w:rFonts w:asciiTheme="majorHAnsi" w:hAnsiTheme="majorHAnsi" w:cs="Arial"/>
          <w:bCs/>
          <w:szCs w:val="22"/>
        </w:rPr>
      </w:pPr>
      <w:r w:rsidRPr="00C04B58">
        <w:rPr>
          <w:rFonts w:asciiTheme="majorHAnsi" w:hAnsiTheme="majorHAnsi" w:cs="Arial"/>
          <w:bCs/>
          <w:szCs w:val="22"/>
        </w:rPr>
        <w:t>RR</w:t>
      </w:r>
      <w:r w:rsidRPr="00C04B58">
        <w:rPr>
          <w:rFonts w:asciiTheme="majorHAnsi" w:hAnsiTheme="majorHAnsi" w:cs="Arial"/>
          <w:bCs/>
          <w:szCs w:val="22"/>
        </w:rPr>
        <w:tab/>
      </w:r>
      <w:r w:rsidRPr="00C04B58">
        <w:rPr>
          <w:rFonts w:asciiTheme="majorHAnsi" w:hAnsiTheme="majorHAnsi" w:cs="Arial"/>
          <w:bCs/>
          <w:szCs w:val="22"/>
        </w:rPr>
        <w:tab/>
        <w:t>Resident Representative</w:t>
      </w:r>
    </w:p>
    <w:p w14:paraId="170EEB64" w14:textId="77777777" w:rsidR="008D13CD" w:rsidRPr="00C04B58" w:rsidRDefault="008D13CD" w:rsidP="008D13CD">
      <w:pPr>
        <w:rPr>
          <w:rFonts w:asciiTheme="majorHAnsi" w:hAnsiTheme="majorHAnsi" w:cs="Arial"/>
          <w:szCs w:val="22"/>
        </w:rPr>
      </w:pPr>
      <w:r w:rsidRPr="00C04B58">
        <w:rPr>
          <w:rFonts w:asciiTheme="majorHAnsi" w:hAnsiTheme="majorHAnsi" w:cs="Arial"/>
          <w:bCs/>
          <w:szCs w:val="22"/>
        </w:rPr>
        <w:t>RTA</w:t>
      </w:r>
      <w:r w:rsidRPr="00C04B58">
        <w:rPr>
          <w:rFonts w:asciiTheme="majorHAnsi" w:hAnsiTheme="majorHAnsi" w:cs="Arial"/>
          <w:szCs w:val="22"/>
        </w:rPr>
        <w:tab/>
      </w:r>
      <w:r w:rsidRPr="00C04B58">
        <w:rPr>
          <w:rFonts w:asciiTheme="majorHAnsi" w:hAnsiTheme="majorHAnsi" w:cs="Arial"/>
          <w:szCs w:val="22"/>
        </w:rPr>
        <w:tab/>
        <w:t>Regional Technical Advisor</w:t>
      </w:r>
    </w:p>
    <w:p w14:paraId="3269183F" w14:textId="77777777" w:rsidR="00B82EC1" w:rsidRPr="00C04B58" w:rsidRDefault="00B82EC1" w:rsidP="008D13CD">
      <w:pPr>
        <w:rPr>
          <w:rFonts w:asciiTheme="majorHAnsi" w:hAnsiTheme="majorHAnsi" w:cs="Arial"/>
          <w:bCs/>
          <w:szCs w:val="22"/>
        </w:rPr>
      </w:pPr>
      <w:r w:rsidRPr="00C04B58">
        <w:rPr>
          <w:rFonts w:asciiTheme="majorHAnsi" w:hAnsiTheme="majorHAnsi" w:cs="Arial"/>
          <w:bCs/>
          <w:szCs w:val="22"/>
        </w:rPr>
        <w:t>SBAA</w:t>
      </w:r>
      <w:r w:rsidRPr="00C04B58">
        <w:rPr>
          <w:rFonts w:asciiTheme="majorHAnsi" w:hAnsiTheme="majorHAnsi" w:cs="Arial"/>
          <w:bCs/>
          <w:szCs w:val="22"/>
        </w:rPr>
        <w:tab/>
      </w:r>
      <w:r w:rsidRPr="00C04B58">
        <w:rPr>
          <w:rFonts w:asciiTheme="majorHAnsi" w:hAnsiTheme="majorHAnsi" w:cs="Arial"/>
          <w:bCs/>
          <w:szCs w:val="22"/>
        </w:rPr>
        <w:tab/>
        <w:t>Standard Basic Assistance Agreement</w:t>
      </w:r>
    </w:p>
    <w:p w14:paraId="04D3F637" w14:textId="77777777" w:rsidR="008D13CD" w:rsidRPr="00C04B58" w:rsidRDefault="008D13CD" w:rsidP="008D13CD">
      <w:pPr>
        <w:rPr>
          <w:rFonts w:asciiTheme="majorHAnsi" w:hAnsiTheme="majorHAnsi" w:cs="Arial"/>
          <w:bCs/>
          <w:szCs w:val="22"/>
        </w:rPr>
      </w:pPr>
      <w:r w:rsidRPr="00C04B58">
        <w:rPr>
          <w:rFonts w:asciiTheme="majorHAnsi" w:hAnsiTheme="majorHAnsi" w:cs="Arial"/>
          <w:bCs/>
          <w:szCs w:val="22"/>
        </w:rPr>
        <w:t>SCTM</w:t>
      </w:r>
      <w:r w:rsidRPr="00C04B58">
        <w:rPr>
          <w:rFonts w:asciiTheme="majorHAnsi" w:hAnsiTheme="majorHAnsi" w:cs="Arial"/>
          <w:bCs/>
          <w:szCs w:val="22"/>
        </w:rPr>
        <w:tab/>
      </w:r>
      <w:r w:rsidRPr="00C04B58">
        <w:rPr>
          <w:rFonts w:asciiTheme="majorHAnsi" w:hAnsiTheme="majorHAnsi" w:cs="Arial"/>
          <w:bCs/>
          <w:szCs w:val="22"/>
        </w:rPr>
        <w:tab/>
        <w:t>Standing Conference of Towns and Municipalities</w:t>
      </w:r>
    </w:p>
    <w:p w14:paraId="529960D7"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t>SESP</w:t>
      </w:r>
      <w:r w:rsidR="00BD7D2F" w:rsidRPr="00C04B58">
        <w:rPr>
          <w:rFonts w:asciiTheme="majorHAnsi" w:hAnsiTheme="majorHAnsi" w:cs="Arial"/>
          <w:bCs/>
          <w:szCs w:val="22"/>
        </w:rPr>
        <w:tab/>
      </w:r>
      <w:r w:rsidR="00BD7D2F" w:rsidRPr="00C04B58">
        <w:rPr>
          <w:rFonts w:asciiTheme="majorHAnsi" w:hAnsiTheme="majorHAnsi" w:cs="Arial"/>
          <w:bCs/>
          <w:szCs w:val="22"/>
        </w:rPr>
        <w:tab/>
        <w:t>Social and Environmental Screening Procedure</w:t>
      </w:r>
    </w:p>
    <w:p w14:paraId="6124EF2C" w14:textId="77777777" w:rsidR="00FB6EC8" w:rsidRPr="00C04B58" w:rsidRDefault="00FB6EC8" w:rsidP="008D13CD">
      <w:pPr>
        <w:rPr>
          <w:rFonts w:asciiTheme="majorHAnsi" w:hAnsiTheme="majorHAnsi" w:cs="Arial"/>
          <w:bCs/>
          <w:szCs w:val="22"/>
        </w:rPr>
      </w:pPr>
      <w:r w:rsidRPr="00C04B58">
        <w:rPr>
          <w:rFonts w:asciiTheme="majorHAnsi" w:hAnsiTheme="majorHAnsi" w:cs="Arial"/>
          <w:bCs/>
          <w:szCs w:val="22"/>
        </w:rPr>
        <w:t>SME</w:t>
      </w:r>
      <w:r w:rsidR="00BD7D2F" w:rsidRPr="00C04B58">
        <w:rPr>
          <w:rFonts w:asciiTheme="majorHAnsi" w:hAnsiTheme="majorHAnsi" w:cs="Arial"/>
          <w:bCs/>
          <w:szCs w:val="22"/>
        </w:rPr>
        <w:tab/>
      </w:r>
      <w:r w:rsidR="00BD7D2F" w:rsidRPr="00C04B58">
        <w:rPr>
          <w:rFonts w:asciiTheme="majorHAnsi" w:hAnsiTheme="majorHAnsi" w:cs="Arial"/>
          <w:bCs/>
          <w:szCs w:val="22"/>
        </w:rPr>
        <w:tab/>
        <w:t>Small and medium-size enterprise</w:t>
      </w:r>
    </w:p>
    <w:p w14:paraId="60F8475F" w14:textId="77777777" w:rsidR="008D13CD" w:rsidRPr="00C04B58" w:rsidRDefault="008D13CD" w:rsidP="008D13CD">
      <w:pPr>
        <w:rPr>
          <w:rFonts w:asciiTheme="majorHAnsi" w:hAnsiTheme="majorHAnsi" w:cs="Arial"/>
          <w:bCs/>
          <w:szCs w:val="22"/>
        </w:rPr>
      </w:pPr>
      <w:r w:rsidRPr="00C04B58">
        <w:rPr>
          <w:rFonts w:asciiTheme="majorHAnsi" w:hAnsiTheme="majorHAnsi" w:cs="Arial"/>
          <w:bCs/>
          <w:szCs w:val="22"/>
        </w:rPr>
        <w:t>SNC</w:t>
      </w:r>
      <w:r w:rsidRPr="00C04B58">
        <w:rPr>
          <w:rFonts w:asciiTheme="majorHAnsi" w:hAnsiTheme="majorHAnsi" w:cs="Arial"/>
          <w:bCs/>
          <w:szCs w:val="22"/>
        </w:rPr>
        <w:tab/>
      </w:r>
      <w:r w:rsidRPr="00C04B58">
        <w:rPr>
          <w:rFonts w:asciiTheme="majorHAnsi" w:hAnsiTheme="majorHAnsi" w:cs="Arial"/>
          <w:bCs/>
          <w:szCs w:val="22"/>
        </w:rPr>
        <w:tab/>
        <w:t>Second National Communication</w:t>
      </w:r>
    </w:p>
    <w:p w14:paraId="2FD6DFEE" w14:textId="77777777" w:rsidR="00B03DD2" w:rsidRPr="00C04B58" w:rsidRDefault="00B03DD2" w:rsidP="008D13CD">
      <w:pPr>
        <w:rPr>
          <w:rFonts w:asciiTheme="majorHAnsi" w:hAnsiTheme="majorHAnsi" w:cs="Arial"/>
          <w:bCs/>
          <w:szCs w:val="22"/>
        </w:rPr>
      </w:pPr>
      <w:r w:rsidRPr="00C04B58">
        <w:rPr>
          <w:rFonts w:asciiTheme="majorHAnsi" w:hAnsiTheme="majorHAnsi" w:cs="Arial"/>
          <w:bCs/>
          <w:szCs w:val="22"/>
        </w:rPr>
        <w:t>SSTrC</w:t>
      </w:r>
      <w:r w:rsidRPr="00C04B58">
        <w:rPr>
          <w:rFonts w:asciiTheme="majorHAnsi" w:hAnsiTheme="majorHAnsi" w:cs="Arial"/>
          <w:bCs/>
          <w:szCs w:val="22"/>
        </w:rPr>
        <w:tab/>
      </w:r>
      <w:r w:rsidRPr="00C04B58">
        <w:rPr>
          <w:rFonts w:asciiTheme="majorHAnsi" w:hAnsiTheme="majorHAnsi" w:cs="Arial"/>
          <w:bCs/>
          <w:szCs w:val="22"/>
        </w:rPr>
        <w:tab/>
        <w:t>South-South and Triangular Cooperation</w:t>
      </w:r>
    </w:p>
    <w:p w14:paraId="61596DD3" w14:textId="77777777" w:rsidR="0051197F" w:rsidRPr="00C04B58" w:rsidRDefault="0051197F" w:rsidP="008D13CD">
      <w:pPr>
        <w:rPr>
          <w:rFonts w:asciiTheme="majorHAnsi" w:hAnsiTheme="majorHAnsi" w:cs="Arial"/>
          <w:bCs/>
          <w:szCs w:val="22"/>
        </w:rPr>
      </w:pPr>
      <w:r w:rsidRPr="00C04B58">
        <w:rPr>
          <w:rFonts w:asciiTheme="majorHAnsi" w:hAnsiTheme="majorHAnsi" w:cs="Arial"/>
          <w:bCs/>
          <w:szCs w:val="22"/>
        </w:rPr>
        <w:t>STAP</w:t>
      </w:r>
      <w:r w:rsidRPr="00C04B58">
        <w:rPr>
          <w:rFonts w:asciiTheme="majorHAnsi" w:hAnsiTheme="majorHAnsi" w:cs="Arial"/>
          <w:bCs/>
          <w:szCs w:val="22"/>
        </w:rPr>
        <w:tab/>
      </w:r>
      <w:r w:rsidRPr="00C04B58">
        <w:rPr>
          <w:rFonts w:asciiTheme="majorHAnsi" w:hAnsiTheme="majorHAnsi" w:cs="Arial"/>
          <w:bCs/>
          <w:szCs w:val="22"/>
        </w:rPr>
        <w:tab/>
        <w:t xml:space="preserve">GEF Scientific </w:t>
      </w:r>
      <w:r w:rsidR="00C953AA" w:rsidRPr="00C04B58">
        <w:rPr>
          <w:rFonts w:asciiTheme="majorHAnsi" w:hAnsiTheme="majorHAnsi" w:cs="Arial"/>
          <w:bCs/>
          <w:szCs w:val="22"/>
        </w:rPr>
        <w:t xml:space="preserve">and </w:t>
      </w:r>
      <w:r w:rsidRPr="00C04B58">
        <w:rPr>
          <w:rFonts w:asciiTheme="majorHAnsi" w:hAnsiTheme="majorHAnsi" w:cs="Arial"/>
          <w:bCs/>
          <w:szCs w:val="22"/>
        </w:rPr>
        <w:t>Technical Advisory Panel</w:t>
      </w:r>
    </w:p>
    <w:p w14:paraId="3ED7129E" w14:textId="77777777" w:rsidR="008D13CD" w:rsidRPr="00C04B58" w:rsidRDefault="008D13CD" w:rsidP="008D13CD">
      <w:pPr>
        <w:rPr>
          <w:rFonts w:asciiTheme="majorHAnsi" w:hAnsiTheme="majorHAnsi" w:cs="Arial"/>
          <w:szCs w:val="22"/>
        </w:rPr>
      </w:pPr>
      <w:r w:rsidRPr="00C04B58">
        <w:rPr>
          <w:rFonts w:asciiTheme="majorHAnsi" w:hAnsiTheme="majorHAnsi" w:cs="Arial"/>
          <w:bCs/>
          <w:szCs w:val="22"/>
        </w:rPr>
        <w:t>SWH</w:t>
      </w:r>
      <w:r w:rsidRPr="00C04B58">
        <w:rPr>
          <w:rFonts w:asciiTheme="majorHAnsi" w:hAnsiTheme="majorHAnsi" w:cs="Arial"/>
          <w:szCs w:val="22"/>
        </w:rPr>
        <w:tab/>
      </w:r>
      <w:r w:rsidRPr="00C04B58">
        <w:rPr>
          <w:rFonts w:asciiTheme="majorHAnsi" w:hAnsiTheme="majorHAnsi" w:cs="Arial"/>
          <w:szCs w:val="22"/>
        </w:rPr>
        <w:tab/>
        <w:t>Solar water heater</w:t>
      </w:r>
    </w:p>
    <w:p w14:paraId="5BF1FE81" w14:textId="77777777" w:rsidR="00B82EC1" w:rsidRPr="00C04B58" w:rsidRDefault="00B82EC1" w:rsidP="008D13CD">
      <w:pPr>
        <w:rPr>
          <w:rFonts w:asciiTheme="majorHAnsi" w:hAnsiTheme="majorHAnsi" w:cs="Arial"/>
          <w:bCs/>
          <w:szCs w:val="22"/>
        </w:rPr>
      </w:pPr>
      <w:r w:rsidRPr="00C04B58">
        <w:rPr>
          <w:rFonts w:asciiTheme="majorHAnsi" w:hAnsiTheme="majorHAnsi" w:cs="Arial"/>
          <w:bCs/>
          <w:szCs w:val="22"/>
        </w:rPr>
        <w:t>TA</w:t>
      </w:r>
      <w:r w:rsidRPr="00C04B58">
        <w:rPr>
          <w:rFonts w:asciiTheme="majorHAnsi" w:hAnsiTheme="majorHAnsi" w:cs="Arial"/>
          <w:bCs/>
          <w:szCs w:val="22"/>
        </w:rPr>
        <w:tab/>
      </w:r>
      <w:r w:rsidRPr="00C04B58">
        <w:rPr>
          <w:rFonts w:asciiTheme="majorHAnsi" w:hAnsiTheme="majorHAnsi" w:cs="Arial"/>
          <w:bCs/>
          <w:szCs w:val="22"/>
        </w:rPr>
        <w:tab/>
      </w:r>
      <w:r w:rsidR="00BE7649" w:rsidRPr="00C04B58">
        <w:rPr>
          <w:rFonts w:asciiTheme="majorHAnsi" w:hAnsiTheme="majorHAnsi" w:cs="Arial"/>
          <w:bCs/>
          <w:szCs w:val="22"/>
        </w:rPr>
        <w:t>Technical</w:t>
      </w:r>
      <w:r w:rsidRPr="00C04B58">
        <w:rPr>
          <w:rFonts w:asciiTheme="majorHAnsi" w:hAnsiTheme="majorHAnsi" w:cs="Arial"/>
          <w:bCs/>
          <w:szCs w:val="22"/>
        </w:rPr>
        <w:t xml:space="preserve"> assistance</w:t>
      </w:r>
    </w:p>
    <w:p w14:paraId="6DBD8329" w14:textId="77777777" w:rsidR="00B82EC1" w:rsidRPr="00C04B58" w:rsidRDefault="00B82EC1" w:rsidP="008D13CD">
      <w:pPr>
        <w:rPr>
          <w:rFonts w:asciiTheme="majorHAnsi" w:hAnsiTheme="majorHAnsi" w:cs="Arial"/>
          <w:bCs/>
          <w:szCs w:val="22"/>
        </w:rPr>
      </w:pPr>
      <w:r w:rsidRPr="00C04B58">
        <w:rPr>
          <w:rFonts w:asciiTheme="majorHAnsi" w:hAnsiTheme="majorHAnsi" w:cs="Arial"/>
          <w:bCs/>
          <w:szCs w:val="22"/>
        </w:rPr>
        <w:t>TE</w:t>
      </w:r>
      <w:r w:rsidRPr="00C04B58">
        <w:rPr>
          <w:rFonts w:asciiTheme="majorHAnsi" w:hAnsiTheme="majorHAnsi" w:cs="Arial"/>
          <w:bCs/>
          <w:szCs w:val="22"/>
        </w:rPr>
        <w:tab/>
      </w:r>
      <w:r w:rsidRPr="00C04B58">
        <w:rPr>
          <w:rFonts w:asciiTheme="majorHAnsi" w:hAnsiTheme="majorHAnsi" w:cs="Arial"/>
          <w:bCs/>
          <w:szCs w:val="22"/>
        </w:rPr>
        <w:tab/>
        <w:t>Terminal Evaluation</w:t>
      </w:r>
    </w:p>
    <w:p w14:paraId="1A5DB61B" w14:textId="77777777" w:rsidR="00B82EC1" w:rsidRPr="00C04B58" w:rsidRDefault="00B82EC1" w:rsidP="008D13CD">
      <w:pPr>
        <w:rPr>
          <w:rFonts w:asciiTheme="majorHAnsi" w:hAnsiTheme="majorHAnsi" w:cs="Arial"/>
          <w:bCs/>
          <w:szCs w:val="22"/>
        </w:rPr>
      </w:pPr>
      <w:r w:rsidRPr="00C04B58">
        <w:rPr>
          <w:rFonts w:asciiTheme="majorHAnsi" w:hAnsiTheme="majorHAnsi" w:cs="Arial"/>
          <w:bCs/>
          <w:szCs w:val="22"/>
        </w:rPr>
        <w:t>TOR</w:t>
      </w:r>
      <w:r w:rsidRPr="00C04B58">
        <w:rPr>
          <w:rFonts w:asciiTheme="majorHAnsi" w:hAnsiTheme="majorHAnsi" w:cs="Arial"/>
          <w:bCs/>
          <w:szCs w:val="22"/>
        </w:rPr>
        <w:tab/>
      </w:r>
      <w:r w:rsidRPr="00C04B58">
        <w:rPr>
          <w:rFonts w:asciiTheme="majorHAnsi" w:hAnsiTheme="majorHAnsi" w:cs="Arial"/>
          <w:bCs/>
          <w:szCs w:val="22"/>
        </w:rPr>
        <w:tab/>
        <w:t>Terms of reference</w:t>
      </w:r>
    </w:p>
    <w:p w14:paraId="181FE72D" w14:textId="77777777" w:rsidR="008D13CD" w:rsidRPr="00C04B58" w:rsidRDefault="008D13CD" w:rsidP="008D13CD">
      <w:pPr>
        <w:rPr>
          <w:rFonts w:asciiTheme="majorHAnsi" w:hAnsiTheme="majorHAnsi" w:cs="Arial"/>
          <w:szCs w:val="22"/>
        </w:rPr>
      </w:pPr>
      <w:r w:rsidRPr="00C04B58">
        <w:rPr>
          <w:rFonts w:asciiTheme="majorHAnsi" w:hAnsiTheme="majorHAnsi" w:cs="Arial"/>
          <w:bCs/>
          <w:szCs w:val="22"/>
        </w:rPr>
        <w:t>TPR</w:t>
      </w:r>
      <w:r w:rsidRPr="00C04B58">
        <w:rPr>
          <w:rFonts w:asciiTheme="majorHAnsi" w:hAnsiTheme="majorHAnsi" w:cs="Arial"/>
          <w:szCs w:val="22"/>
        </w:rPr>
        <w:tab/>
      </w:r>
      <w:r w:rsidRPr="00C04B58">
        <w:rPr>
          <w:rFonts w:asciiTheme="majorHAnsi" w:hAnsiTheme="majorHAnsi" w:cs="Arial"/>
          <w:szCs w:val="22"/>
        </w:rPr>
        <w:tab/>
        <w:t>Tripartite Review</w:t>
      </w:r>
    </w:p>
    <w:p w14:paraId="1AF47A1F" w14:textId="77777777" w:rsidR="008D13CD" w:rsidRPr="00C04B58" w:rsidRDefault="008D13CD" w:rsidP="008D13CD">
      <w:pPr>
        <w:rPr>
          <w:rFonts w:asciiTheme="majorHAnsi" w:hAnsiTheme="majorHAnsi" w:cs="Arial"/>
          <w:szCs w:val="22"/>
        </w:rPr>
      </w:pPr>
      <w:r w:rsidRPr="00C04B58">
        <w:rPr>
          <w:rFonts w:asciiTheme="majorHAnsi" w:hAnsiTheme="majorHAnsi" w:cs="Arial"/>
          <w:bCs/>
          <w:szCs w:val="22"/>
        </w:rPr>
        <w:t>TTR</w:t>
      </w:r>
      <w:r w:rsidRPr="00C04B58">
        <w:rPr>
          <w:rFonts w:asciiTheme="majorHAnsi" w:hAnsiTheme="majorHAnsi" w:cs="Arial"/>
          <w:szCs w:val="22"/>
        </w:rPr>
        <w:tab/>
      </w:r>
      <w:r w:rsidRPr="00C04B58">
        <w:rPr>
          <w:rFonts w:asciiTheme="majorHAnsi" w:hAnsiTheme="majorHAnsi" w:cs="Arial"/>
          <w:szCs w:val="22"/>
        </w:rPr>
        <w:tab/>
        <w:t xml:space="preserve">Terminal Tripartite Review </w:t>
      </w:r>
    </w:p>
    <w:p w14:paraId="2FFDC9C2" w14:textId="77777777" w:rsidR="008D13CD" w:rsidRPr="00C04B58" w:rsidRDefault="008D13CD" w:rsidP="008D13CD">
      <w:pPr>
        <w:rPr>
          <w:rFonts w:asciiTheme="majorHAnsi" w:hAnsiTheme="majorHAnsi" w:cs="Arial"/>
          <w:szCs w:val="22"/>
        </w:rPr>
      </w:pPr>
      <w:r w:rsidRPr="00C04B58">
        <w:rPr>
          <w:rFonts w:asciiTheme="majorHAnsi" w:hAnsiTheme="majorHAnsi" w:cs="Arial"/>
          <w:bCs/>
          <w:szCs w:val="22"/>
        </w:rPr>
        <w:t>WB</w:t>
      </w:r>
      <w:r w:rsidRPr="00C04B58">
        <w:rPr>
          <w:rFonts w:asciiTheme="majorHAnsi" w:hAnsiTheme="majorHAnsi" w:cs="Arial"/>
          <w:szCs w:val="22"/>
        </w:rPr>
        <w:tab/>
      </w:r>
      <w:r w:rsidRPr="00C04B58">
        <w:rPr>
          <w:rFonts w:asciiTheme="majorHAnsi" w:hAnsiTheme="majorHAnsi" w:cs="Arial"/>
          <w:szCs w:val="22"/>
        </w:rPr>
        <w:tab/>
        <w:t>World Bank</w:t>
      </w:r>
    </w:p>
    <w:p w14:paraId="3631F0CB" w14:textId="77777777" w:rsidR="008D13CD" w:rsidRPr="00C04B58" w:rsidRDefault="008D13CD" w:rsidP="008D13CD">
      <w:pPr>
        <w:rPr>
          <w:rFonts w:asciiTheme="majorHAnsi" w:hAnsiTheme="majorHAnsi" w:cs="Arial"/>
          <w:szCs w:val="22"/>
        </w:rPr>
      </w:pPr>
      <w:r w:rsidRPr="00C04B58">
        <w:rPr>
          <w:rFonts w:asciiTheme="majorHAnsi" w:hAnsiTheme="majorHAnsi" w:cs="Arial"/>
          <w:bCs/>
          <w:szCs w:val="22"/>
        </w:rPr>
        <w:t>UNDAF</w:t>
      </w:r>
      <w:r w:rsidRPr="00C04B58">
        <w:rPr>
          <w:rFonts w:asciiTheme="majorHAnsi" w:hAnsiTheme="majorHAnsi" w:cs="Arial"/>
          <w:szCs w:val="22"/>
        </w:rPr>
        <w:tab/>
      </w:r>
      <w:r w:rsidRPr="00C04B58">
        <w:rPr>
          <w:rFonts w:asciiTheme="majorHAnsi" w:hAnsiTheme="majorHAnsi" w:cs="Arial"/>
          <w:szCs w:val="22"/>
        </w:rPr>
        <w:tab/>
        <w:t>United Nations Development Assistance Framework</w:t>
      </w:r>
    </w:p>
    <w:p w14:paraId="34EF6301" w14:textId="77777777" w:rsidR="008D13CD" w:rsidRPr="00C04B58" w:rsidRDefault="008D13CD" w:rsidP="008D13CD">
      <w:pPr>
        <w:rPr>
          <w:rFonts w:asciiTheme="majorHAnsi" w:hAnsiTheme="majorHAnsi" w:cs="Arial"/>
          <w:szCs w:val="22"/>
        </w:rPr>
      </w:pPr>
      <w:r w:rsidRPr="00C04B58">
        <w:rPr>
          <w:rFonts w:asciiTheme="majorHAnsi" w:hAnsiTheme="majorHAnsi" w:cs="Arial"/>
          <w:bCs/>
          <w:szCs w:val="22"/>
        </w:rPr>
        <w:t>UNDP</w:t>
      </w:r>
      <w:r w:rsidRPr="00C04B58">
        <w:rPr>
          <w:rFonts w:asciiTheme="majorHAnsi" w:hAnsiTheme="majorHAnsi" w:cs="Arial"/>
          <w:szCs w:val="22"/>
        </w:rPr>
        <w:tab/>
      </w:r>
      <w:r w:rsidRPr="00C04B58">
        <w:rPr>
          <w:rFonts w:asciiTheme="majorHAnsi" w:hAnsiTheme="majorHAnsi" w:cs="Arial"/>
          <w:szCs w:val="22"/>
        </w:rPr>
        <w:tab/>
        <w:t>United Nations Development Programme</w:t>
      </w:r>
    </w:p>
    <w:p w14:paraId="5EB5ED3C" w14:textId="77777777" w:rsidR="0051197F" w:rsidRPr="00C04B58" w:rsidRDefault="0051197F" w:rsidP="008D13CD">
      <w:pPr>
        <w:rPr>
          <w:rFonts w:asciiTheme="majorHAnsi" w:hAnsiTheme="majorHAnsi" w:cs="Arial"/>
          <w:szCs w:val="22"/>
        </w:rPr>
      </w:pPr>
      <w:r w:rsidRPr="00C04B58">
        <w:rPr>
          <w:rFonts w:asciiTheme="majorHAnsi" w:hAnsiTheme="majorHAnsi" w:cs="Arial"/>
          <w:szCs w:val="22"/>
        </w:rPr>
        <w:t>UNDP-GEF</w:t>
      </w:r>
      <w:r w:rsidRPr="00C04B58">
        <w:rPr>
          <w:rFonts w:asciiTheme="majorHAnsi" w:hAnsiTheme="majorHAnsi" w:cs="Arial"/>
          <w:szCs w:val="22"/>
        </w:rPr>
        <w:tab/>
        <w:t>UNDP Global Environmental Finance Unit</w:t>
      </w:r>
    </w:p>
    <w:p w14:paraId="045B08C4" w14:textId="77777777" w:rsidR="008D13CD" w:rsidRPr="00C04B58" w:rsidRDefault="008D13CD" w:rsidP="008D13CD">
      <w:pPr>
        <w:pStyle w:val="MediumGrid1-Accent21"/>
        <w:ind w:left="0"/>
        <w:rPr>
          <w:rFonts w:asciiTheme="majorHAnsi" w:hAnsiTheme="majorHAnsi" w:cs="Arial"/>
          <w:bCs/>
          <w:szCs w:val="22"/>
          <w:lang w:val="en-GB"/>
        </w:rPr>
      </w:pPr>
      <w:r w:rsidRPr="00C04B58">
        <w:rPr>
          <w:rFonts w:asciiTheme="majorHAnsi" w:hAnsiTheme="majorHAnsi" w:cs="Arial"/>
          <w:bCs/>
          <w:szCs w:val="22"/>
          <w:lang w:val="en-GB"/>
        </w:rPr>
        <w:t>UNEP</w:t>
      </w:r>
      <w:r w:rsidRPr="00C04B58">
        <w:rPr>
          <w:rFonts w:asciiTheme="majorHAnsi" w:hAnsiTheme="majorHAnsi" w:cs="Arial"/>
          <w:bCs/>
          <w:szCs w:val="22"/>
          <w:lang w:val="en-GB"/>
        </w:rPr>
        <w:tab/>
      </w:r>
      <w:r w:rsidRPr="00C04B58">
        <w:rPr>
          <w:rFonts w:asciiTheme="majorHAnsi" w:hAnsiTheme="majorHAnsi" w:cs="Arial"/>
          <w:bCs/>
          <w:szCs w:val="22"/>
          <w:lang w:val="en-GB"/>
        </w:rPr>
        <w:tab/>
        <w:t>United Nations Environment Programme</w:t>
      </w:r>
    </w:p>
    <w:p w14:paraId="336C053F" w14:textId="77777777" w:rsidR="008D13CD" w:rsidRPr="00C04B58" w:rsidRDefault="008D13CD" w:rsidP="008D13CD">
      <w:pPr>
        <w:pStyle w:val="MediumGrid1-Accent21"/>
        <w:ind w:left="0"/>
        <w:rPr>
          <w:rFonts w:asciiTheme="majorHAnsi" w:hAnsiTheme="majorHAnsi" w:cs="Arial"/>
          <w:szCs w:val="22"/>
          <w:lang w:val="en-GB"/>
        </w:rPr>
      </w:pPr>
      <w:r w:rsidRPr="00C04B58">
        <w:rPr>
          <w:rFonts w:asciiTheme="majorHAnsi" w:hAnsiTheme="majorHAnsi" w:cs="Arial"/>
          <w:bCs/>
          <w:szCs w:val="22"/>
          <w:lang w:val="en-GB"/>
        </w:rPr>
        <w:t>UNFCCC</w:t>
      </w:r>
      <w:r w:rsidRPr="00C04B58">
        <w:rPr>
          <w:rFonts w:asciiTheme="majorHAnsi" w:hAnsiTheme="majorHAnsi" w:cs="Arial"/>
          <w:szCs w:val="22"/>
          <w:lang w:val="en-GB"/>
        </w:rPr>
        <w:tab/>
        <w:t>United Nations Framework Convention on Climate Change</w:t>
      </w:r>
    </w:p>
    <w:p w14:paraId="521204A6" w14:textId="77777777" w:rsidR="004F2521" w:rsidRPr="00C04B58" w:rsidRDefault="004F2521" w:rsidP="008D13CD">
      <w:pPr>
        <w:pStyle w:val="MediumGrid1-Accent21"/>
        <w:ind w:left="0"/>
        <w:rPr>
          <w:rFonts w:asciiTheme="majorHAnsi" w:hAnsiTheme="majorHAnsi" w:cs="Arial"/>
          <w:szCs w:val="22"/>
          <w:lang w:val="en-GB"/>
        </w:rPr>
      </w:pPr>
      <w:r w:rsidRPr="00C04B58">
        <w:rPr>
          <w:rFonts w:asciiTheme="majorHAnsi" w:hAnsiTheme="majorHAnsi" w:cs="Arial"/>
          <w:szCs w:val="22"/>
          <w:lang w:val="en-GB"/>
        </w:rPr>
        <w:t>USAID</w:t>
      </w:r>
      <w:r w:rsidR="00B03DD2" w:rsidRPr="00C04B58">
        <w:rPr>
          <w:rFonts w:asciiTheme="majorHAnsi" w:hAnsiTheme="majorHAnsi" w:cs="Arial"/>
          <w:szCs w:val="22"/>
          <w:lang w:val="en-GB"/>
        </w:rPr>
        <w:tab/>
      </w:r>
      <w:r w:rsidR="00B03DD2" w:rsidRPr="00C04B58">
        <w:rPr>
          <w:rFonts w:asciiTheme="majorHAnsi" w:hAnsiTheme="majorHAnsi" w:cs="Arial"/>
          <w:szCs w:val="22"/>
          <w:lang w:val="en-GB"/>
        </w:rPr>
        <w:tab/>
        <w:t>United States Agency for International Development</w:t>
      </w:r>
    </w:p>
    <w:p w14:paraId="18492814" w14:textId="77777777" w:rsidR="00EB0908" w:rsidRPr="00C04B58" w:rsidRDefault="00EB0908" w:rsidP="008D13CD">
      <w:pPr>
        <w:pStyle w:val="MediumGrid1-Accent21"/>
        <w:ind w:left="0"/>
        <w:rPr>
          <w:rFonts w:asciiTheme="majorHAnsi" w:hAnsiTheme="majorHAnsi" w:cs="Arial"/>
          <w:szCs w:val="22"/>
          <w:lang w:val="en-GB"/>
        </w:rPr>
      </w:pPr>
      <w:r w:rsidRPr="00C04B58">
        <w:rPr>
          <w:rFonts w:asciiTheme="majorHAnsi" w:hAnsiTheme="majorHAnsi" w:cs="Arial"/>
          <w:szCs w:val="22"/>
          <w:lang w:val="en-GB"/>
        </w:rPr>
        <w:t>WRTB</w:t>
      </w:r>
      <w:r w:rsidRPr="00C04B58">
        <w:rPr>
          <w:rFonts w:asciiTheme="majorHAnsi" w:hAnsiTheme="majorHAnsi" w:cs="Arial"/>
          <w:szCs w:val="22"/>
          <w:lang w:val="en-GB"/>
        </w:rPr>
        <w:tab/>
      </w:r>
      <w:r w:rsidRPr="00C04B58">
        <w:rPr>
          <w:rFonts w:asciiTheme="majorHAnsi" w:hAnsiTheme="majorHAnsi" w:cs="Arial"/>
          <w:szCs w:val="22"/>
          <w:lang w:val="en-GB"/>
        </w:rPr>
        <w:tab/>
        <w:t>Wind rotor turbines</w:t>
      </w:r>
    </w:p>
    <w:p w14:paraId="49933D97" w14:textId="77777777" w:rsidR="008D13CD" w:rsidRDefault="008D13CD" w:rsidP="00235AE4">
      <w:pPr>
        <w:spacing w:after="240"/>
        <w:rPr>
          <w:b/>
          <w:bCs/>
          <w:noProof/>
          <w:szCs w:val="20"/>
        </w:rPr>
      </w:pPr>
    </w:p>
    <w:p w14:paraId="30AE97C8" w14:textId="77777777" w:rsidR="0051197F" w:rsidRDefault="0051197F">
      <w:pPr>
        <w:sectPr w:rsidR="0051197F" w:rsidSect="00481B99">
          <w:footerReference w:type="default" r:id="rId14"/>
          <w:pgSz w:w="11900" w:h="16820" w:code="9"/>
          <w:pgMar w:top="993" w:right="851" w:bottom="1170" w:left="851" w:header="708" w:footer="708" w:gutter="0"/>
          <w:pgNumType w:fmt="lowerRoman"/>
          <w:cols w:space="708"/>
          <w:titlePg/>
          <w:docGrid w:linePitch="326"/>
        </w:sectPr>
      </w:pPr>
    </w:p>
    <w:p w14:paraId="3501A9E6" w14:textId="77777777" w:rsidR="00D218B7" w:rsidRPr="006004D1" w:rsidRDefault="008C65EB" w:rsidP="00D218B7">
      <w:pPr>
        <w:pStyle w:val="1"/>
        <w:spacing w:before="0" w:after="0" w:line="271" w:lineRule="auto"/>
        <w:rPr>
          <w:rFonts w:ascii="Calibri" w:hAnsi="Calibri"/>
        </w:rPr>
      </w:pPr>
      <w:bookmarkStart w:id="4" w:name="_Toc407785517"/>
      <w:bookmarkStart w:id="5" w:name="_Toc479693880"/>
      <w:r w:rsidRPr="006004D1">
        <w:rPr>
          <w:rFonts w:ascii="Calibri" w:hAnsi="Calibri"/>
        </w:rPr>
        <w:lastRenderedPageBreak/>
        <w:t xml:space="preserve">Development </w:t>
      </w:r>
      <w:r w:rsidR="00005D48" w:rsidRPr="006004D1">
        <w:rPr>
          <w:rFonts w:ascii="Calibri" w:hAnsi="Calibri"/>
        </w:rPr>
        <w:t>C</w:t>
      </w:r>
      <w:r w:rsidR="004C3717" w:rsidRPr="006004D1">
        <w:rPr>
          <w:rFonts w:ascii="Calibri" w:hAnsi="Calibri"/>
        </w:rPr>
        <w:t>hallenge</w:t>
      </w:r>
      <w:bookmarkEnd w:id="4"/>
      <w:bookmarkEnd w:id="5"/>
    </w:p>
    <w:p w14:paraId="1BDFB905" w14:textId="77777777" w:rsidR="00A37899" w:rsidRDefault="00D72D5B" w:rsidP="0020322F">
      <w:pPr>
        <w:pStyle w:val="a7"/>
        <w:numPr>
          <w:ilvl w:val="0"/>
          <w:numId w:val="9"/>
        </w:numPr>
        <w:tabs>
          <w:tab w:val="clear" w:pos="4153"/>
          <w:tab w:val="clear" w:pos="8306"/>
          <w:tab w:val="left" w:pos="426"/>
        </w:tabs>
        <w:spacing w:after="120"/>
        <w:ind w:left="0" w:right="17" w:firstLine="0"/>
        <w:rPr>
          <w:rFonts w:cs="Arial"/>
          <w:szCs w:val="22"/>
          <w:lang w:val="en-GB"/>
        </w:rPr>
      </w:pPr>
      <w:r w:rsidRPr="003C23E9">
        <w:rPr>
          <w:rFonts w:cs="Arial"/>
          <w:szCs w:val="22"/>
          <w:lang w:val="en-GB"/>
        </w:rPr>
        <w:t xml:space="preserve">Kazakhstan’s 2050 Strategy aims at entering the country </w:t>
      </w:r>
      <w:r w:rsidR="00547F33">
        <w:rPr>
          <w:rFonts w:cs="Arial"/>
          <w:szCs w:val="22"/>
          <w:lang w:val="en-GB"/>
        </w:rPr>
        <w:t>into</w:t>
      </w:r>
      <w:r w:rsidRPr="003C23E9">
        <w:rPr>
          <w:rFonts w:cs="Arial"/>
          <w:szCs w:val="22"/>
          <w:lang w:val="en-GB"/>
        </w:rPr>
        <w:t xml:space="preserve"> </w:t>
      </w:r>
      <w:r w:rsidR="0060303F">
        <w:rPr>
          <w:rFonts w:cs="Arial"/>
          <w:szCs w:val="22"/>
          <w:lang w:val="en-GB"/>
        </w:rPr>
        <w:t>the 30 most developed countries</w:t>
      </w:r>
      <w:r w:rsidR="00A37899">
        <w:rPr>
          <w:rFonts w:cs="Arial"/>
          <w:szCs w:val="22"/>
          <w:lang w:val="en-GB"/>
        </w:rPr>
        <w:t xml:space="preserve"> </w:t>
      </w:r>
      <w:r w:rsidRPr="0060303F">
        <w:rPr>
          <w:rFonts w:cs="Arial"/>
          <w:szCs w:val="22"/>
          <w:lang w:val="en-GB"/>
        </w:rPr>
        <w:t xml:space="preserve">in the world by 2050. This </w:t>
      </w:r>
      <w:r w:rsidR="008D13CD">
        <w:rPr>
          <w:rFonts w:cs="Arial"/>
          <w:szCs w:val="22"/>
          <w:lang w:val="en-GB"/>
        </w:rPr>
        <w:t xml:space="preserve">aim </w:t>
      </w:r>
      <w:r w:rsidRPr="0060303F">
        <w:rPr>
          <w:rFonts w:cs="Arial"/>
          <w:szCs w:val="22"/>
          <w:lang w:val="en-GB"/>
        </w:rPr>
        <w:t>will require maintaining sustained socio-economic development and creation of a favourable environment for foreign investments.</w:t>
      </w:r>
    </w:p>
    <w:p w14:paraId="70C9ADD6" w14:textId="77777777" w:rsidR="00A37899" w:rsidRDefault="00D72D5B" w:rsidP="0020322F">
      <w:pPr>
        <w:pStyle w:val="a7"/>
        <w:numPr>
          <w:ilvl w:val="0"/>
          <w:numId w:val="9"/>
        </w:numPr>
        <w:tabs>
          <w:tab w:val="clear" w:pos="4153"/>
          <w:tab w:val="clear" w:pos="8306"/>
          <w:tab w:val="left" w:pos="426"/>
        </w:tabs>
        <w:spacing w:after="120"/>
        <w:ind w:left="0" w:right="17" w:firstLine="0"/>
        <w:rPr>
          <w:rFonts w:cs="Arial"/>
          <w:szCs w:val="22"/>
          <w:lang w:val="en-GB"/>
        </w:rPr>
      </w:pPr>
      <w:r w:rsidRPr="00A37899">
        <w:rPr>
          <w:rFonts w:cs="Arial"/>
          <w:szCs w:val="22"/>
          <w:lang w:val="en-GB"/>
        </w:rPr>
        <w:t>Currently, Kazakhstan’s economy is heavily dependent on fossil fuel revenues and is affected considerably by fluctuations</w:t>
      </w:r>
      <w:r w:rsidR="00A34DA5">
        <w:rPr>
          <w:rFonts w:cs="Arial"/>
          <w:szCs w:val="22"/>
          <w:lang w:val="en-GB"/>
        </w:rPr>
        <w:t xml:space="preserve"> in oil prices</w:t>
      </w:r>
      <w:r w:rsidRPr="00A37899">
        <w:rPr>
          <w:rFonts w:cs="Arial"/>
          <w:szCs w:val="22"/>
          <w:lang w:val="en-GB"/>
        </w:rPr>
        <w:t xml:space="preserve">. According to the Concept of Transition to Green Economy, Kazakhstan’s </w:t>
      </w:r>
      <w:r w:rsidR="00A34DA5">
        <w:rPr>
          <w:rFonts w:cs="Arial"/>
          <w:szCs w:val="22"/>
          <w:lang w:val="en-GB"/>
        </w:rPr>
        <w:t xml:space="preserve">peak </w:t>
      </w:r>
      <w:r w:rsidRPr="00A37899">
        <w:rPr>
          <w:rFonts w:cs="Arial"/>
          <w:szCs w:val="22"/>
          <w:lang w:val="en-GB"/>
        </w:rPr>
        <w:t xml:space="preserve">oil production will be reached in 2030-2040 followed </w:t>
      </w:r>
      <w:r w:rsidR="00C953AA" w:rsidRPr="00A37899">
        <w:rPr>
          <w:rFonts w:cs="Arial"/>
          <w:szCs w:val="22"/>
          <w:lang w:val="en-GB"/>
        </w:rPr>
        <w:t>by</w:t>
      </w:r>
      <w:r w:rsidRPr="00A37899">
        <w:rPr>
          <w:rFonts w:cs="Arial"/>
          <w:szCs w:val="22"/>
          <w:lang w:val="en-GB"/>
        </w:rPr>
        <w:t xml:space="preserve"> </w:t>
      </w:r>
      <w:r w:rsidR="0051197F">
        <w:rPr>
          <w:rFonts w:cs="Arial"/>
          <w:szCs w:val="22"/>
          <w:lang w:val="en-GB"/>
        </w:rPr>
        <w:t xml:space="preserve">a </w:t>
      </w:r>
      <w:r w:rsidRPr="00A37899">
        <w:rPr>
          <w:rFonts w:cs="Arial"/>
          <w:szCs w:val="22"/>
          <w:lang w:val="en-GB"/>
        </w:rPr>
        <w:t>steady decrease in oil export</w:t>
      </w:r>
      <w:r w:rsidR="00A34DA5">
        <w:rPr>
          <w:rFonts w:cs="Arial"/>
          <w:szCs w:val="22"/>
          <w:lang w:val="en-GB"/>
        </w:rPr>
        <w:t>s</w:t>
      </w:r>
      <w:r w:rsidRPr="00A37899">
        <w:rPr>
          <w:rFonts w:cs="Arial"/>
          <w:szCs w:val="22"/>
          <w:lang w:val="en-GB"/>
        </w:rPr>
        <w:t>.</w:t>
      </w:r>
    </w:p>
    <w:p w14:paraId="041ECD5A" w14:textId="77777777" w:rsidR="00D72D5B" w:rsidRDefault="00D72D5B" w:rsidP="0020322F">
      <w:pPr>
        <w:pStyle w:val="a7"/>
        <w:numPr>
          <w:ilvl w:val="0"/>
          <w:numId w:val="9"/>
        </w:numPr>
        <w:tabs>
          <w:tab w:val="clear" w:pos="4153"/>
          <w:tab w:val="clear" w:pos="8306"/>
          <w:tab w:val="left" w:pos="426"/>
        </w:tabs>
        <w:spacing w:after="120"/>
        <w:ind w:left="0" w:right="17" w:firstLine="0"/>
        <w:rPr>
          <w:rFonts w:cs="Arial"/>
          <w:szCs w:val="22"/>
          <w:lang w:val="en-GB"/>
        </w:rPr>
      </w:pPr>
      <w:r w:rsidRPr="00CF3223">
        <w:rPr>
          <w:rFonts w:cs="Arial"/>
          <w:szCs w:val="22"/>
          <w:lang w:val="en-GB"/>
        </w:rPr>
        <w:t>The total installed capacity in Kazakhstan in 2015 was 20</w:t>
      </w:r>
      <w:r w:rsidR="006E269A">
        <w:rPr>
          <w:rFonts w:cs="Arial"/>
          <w:szCs w:val="22"/>
          <w:lang w:val="en-GB"/>
        </w:rPr>
        <w:t>,</w:t>
      </w:r>
      <w:r w:rsidRPr="00CF3223">
        <w:rPr>
          <w:rFonts w:cs="Arial"/>
          <w:szCs w:val="22"/>
          <w:lang w:val="en-GB"/>
        </w:rPr>
        <w:t>600 MW, and the available capacity was 17</w:t>
      </w:r>
      <w:r w:rsidR="006E269A">
        <w:rPr>
          <w:rFonts w:cs="Arial"/>
          <w:szCs w:val="22"/>
          <w:lang w:val="en-GB"/>
        </w:rPr>
        <w:t>,</w:t>
      </w:r>
      <w:r w:rsidRPr="00CF3223">
        <w:rPr>
          <w:rFonts w:cs="Arial"/>
          <w:szCs w:val="22"/>
          <w:lang w:val="en-GB"/>
        </w:rPr>
        <w:t>503 MW (KEGOC 2016). The installed capacity includes approximately 18</w:t>
      </w:r>
      <w:r w:rsidR="006E269A">
        <w:rPr>
          <w:rFonts w:cs="Arial"/>
          <w:szCs w:val="22"/>
          <w:lang w:val="en-GB"/>
        </w:rPr>
        <w:t>,</w:t>
      </w:r>
      <w:r w:rsidRPr="00CF3223">
        <w:rPr>
          <w:rFonts w:cs="Arial"/>
          <w:szCs w:val="22"/>
          <w:lang w:val="en-GB"/>
        </w:rPr>
        <w:t>000 MW of CHP, 2</w:t>
      </w:r>
      <w:r w:rsidR="00AB71D2">
        <w:rPr>
          <w:rFonts w:cs="Arial"/>
          <w:szCs w:val="22"/>
          <w:lang w:val="en-GB"/>
        </w:rPr>
        <w:t>,</w:t>
      </w:r>
      <w:r w:rsidRPr="00CF3223">
        <w:rPr>
          <w:rFonts w:cs="Arial"/>
          <w:szCs w:val="22"/>
          <w:lang w:val="en-GB"/>
        </w:rPr>
        <w:t>500 MW of hydro power</w:t>
      </w:r>
      <w:r w:rsidR="00AB71D2">
        <w:rPr>
          <w:rFonts w:cs="Arial"/>
          <w:szCs w:val="22"/>
          <w:lang w:val="en-GB"/>
        </w:rPr>
        <w:t xml:space="preserve"> and</w:t>
      </w:r>
      <w:r w:rsidRPr="00CF3223">
        <w:rPr>
          <w:rFonts w:cs="Arial"/>
          <w:szCs w:val="22"/>
          <w:lang w:val="en-GB"/>
        </w:rPr>
        <w:t xml:space="preserve"> 25</w:t>
      </w:r>
      <w:r w:rsidR="004D09D4">
        <w:rPr>
          <w:rFonts w:cs="Arial"/>
          <w:szCs w:val="22"/>
          <w:lang w:val="en-GB"/>
        </w:rPr>
        <w:t>2</w:t>
      </w:r>
      <w:r w:rsidRPr="00CF3223">
        <w:rPr>
          <w:rFonts w:cs="Arial"/>
          <w:szCs w:val="22"/>
          <w:lang w:val="en-GB"/>
        </w:rPr>
        <w:t xml:space="preserve"> MW of renewables, of which wind contribute</w:t>
      </w:r>
      <w:r w:rsidR="00AB71D2">
        <w:rPr>
          <w:rFonts w:cs="Arial"/>
          <w:szCs w:val="22"/>
          <w:lang w:val="en-GB"/>
        </w:rPr>
        <w:t>s</w:t>
      </w:r>
      <w:r w:rsidRPr="00CF3223">
        <w:rPr>
          <w:rFonts w:cs="Arial"/>
          <w:szCs w:val="22"/>
          <w:lang w:val="en-GB"/>
        </w:rPr>
        <w:t xml:space="preserve"> 70 MW, hydro 12</w:t>
      </w:r>
      <w:r w:rsidR="004D09D4">
        <w:rPr>
          <w:rFonts w:cs="Arial"/>
          <w:szCs w:val="22"/>
          <w:lang w:val="en-GB"/>
        </w:rPr>
        <w:t>5</w:t>
      </w:r>
      <w:r w:rsidRPr="00CF3223">
        <w:rPr>
          <w:rFonts w:cs="Arial"/>
          <w:szCs w:val="22"/>
          <w:lang w:val="en-GB"/>
        </w:rPr>
        <w:t xml:space="preserve"> MW</w:t>
      </w:r>
      <w:r w:rsidR="00AB71D2">
        <w:rPr>
          <w:rFonts w:cs="Arial"/>
          <w:szCs w:val="22"/>
          <w:lang w:val="en-GB"/>
        </w:rPr>
        <w:t xml:space="preserve"> and </w:t>
      </w:r>
      <w:r w:rsidRPr="00CF3223">
        <w:rPr>
          <w:rFonts w:cs="Arial"/>
          <w:szCs w:val="22"/>
          <w:lang w:val="en-GB"/>
        </w:rPr>
        <w:t>solar 57</w:t>
      </w:r>
      <w:r w:rsidR="004D09D4">
        <w:rPr>
          <w:rFonts w:cs="Arial"/>
          <w:szCs w:val="22"/>
          <w:lang w:val="en-GB"/>
        </w:rPr>
        <w:t xml:space="preserve"> </w:t>
      </w:r>
      <w:r w:rsidRPr="00CF3223">
        <w:rPr>
          <w:rFonts w:cs="Arial"/>
          <w:szCs w:val="22"/>
          <w:lang w:val="en-GB"/>
        </w:rPr>
        <w:t xml:space="preserve">MW. </w:t>
      </w:r>
      <w:r w:rsidR="00AB71D2">
        <w:rPr>
          <w:rFonts w:cs="Arial"/>
          <w:szCs w:val="22"/>
          <w:lang w:val="en-GB"/>
        </w:rPr>
        <w:t>T</w:t>
      </w:r>
      <w:r w:rsidRPr="00CF3223">
        <w:rPr>
          <w:rFonts w:cs="Arial"/>
          <w:szCs w:val="22"/>
          <w:lang w:val="en-GB"/>
        </w:rPr>
        <w:t>he share of energy source</w:t>
      </w:r>
      <w:r w:rsidR="00AB71D2">
        <w:rPr>
          <w:rFonts w:cs="Arial"/>
          <w:szCs w:val="22"/>
          <w:lang w:val="en-GB"/>
        </w:rPr>
        <w:t>s is</w:t>
      </w:r>
      <w:r w:rsidRPr="00CF3223">
        <w:rPr>
          <w:rFonts w:cs="Arial"/>
          <w:szCs w:val="22"/>
          <w:lang w:val="en-GB"/>
        </w:rPr>
        <w:t xml:space="preserve"> coal </w:t>
      </w:r>
      <w:r w:rsidR="00AB71D2" w:rsidRPr="00CF3223">
        <w:rPr>
          <w:rFonts w:cs="Arial"/>
          <w:szCs w:val="22"/>
          <w:lang w:val="en-GB"/>
        </w:rPr>
        <w:t>–</w:t>
      </w:r>
      <w:r w:rsidR="00AB71D2" w:rsidRPr="00CF3223" w:rsidDel="00AB71D2">
        <w:rPr>
          <w:rFonts w:cs="Arial"/>
          <w:szCs w:val="22"/>
          <w:lang w:val="en-GB"/>
        </w:rPr>
        <w:t xml:space="preserve"> </w:t>
      </w:r>
      <w:r w:rsidRPr="00CF3223">
        <w:rPr>
          <w:rFonts w:cs="Arial"/>
          <w:szCs w:val="22"/>
          <w:lang w:val="en-GB"/>
        </w:rPr>
        <w:t>73%, oil and gas – 18%, hydropower – 8% and renewable energy – 0.</w:t>
      </w:r>
      <w:r w:rsidR="008E2561">
        <w:rPr>
          <w:rFonts w:cs="Arial"/>
          <w:szCs w:val="22"/>
          <w:lang w:val="en-GB"/>
        </w:rPr>
        <w:t>8</w:t>
      </w:r>
      <w:r w:rsidRPr="00CF3223">
        <w:rPr>
          <w:rFonts w:cs="Arial"/>
          <w:szCs w:val="22"/>
          <w:lang w:val="en-GB"/>
        </w:rPr>
        <w:t>%</w:t>
      </w:r>
      <w:r w:rsidR="005C4B82">
        <w:rPr>
          <w:rStyle w:val="afa"/>
          <w:szCs w:val="22"/>
          <w:lang w:val="en-GB"/>
        </w:rPr>
        <w:footnoteReference w:id="1"/>
      </w:r>
      <w:r w:rsidRPr="00CF3223">
        <w:rPr>
          <w:rFonts w:cs="Arial"/>
          <w:szCs w:val="22"/>
          <w:lang w:val="en-GB"/>
        </w:rPr>
        <w:t xml:space="preserve">. </w:t>
      </w:r>
    </w:p>
    <w:p w14:paraId="2CB8AAAC" w14:textId="77777777" w:rsidR="00092141" w:rsidRPr="004622EC" w:rsidRDefault="002923D7" w:rsidP="0020322F">
      <w:pPr>
        <w:pStyle w:val="a7"/>
        <w:numPr>
          <w:ilvl w:val="0"/>
          <w:numId w:val="9"/>
        </w:numPr>
        <w:tabs>
          <w:tab w:val="clear" w:pos="4153"/>
          <w:tab w:val="clear" w:pos="8306"/>
          <w:tab w:val="left" w:pos="426"/>
        </w:tabs>
        <w:spacing w:after="120"/>
        <w:ind w:left="0" w:right="17" w:firstLine="0"/>
        <w:rPr>
          <w:rFonts w:asciiTheme="majorHAnsi" w:hAnsiTheme="majorHAnsi" w:cs="Times"/>
        </w:rPr>
      </w:pPr>
      <w:r w:rsidRPr="003C23E9">
        <w:rPr>
          <w:rFonts w:cs="Arial"/>
          <w:szCs w:val="22"/>
          <w:lang w:val="en-GB"/>
        </w:rPr>
        <w:t>Many of the generating stations in Kazakhstan are aging and in need of renewal</w:t>
      </w:r>
      <w:r w:rsidR="00AB71D2">
        <w:rPr>
          <w:rFonts w:cs="Arial"/>
          <w:szCs w:val="22"/>
          <w:lang w:val="en-GB"/>
        </w:rPr>
        <w:t>;</w:t>
      </w:r>
      <w:r w:rsidRPr="003C23E9">
        <w:rPr>
          <w:rFonts w:cs="Arial"/>
          <w:szCs w:val="22"/>
          <w:lang w:val="en-GB"/>
        </w:rPr>
        <w:t xml:space="preserve"> 57% of the power grid was deteriorated in 2013 and the number of deteriorating plants is expected to grow. </w:t>
      </w:r>
      <w:r w:rsidRPr="00A54B94">
        <w:rPr>
          <w:rFonts w:cs="Arial"/>
          <w:szCs w:val="22"/>
          <w:lang w:val="en-GB"/>
        </w:rPr>
        <w:t xml:space="preserve">The investments required to boost the economy and sustain the development of </w:t>
      </w:r>
      <w:r w:rsidR="00AB71D2">
        <w:rPr>
          <w:rFonts w:cs="Arial"/>
          <w:szCs w:val="22"/>
          <w:lang w:val="en-GB"/>
        </w:rPr>
        <w:t xml:space="preserve">the </w:t>
      </w:r>
      <w:r w:rsidRPr="00A54B94">
        <w:rPr>
          <w:rFonts w:cs="Arial"/>
          <w:szCs w:val="22"/>
          <w:lang w:val="en-GB"/>
        </w:rPr>
        <w:t xml:space="preserve">power sector after 2040 are estimated at </w:t>
      </w:r>
      <w:r w:rsidR="006F0422" w:rsidRPr="00A54B94">
        <w:rPr>
          <w:rFonts w:cs="Arial"/>
          <w:szCs w:val="22"/>
          <w:lang w:val="en-GB"/>
        </w:rPr>
        <w:t>US</w:t>
      </w:r>
      <w:r w:rsidR="006F0422">
        <w:rPr>
          <w:rFonts w:cs="Arial"/>
          <w:szCs w:val="22"/>
          <w:lang w:val="en-GB"/>
        </w:rPr>
        <w:t>$</w:t>
      </w:r>
      <w:r w:rsidRPr="00A54B94">
        <w:rPr>
          <w:rFonts w:cs="Arial"/>
          <w:szCs w:val="22"/>
          <w:lang w:val="en-GB"/>
        </w:rPr>
        <w:t>100 billion, w</w:t>
      </w:r>
      <w:r w:rsidR="006F0422">
        <w:rPr>
          <w:rFonts w:cs="Arial"/>
          <w:szCs w:val="22"/>
          <w:lang w:val="en-GB"/>
        </w:rPr>
        <w:t>ith</w:t>
      </w:r>
      <w:r w:rsidRPr="00A54B94">
        <w:rPr>
          <w:rFonts w:cs="Arial"/>
          <w:szCs w:val="22"/>
          <w:lang w:val="en-GB"/>
        </w:rPr>
        <w:t xml:space="preserve"> half of the investments </w:t>
      </w:r>
      <w:r w:rsidR="006F0422">
        <w:rPr>
          <w:rFonts w:cs="Arial"/>
          <w:szCs w:val="22"/>
          <w:lang w:val="en-GB"/>
        </w:rPr>
        <w:t>needing to</w:t>
      </w:r>
      <w:r w:rsidR="006F0422" w:rsidRPr="00A54B94">
        <w:rPr>
          <w:rFonts w:cs="Arial"/>
          <w:szCs w:val="22"/>
          <w:lang w:val="en-GB"/>
        </w:rPr>
        <w:t xml:space="preserve"> </w:t>
      </w:r>
      <w:r w:rsidRPr="00A54B94">
        <w:rPr>
          <w:rFonts w:cs="Arial"/>
          <w:szCs w:val="22"/>
          <w:lang w:val="en-GB"/>
        </w:rPr>
        <w:t xml:space="preserve">target </w:t>
      </w:r>
      <w:r w:rsidR="006F0422">
        <w:rPr>
          <w:rFonts w:cs="Arial"/>
          <w:szCs w:val="22"/>
          <w:lang w:val="en-GB"/>
        </w:rPr>
        <w:t xml:space="preserve">the </w:t>
      </w:r>
      <w:r w:rsidRPr="00A54B94">
        <w:rPr>
          <w:rFonts w:cs="Arial"/>
          <w:szCs w:val="22"/>
          <w:lang w:val="en-GB"/>
        </w:rPr>
        <w:t xml:space="preserve">development of the renewable energy sector. </w:t>
      </w:r>
    </w:p>
    <w:p w14:paraId="43784C12" w14:textId="77777777" w:rsidR="00092141" w:rsidRPr="004622EC" w:rsidRDefault="00092141" w:rsidP="0020322F">
      <w:pPr>
        <w:pStyle w:val="a7"/>
        <w:numPr>
          <w:ilvl w:val="0"/>
          <w:numId w:val="9"/>
        </w:numPr>
        <w:tabs>
          <w:tab w:val="clear" w:pos="4153"/>
          <w:tab w:val="clear" w:pos="8306"/>
          <w:tab w:val="left" w:pos="426"/>
        </w:tabs>
        <w:spacing w:after="120"/>
        <w:ind w:left="0" w:right="17" w:firstLine="0"/>
        <w:rPr>
          <w:rFonts w:asciiTheme="majorHAnsi" w:hAnsiTheme="majorHAnsi" w:cs="Times"/>
        </w:rPr>
      </w:pPr>
      <w:r w:rsidRPr="00092141">
        <w:rPr>
          <w:rFonts w:cs="Calibri"/>
          <w:szCs w:val="22"/>
        </w:rPr>
        <w:t xml:space="preserve">In Kazakhstan, </w:t>
      </w:r>
      <w:r w:rsidR="0051239A" w:rsidRPr="00092141">
        <w:rPr>
          <w:rFonts w:cs="Calibri"/>
          <w:szCs w:val="22"/>
        </w:rPr>
        <w:t xml:space="preserve">40% of heat production </w:t>
      </w:r>
      <w:r w:rsidRPr="00092141">
        <w:rPr>
          <w:rFonts w:cs="Calibri"/>
          <w:szCs w:val="22"/>
        </w:rPr>
        <w:t>comes from centralized district heating systems run on combined heat and power plants</w:t>
      </w:r>
      <w:r w:rsidR="00885597">
        <w:rPr>
          <w:rFonts w:cs="Calibri"/>
          <w:szCs w:val="22"/>
        </w:rPr>
        <w:t>. The</w:t>
      </w:r>
      <w:r w:rsidRPr="00092141">
        <w:rPr>
          <w:rFonts w:cs="Calibri"/>
          <w:szCs w:val="22"/>
        </w:rPr>
        <w:t xml:space="preserve"> remaining heat </w:t>
      </w:r>
      <w:r w:rsidR="00885597">
        <w:rPr>
          <w:rFonts w:cs="Calibri"/>
          <w:szCs w:val="22"/>
        </w:rPr>
        <w:t xml:space="preserve">is </w:t>
      </w:r>
      <w:r w:rsidRPr="00092141">
        <w:rPr>
          <w:rFonts w:cs="Calibri"/>
          <w:szCs w:val="22"/>
        </w:rPr>
        <w:t xml:space="preserve">produced by heat-only boilers, </w:t>
      </w:r>
      <w:r w:rsidR="00885597">
        <w:rPr>
          <w:rFonts w:cs="Calibri"/>
          <w:szCs w:val="22"/>
        </w:rPr>
        <w:t xml:space="preserve">which often have </w:t>
      </w:r>
      <w:r w:rsidRPr="00092141">
        <w:rPr>
          <w:rFonts w:cs="Calibri"/>
          <w:szCs w:val="22"/>
        </w:rPr>
        <w:t xml:space="preserve">low efficiencies. The </w:t>
      </w:r>
      <w:r w:rsidR="007A276F">
        <w:rPr>
          <w:rFonts w:cs="Calibri"/>
          <w:szCs w:val="22"/>
        </w:rPr>
        <w:t>industry</w:t>
      </w:r>
      <w:r w:rsidR="007A276F" w:rsidRPr="00092141">
        <w:rPr>
          <w:rFonts w:cs="Calibri"/>
          <w:szCs w:val="22"/>
        </w:rPr>
        <w:t xml:space="preserve"> </w:t>
      </w:r>
      <w:r w:rsidRPr="00092141">
        <w:rPr>
          <w:rFonts w:cs="Calibri"/>
          <w:szCs w:val="22"/>
        </w:rPr>
        <w:t xml:space="preserve">consumes about </w:t>
      </w:r>
      <w:r w:rsidR="00DC0B02" w:rsidRPr="00092141">
        <w:rPr>
          <w:rFonts w:cs="Calibri"/>
          <w:szCs w:val="22"/>
        </w:rPr>
        <w:t>6</w:t>
      </w:r>
      <w:r w:rsidR="00DC0B02">
        <w:rPr>
          <w:rFonts w:cs="Calibri"/>
          <w:szCs w:val="22"/>
        </w:rPr>
        <w:t>9</w:t>
      </w:r>
      <w:r w:rsidRPr="00092141">
        <w:rPr>
          <w:rFonts w:cs="Calibri"/>
          <w:szCs w:val="22"/>
        </w:rPr>
        <w:t xml:space="preserve">% of produced electricity </w:t>
      </w:r>
      <w:r w:rsidR="007A276F">
        <w:rPr>
          <w:rFonts w:cs="Calibri"/>
          <w:szCs w:val="22"/>
        </w:rPr>
        <w:t xml:space="preserve">and </w:t>
      </w:r>
      <w:r w:rsidR="00DC0B02">
        <w:rPr>
          <w:rFonts w:cs="Calibri"/>
          <w:szCs w:val="22"/>
        </w:rPr>
        <w:t>buildings</w:t>
      </w:r>
      <w:r w:rsidRPr="00092141">
        <w:rPr>
          <w:rFonts w:cs="Calibri"/>
          <w:szCs w:val="22"/>
        </w:rPr>
        <w:t xml:space="preserve"> consume </w:t>
      </w:r>
      <w:r w:rsidR="00DC0B02" w:rsidRPr="00092141">
        <w:rPr>
          <w:rFonts w:cs="Calibri"/>
          <w:szCs w:val="22"/>
        </w:rPr>
        <w:t>2</w:t>
      </w:r>
      <w:r w:rsidR="00DC0B02">
        <w:rPr>
          <w:rFonts w:cs="Calibri"/>
          <w:szCs w:val="22"/>
        </w:rPr>
        <w:t>0</w:t>
      </w:r>
      <w:r w:rsidRPr="00092141">
        <w:rPr>
          <w:rFonts w:cs="Calibri"/>
          <w:szCs w:val="22"/>
        </w:rPr>
        <w:t>% of produced electricity (</w:t>
      </w:r>
      <w:r w:rsidR="00DC0B02">
        <w:rPr>
          <w:rFonts w:cs="Calibri"/>
          <w:szCs w:val="22"/>
        </w:rPr>
        <w:t>Ministry of Investment and Development of Kazakhstan</w:t>
      </w:r>
      <w:r w:rsidRPr="00092141">
        <w:rPr>
          <w:rFonts w:cs="Calibri"/>
          <w:szCs w:val="22"/>
        </w:rPr>
        <w:t>, 201</w:t>
      </w:r>
      <w:r w:rsidR="00DC0B02">
        <w:rPr>
          <w:rFonts w:cs="Calibri"/>
          <w:szCs w:val="22"/>
        </w:rPr>
        <w:t>6</w:t>
      </w:r>
      <w:r w:rsidRPr="00092141">
        <w:rPr>
          <w:rFonts w:cs="Calibri"/>
          <w:szCs w:val="22"/>
        </w:rPr>
        <w:t>).</w:t>
      </w:r>
    </w:p>
    <w:p w14:paraId="790B223B" w14:textId="77777777" w:rsidR="00092141" w:rsidRPr="004622EC" w:rsidRDefault="00092141" w:rsidP="0020322F">
      <w:pPr>
        <w:pStyle w:val="a7"/>
        <w:numPr>
          <w:ilvl w:val="0"/>
          <w:numId w:val="9"/>
        </w:numPr>
        <w:tabs>
          <w:tab w:val="clear" w:pos="4153"/>
          <w:tab w:val="clear" w:pos="8306"/>
          <w:tab w:val="left" w:pos="426"/>
        </w:tabs>
        <w:spacing w:after="120"/>
        <w:ind w:left="0" w:right="17" w:firstLine="0"/>
        <w:rPr>
          <w:rFonts w:asciiTheme="majorHAnsi" w:hAnsiTheme="majorHAnsi" w:cs="Times"/>
        </w:rPr>
      </w:pPr>
      <w:r w:rsidRPr="00092141">
        <w:rPr>
          <w:rFonts w:cs="Calibri"/>
          <w:szCs w:val="22"/>
        </w:rPr>
        <w:t xml:space="preserve">The electricity tariffs in Kazakhstan for individual users have been growing due </w:t>
      </w:r>
      <w:r w:rsidR="003B166A">
        <w:rPr>
          <w:rFonts w:cs="Calibri"/>
          <w:szCs w:val="22"/>
        </w:rPr>
        <w:t>to the</w:t>
      </w:r>
      <w:r w:rsidR="006F0422">
        <w:rPr>
          <w:rFonts w:cs="Calibri"/>
          <w:szCs w:val="22"/>
        </w:rPr>
        <w:t xml:space="preserve"> </w:t>
      </w:r>
      <w:r w:rsidRPr="00092141">
        <w:rPr>
          <w:rFonts w:cs="Calibri"/>
          <w:szCs w:val="22"/>
        </w:rPr>
        <w:t xml:space="preserve">high degree of wear of </w:t>
      </w:r>
      <w:r w:rsidR="005F1236">
        <w:rPr>
          <w:rFonts w:cs="Calibri"/>
          <w:szCs w:val="22"/>
        </w:rPr>
        <w:t xml:space="preserve">the </w:t>
      </w:r>
      <w:r w:rsidRPr="00092141">
        <w:rPr>
          <w:rFonts w:cs="Calibri"/>
          <w:szCs w:val="22"/>
        </w:rPr>
        <w:t xml:space="preserve">existing generating assets. On average, the residential tariffs have </w:t>
      </w:r>
      <w:r w:rsidR="005F1236">
        <w:rPr>
          <w:rFonts w:cs="Calibri"/>
          <w:szCs w:val="22"/>
        </w:rPr>
        <w:t>risen</w:t>
      </w:r>
      <w:r w:rsidRPr="00092141">
        <w:rPr>
          <w:rFonts w:cs="Calibri"/>
          <w:szCs w:val="22"/>
        </w:rPr>
        <w:t xml:space="preserve"> by 4% during 2015, however some regions of Kazakhstan experienced </w:t>
      </w:r>
      <w:r w:rsidR="005F1236">
        <w:rPr>
          <w:rFonts w:cs="Calibri"/>
          <w:szCs w:val="22"/>
        </w:rPr>
        <w:t>rises</w:t>
      </w:r>
      <w:r w:rsidRPr="00092141">
        <w:rPr>
          <w:rFonts w:cs="Calibri"/>
          <w:szCs w:val="22"/>
        </w:rPr>
        <w:t xml:space="preserve"> of up to 40%. The tariffs for companies are on average 30% higher than tariffs for individual end-users.</w:t>
      </w:r>
    </w:p>
    <w:p w14:paraId="3B2D2D84" w14:textId="77777777" w:rsidR="00574AE7" w:rsidRPr="004622EC" w:rsidRDefault="00092141" w:rsidP="0020322F">
      <w:pPr>
        <w:pStyle w:val="a7"/>
        <w:numPr>
          <w:ilvl w:val="0"/>
          <w:numId w:val="9"/>
        </w:numPr>
        <w:tabs>
          <w:tab w:val="clear" w:pos="4153"/>
          <w:tab w:val="clear" w:pos="8306"/>
          <w:tab w:val="left" w:pos="426"/>
        </w:tabs>
        <w:spacing w:after="120"/>
        <w:ind w:left="0" w:right="17" w:firstLine="0"/>
        <w:rPr>
          <w:rFonts w:asciiTheme="majorHAnsi" w:hAnsiTheme="majorHAnsi" w:cs="Times"/>
        </w:rPr>
      </w:pPr>
      <w:r w:rsidRPr="00092141">
        <w:rPr>
          <w:rFonts w:cs="Calibri"/>
          <w:szCs w:val="22"/>
        </w:rPr>
        <w:t xml:space="preserve">One of the issues, concerning all Kazakhstan regions, is </w:t>
      </w:r>
      <w:r w:rsidR="005F1236">
        <w:rPr>
          <w:rFonts w:cs="Calibri"/>
          <w:szCs w:val="22"/>
        </w:rPr>
        <w:t xml:space="preserve">the </w:t>
      </w:r>
      <w:r w:rsidRPr="00092141">
        <w:rPr>
          <w:rFonts w:cs="Calibri"/>
          <w:szCs w:val="22"/>
        </w:rPr>
        <w:t>supply of energy to remote rural consumers</w:t>
      </w:r>
      <w:r w:rsidR="005F1236">
        <w:rPr>
          <w:rFonts w:cs="Calibri"/>
          <w:szCs w:val="22"/>
        </w:rPr>
        <w:t xml:space="preserve">: </w:t>
      </w:r>
      <w:r w:rsidRPr="00092141">
        <w:rPr>
          <w:rFonts w:cs="Calibri"/>
          <w:szCs w:val="22"/>
        </w:rPr>
        <w:t>about 255 settlements and 9</w:t>
      </w:r>
      <w:r w:rsidR="005F1236">
        <w:rPr>
          <w:rFonts w:cs="Calibri"/>
          <w:szCs w:val="22"/>
        </w:rPr>
        <w:t>,</w:t>
      </w:r>
      <w:r w:rsidRPr="00092141">
        <w:rPr>
          <w:rFonts w:cs="Calibri"/>
          <w:szCs w:val="22"/>
        </w:rPr>
        <w:t xml:space="preserve">000 farms are not connected to the national grid. </w:t>
      </w:r>
      <w:r w:rsidR="005F1236">
        <w:rPr>
          <w:rFonts w:cs="Calibri"/>
          <w:szCs w:val="22"/>
        </w:rPr>
        <w:t>Kazakhstan’s</w:t>
      </w:r>
      <w:r w:rsidR="005F1236" w:rsidRPr="00092141">
        <w:rPr>
          <w:rFonts w:cs="Calibri"/>
          <w:szCs w:val="22"/>
        </w:rPr>
        <w:t xml:space="preserve"> </w:t>
      </w:r>
      <w:r w:rsidRPr="00092141">
        <w:rPr>
          <w:rFonts w:cs="Calibri"/>
          <w:szCs w:val="22"/>
        </w:rPr>
        <w:t xml:space="preserve">large scale and low </w:t>
      </w:r>
      <w:r w:rsidR="005F1236">
        <w:rPr>
          <w:rFonts w:cs="Calibri"/>
          <w:szCs w:val="22"/>
        </w:rPr>
        <w:t>population</w:t>
      </w:r>
      <w:r w:rsidR="005F1236" w:rsidRPr="00092141">
        <w:rPr>
          <w:rFonts w:cs="Calibri"/>
          <w:szCs w:val="22"/>
        </w:rPr>
        <w:t xml:space="preserve"> </w:t>
      </w:r>
      <w:r w:rsidRPr="00092141">
        <w:rPr>
          <w:rFonts w:cs="Calibri"/>
          <w:szCs w:val="22"/>
        </w:rPr>
        <w:t>density in rural area</w:t>
      </w:r>
      <w:r w:rsidR="005C4B82">
        <w:rPr>
          <w:rFonts w:cs="Calibri"/>
          <w:szCs w:val="22"/>
        </w:rPr>
        <w:t>s</w:t>
      </w:r>
      <w:r w:rsidRPr="00092141">
        <w:rPr>
          <w:rFonts w:cs="Calibri"/>
          <w:szCs w:val="22"/>
        </w:rPr>
        <w:t xml:space="preserve"> </w:t>
      </w:r>
      <w:r w:rsidR="005F1236">
        <w:rPr>
          <w:rFonts w:cs="Calibri"/>
          <w:szCs w:val="22"/>
        </w:rPr>
        <w:t>necessitates the</w:t>
      </w:r>
      <w:r w:rsidR="005F1236" w:rsidRPr="00092141">
        <w:rPr>
          <w:rFonts w:cs="Calibri"/>
          <w:szCs w:val="22"/>
        </w:rPr>
        <w:t xml:space="preserve"> </w:t>
      </w:r>
      <w:r w:rsidRPr="00092141">
        <w:rPr>
          <w:rFonts w:cs="Calibri"/>
          <w:szCs w:val="22"/>
        </w:rPr>
        <w:t xml:space="preserve">development of additional transmission lines, </w:t>
      </w:r>
      <w:r w:rsidR="005F1236">
        <w:rPr>
          <w:rFonts w:cs="Calibri"/>
          <w:szCs w:val="22"/>
        </w:rPr>
        <w:t xml:space="preserve">the </w:t>
      </w:r>
      <w:r w:rsidRPr="00092141">
        <w:rPr>
          <w:rFonts w:cs="Calibri"/>
          <w:szCs w:val="22"/>
        </w:rPr>
        <w:t xml:space="preserve">maintenance of which will inevitably increase the energy cost. </w:t>
      </w:r>
      <w:r w:rsidR="005F1236">
        <w:rPr>
          <w:rFonts w:cs="Calibri"/>
          <w:szCs w:val="22"/>
        </w:rPr>
        <w:t>S</w:t>
      </w:r>
      <w:r w:rsidRPr="00092141">
        <w:rPr>
          <w:rFonts w:cs="Calibri"/>
          <w:szCs w:val="22"/>
        </w:rPr>
        <w:t xml:space="preserve">mall-scale off-grid renewables could provide an economically feasible option for consumers in remote areas of Kazakhstan. </w:t>
      </w:r>
    </w:p>
    <w:p w14:paraId="4F37F300" w14:textId="77777777" w:rsidR="006E77C1" w:rsidRPr="00092141" w:rsidRDefault="004E30B5" w:rsidP="0020322F">
      <w:pPr>
        <w:pStyle w:val="a7"/>
        <w:numPr>
          <w:ilvl w:val="0"/>
          <w:numId w:val="9"/>
        </w:numPr>
        <w:tabs>
          <w:tab w:val="clear" w:pos="4153"/>
          <w:tab w:val="clear" w:pos="8306"/>
          <w:tab w:val="left" w:pos="426"/>
        </w:tabs>
        <w:spacing w:after="120"/>
        <w:ind w:left="0" w:right="17" w:firstLine="0"/>
        <w:rPr>
          <w:rFonts w:cs="Arial"/>
          <w:szCs w:val="22"/>
          <w:lang w:val="en-GB"/>
        </w:rPr>
      </w:pPr>
      <w:r w:rsidRPr="006004D1">
        <w:rPr>
          <w:rFonts w:cs="Arial"/>
          <w:szCs w:val="22"/>
          <w:lang w:val="en-GB"/>
        </w:rPr>
        <w:t>Kazakhstan is by far the largest GHG emitter in Central Asia with annual emissions of 284 Mt CO</w:t>
      </w:r>
      <w:r w:rsidRPr="00D32A30">
        <w:rPr>
          <w:rFonts w:cs="Arial"/>
          <w:szCs w:val="22"/>
          <w:vertAlign w:val="subscript"/>
          <w:lang w:val="en-GB"/>
        </w:rPr>
        <w:t>2e</w:t>
      </w:r>
      <w:r w:rsidRPr="006004D1">
        <w:rPr>
          <w:rFonts w:cs="Arial"/>
          <w:szCs w:val="22"/>
          <w:lang w:val="en-GB"/>
        </w:rPr>
        <w:t xml:space="preserve"> in 2012. In relative terms, it has one of the world’s highest GHG emissions per capita (16.9 tCO</w:t>
      </w:r>
      <w:r w:rsidRPr="00D32A30">
        <w:rPr>
          <w:rFonts w:cs="Arial"/>
          <w:szCs w:val="22"/>
          <w:vertAlign w:val="subscript"/>
          <w:lang w:val="en-GB"/>
        </w:rPr>
        <w:t>2</w:t>
      </w:r>
      <w:r w:rsidRPr="006004D1">
        <w:rPr>
          <w:rFonts w:cs="Arial"/>
          <w:szCs w:val="22"/>
          <w:lang w:val="en-GB"/>
        </w:rPr>
        <w:t>)</w:t>
      </w:r>
      <w:r w:rsidR="00AB300F">
        <w:rPr>
          <w:rFonts w:cs="Arial"/>
          <w:szCs w:val="22"/>
          <w:lang w:val="en-GB"/>
        </w:rPr>
        <w:t xml:space="preserve"> (</w:t>
      </w:r>
      <w:r w:rsidR="00AB300F" w:rsidRPr="00AB300F">
        <w:rPr>
          <w:rFonts w:cs="Arial"/>
          <w:szCs w:val="22"/>
        </w:rPr>
        <w:t>Kazakhstan National Inventory Report to UNFCCC, 2014</w:t>
      </w:r>
      <w:r w:rsidR="00AB300F">
        <w:rPr>
          <w:rFonts w:cs="Arial"/>
          <w:szCs w:val="22"/>
        </w:rPr>
        <w:t>)</w:t>
      </w:r>
      <w:r w:rsidRPr="006004D1">
        <w:rPr>
          <w:rFonts w:cs="Arial"/>
          <w:szCs w:val="22"/>
          <w:lang w:val="en-GB"/>
        </w:rPr>
        <w:t xml:space="preserve"> and the energy intensity of its economy – 0.68 toe per 1</w:t>
      </w:r>
      <w:r w:rsidR="00A34DA5">
        <w:rPr>
          <w:rFonts w:cs="Arial"/>
          <w:szCs w:val="22"/>
          <w:lang w:val="en-GB"/>
        </w:rPr>
        <w:t>,</w:t>
      </w:r>
      <w:r w:rsidRPr="006004D1">
        <w:rPr>
          <w:rFonts w:cs="Arial"/>
          <w:szCs w:val="22"/>
          <w:lang w:val="en-GB"/>
        </w:rPr>
        <w:t>000 US</w:t>
      </w:r>
      <w:r w:rsidR="009C7189">
        <w:rPr>
          <w:rFonts w:cs="Arial"/>
          <w:szCs w:val="22"/>
          <w:lang w:val="en-GB"/>
        </w:rPr>
        <w:t>$</w:t>
      </w:r>
      <w:r w:rsidR="009C7189" w:rsidRPr="006004D1">
        <w:rPr>
          <w:rFonts w:cs="Arial"/>
          <w:szCs w:val="22"/>
          <w:lang w:val="en-GB"/>
        </w:rPr>
        <w:t xml:space="preserve"> </w:t>
      </w:r>
      <w:r w:rsidRPr="006004D1">
        <w:rPr>
          <w:rFonts w:cs="Arial"/>
          <w:szCs w:val="22"/>
          <w:lang w:val="en-GB"/>
        </w:rPr>
        <w:t>of GDP – is almost six times that of Western Europe (0.11) and almost triple that of the US (0.24). GHG emissions have been steadily rising since the early 2000s, when the emissions bottomed out at around 146 Mt CO</w:t>
      </w:r>
      <w:r w:rsidRPr="004622EC">
        <w:rPr>
          <w:rFonts w:cs="Arial"/>
          <w:szCs w:val="22"/>
          <w:vertAlign w:val="subscript"/>
          <w:lang w:val="en-GB"/>
        </w:rPr>
        <w:t>2e</w:t>
      </w:r>
      <w:r w:rsidRPr="006004D1">
        <w:rPr>
          <w:rFonts w:cs="Arial"/>
          <w:szCs w:val="22"/>
          <w:lang w:val="en-GB"/>
        </w:rPr>
        <w:t>, or 41% of the 1990 peak level of 358 Mt CO2e (</w:t>
      </w:r>
      <w:r w:rsidR="00B32CDF" w:rsidRPr="00853F43">
        <w:rPr>
          <w:rFonts w:cs="Arial"/>
          <w:szCs w:val="22"/>
          <w:lang w:val="en-GB"/>
        </w:rPr>
        <w:fldChar w:fldCharType="begin"/>
      </w:r>
      <w:r w:rsidR="00B32CDF" w:rsidRPr="00BA0D46">
        <w:rPr>
          <w:rFonts w:cs="Arial"/>
          <w:szCs w:val="22"/>
          <w:lang w:val="en-GB"/>
        </w:rPr>
        <w:instrText xml:space="preserve"> REF _Ref458103549 \h </w:instrText>
      </w:r>
      <w:r w:rsidR="00853F43">
        <w:rPr>
          <w:rFonts w:cs="Arial"/>
          <w:szCs w:val="22"/>
          <w:lang w:val="en-GB"/>
        </w:rPr>
        <w:instrText xml:space="preserve"> \* MERGEFORMAT </w:instrText>
      </w:r>
      <w:r w:rsidR="00B32CDF" w:rsidRPr="00853F43">
        <w:rPr>
          <w:rFonts w:cs="Arial"/>
          <w:szCs w:val="22"/>
          <w:lang w:val="en-GB"/>
        </w:rPr>
      </w:r>
      <w:r w:rsidR="00B32CDF" w:rsidRPr="00853F43">
        <w:rPr>
          <w:rFonts w:cs="Arial"/>
          <w:szCs w:val="22"/>
          <w:lang w:val="en-GB"/>
        </w:rPr>
        <w:fldChar w:fldCharType="separate"/>
      </w:r>
      <w:r w:rsidR="00921873" w:rsidRPr="00921873">
        <w:rPr>
          <w:szCs w:val="22"/>
        </w:rPr>
        <w:t xml:space="preserve">Figure </w:t>
      </w:r>
      <w:r w:rsidR="00921873" w:rsidRPr="00921873">
        <w:rPr>
          <w:noProof/>
          <w:szCs w:val="22"/>
        </w:rPr>
        <w:t>1</w:t>
      </w:r>
      <w:r w:rsidR="00B32CDF" w:rsidRPr="00853F43">
        <w:rPr>
          <w:rFonts w:cs="Arial"/>
          <w:szCs w:val="22"/>
          <w:lang w:val="en-GB"/>
        </w:rPr>
        <w:fldChar w:fldCharType="end"/>
      </w:r>
      <w:r w:rsidRPr="006004D1">
        <w:rPr>
          <w:rFonts w:cs="Arial"/>
          <w:szCs w:val="22"/>
          <w:lang w:val="en-GB"/>
        </w:rPr>
        <w:t xml:space="preserve">). In the energy sector, which is the largest GHG emitting sector accounting for 85% of all emissions, the rise in GHG emissions was mostly caused by steady economic growth/increased energy demand and a high reliance on GHG intense fuels (predominantly coal), as well as </w:t>
      </w:r>
      <w:r w:rsidR="00853F43">
        <w:rPr>
          <w:rFonts w:cs="Arial"/>
          <w:szCs w:val="22"/>
          <w:lang w:val="en-GB"/>
        </w:rPr>
        <w:t xml:space="preserve">by </w:t>
      </w:r>
      <w:r w:rsidRPr="006004D1">
        <w:rPr>
          <w:rFonts w:cs="Arial"/>
          <w:szCs w:val="22"/>
          <w:lang w:val="en-GB"/>
        </w:rPr>
        <w:t>outdated and inefficient energy generation and transmission infrastructure. Coal makes up some 75-80</w:t>
      </w:r>
      <w:r w:rsidR="00612836">
        <w:rPr>
          <w:rFonts w:cs="Arial"/>
          <w:szCs w:val="22"/>
          <w:lang w:val="en-GB"/>
        </w:rPr>
        <w:t>%</w:t>
      </w:r>
      <w:r w:rsidRPr="006004D1">
        <w:rPr>
          <w:rFonts w:cs="Arial"/>
          <w:szCs w:val="22"/>
          <w:lang w:val="en-GB"/>
        </w:rPr>
        <w:t xml:space="preserve"> of fuel in electricity power generation whereas renewable energy accounts only for roughly 10</w:t>
      </w:r>
      <w:r w:rsidR="00612836">
        <w:rPr>
          <w:rFonts w:cs="Arial"/>
          <w:szCs w:val="22"/>
          <w:lang w:val="en-GB"/>
        </w:rPr>
        <w:t>%</w:t>
      </w:r>
      <w:r w:rsidR="00AB300F">
        <w:rPr>
          <w:rFonts w:cs="Arial"/>
          <w:szCs w:val="22"/>
          <w:lang w:val="en-GB"/>
        </w:rPr>
        <w:t xml:space="preserve"> (</w:t>
      </w:r>
      <w:r w:rsidR="00AB300F" w:rsidRPr="00AB300F">
        <w:rPr>
          <w:rFonts w:cs="Arial"/>
          <w:szCs w:val="22"/>
        </w:rPr>
        <w:t>U.S. Energy Information Administration, International Energy Statistics Database</w:t>
      </w:r>
      <w:r w:rsidR="00AB300F">
        <w:rPr>
          <w:rFonts w:cs="Arial"/>
          <w:szCs w:val="22"/>
        </w:rPr>
        <w:t>)</w:t>
      </w:r>
      <w:r w:rsidRPr="006004D1">
        <w:rPr>
          <w:rFonts w:cs="Arial"/>
          <w:szCs w:val="22"/>
          <w:lang w:val="en-GB"/>
        </w:rPr>
        <w:t xml:space="preserve">. </w:t>
      </w:r>
      <w:r w:rsidR="00DC3B92">
        <w:rPr>
          <w:rFonts w:cs="Arial"/>
          <w:szCs w:val="22"/>
          <w:lang w:val="en-GB"/>
        </w:rPr>
        <w:t>However, w</w:t>
      </w:r>
      <w:r w:rsidRPr="006004D1">
        <w:rPr>
          <w:rFonts w:cs="Arial"/>
          <w:szCs w:val="22"/>
          <w:lang w:val="en-GB"/>
        </w:rPr>
        <w:t xml:space="preserve">ithout large hydropower, renewable energy </w:t>
      </w:r>
      <w:r w:rsidR="00853F43">
        <w:rPr>
          <w:rFonts w:cs="Arial"/>
          <w:szCs w:val="22"/>
          <w:lang w:val="en-GB"/>
        </w:rPr>
        <w:t>contributes</w:t>
      </w:r>
      <w:r w:rsidR="00853F43" w:rsidRPr="006004D1">
        <w:rPr>
          <w:rFonts w:cs="Arial"/>
          <w:szCs w:val="22"/>
          <w:lang w:val="en-GB"/>
        </w:rPr>
        <w:t xml:space="preserve"> </w:t>
      </w:r>
      <w:r w:rsidRPr="006004D1">
        <w:rPr>
          <w:rFonts w:cs="Arial"/>
          <w:szCs w:val="22"/>
          <w:lang w:val="en-GB"/>
        </w:rPr>
        <w:t>only 0.06</w:t>
      </w:r>
      <w:r w:rsidR="00612836">
        <w:rPr>
          <w:rFonts w:cs="Arial"/>
          <w:szCs w:val="22"/>
          <w:lang w:val="en-GB"/>
        </w:rPr>
        <w:t>%</w:t>
      </w:r>
      <w:r w:rsidR="00853F43">
        <w:rPr>
          <w:rFonts w:cs="Arial"/>
          <w:szCs w:val="22"/>
          <w:lang w:val="en-GB"/>
        </w:rPr>
        <w:t xml:space="preserve"> </w:t>
      </w:r>
      <w:r w:rsidRPr="006004D1">
        <w:rPr>
          <w:rFonts w:cs="Arial"/>
          <w:szCs w:val="22"/>
          <w:lang w:val="en-GB"/>
        </w:rPr>
        <w:t>of Kazakhstan’s total primary energy supply</w:t>
      </w:r>
      <w:r w:rsidR="00AB300F">
        <w:rPr>
          <w:rFonts w:cs="Arial"/>
          <w:szCs w:val="22"/>
          <w:lang w:val="en-GB"/>
        </w:rPr>
        <w:t xml:space="preserve"> (</w:t>
      </w:r>
      <w:r w:rsidR="00AB300F" w:rsidRPr="00AB300F">
        <w:rPr>
          <w:rFonts w:cs="Arial"/>
          <w:szCs w:val="22"/>
        </w:rPr>
        <w:t>UNDP</w:t>
      </w:r>
      <w:r w:rsidR="00AB300F">
        <w:rPr>
          <w:rFonts w:cs="Arial"/>
          <w:szCs w:val="22"/>
        </w:rPr>
        <w:t xml:space="preserve">, </w:t>
      </w:r>
      <w:r w:rsidR="00AB300F" w:rsidRPr="00AB300F">
        <w:rPr>
          <w:rFonts w:cs="Arial"/>
          <w:szCs w:val="22"/>
        </w:rPr>
        <w:t>2014)</w:t>
      </w:r>
      <w:r w:rsidR="000B776C">
        <w:rPr>
          <w:rFonts w:cs="Arial"/>
          <w:szCs w:val="22"/>
          <w:lang w:val="en-GB"/>
        </w:rPr>
        <w:t>.</w:t>
      </w:r>
    </w:p>
    <w:p w14:paraId="30721CDE" w14:textId="77777777" w:rsidR="004D09D4" w:rsidRDefault="004D09D4" w:rsidP="00D32A30">
      <w:pPr>
        <w:pStyle w:val="afb"/>
        <w:keepNext/>
        <w:ind w:left="502"/>
      </w:pPr>
      <w:r>
        <w:rPr>
          <w:noProof/>
        </w:rPr>
        <w:drawing>
          <wp:inline distT="0" distB="0" distL="0" distR="0" wp14:anchorId="301EC28C" wp14:editId="271A5179">
            <wp:extent cx="5155285" cy="3183890"/>
            <wp:effectExtent l="25400" t="25400" r="26670" b="1651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5785" cy="3184199"/>
                    </a:xfrm>
                    <a:prstGeom prst="rect">
                      <a:avLst/>
                    </a:prstGeom>
                    <a:noFill/>
                    <a:ln w="9525" cmpd="sng">
                      <a:solidFill>
                        <a:srgbClr val="000000"/>
                      </a:solidFill>
                      <a:miter lim="800000"/>
                      <a:headEnd/>
                      <a:tailEnd/>
                    </a:ln>
                    <a:effectLst/>
                  </pic:spPr>
                </pic:pic>
              </a:graphicData>
            </a:graphic>
          </wp:inline>
        </w:drawing>
      </w:r>
    </w:p>
    <w:p w14:paraId="24CA50A2" w14:textId="77777777" w:rsidR="004B4ED2" w:rsidRPr="00607050" w:rsidRDefault="00D37AEA" w:rsidP="00863DD5">
      <w:pPr>
        <w:pStyle w:val="aff3"/>
      </w:pPr>
      <w:bookmarkStart w:id="6" w:name="_Ref458103549"/>
      <w:bookmarkStart w:id="7" w:name="_Toc479693921"/>
      <w:r w:rsidRPr="00BC7A10">
        <w:t xml:space="preserve">Figure </w:t>
      </w:r>
      <w:r w:rsidR="0070485C" w:rsidRPr="00257B08">
        <w:fldChar w:fldCharType="begin"/>
      </w:r>
      <w:r w:rsidR="0070485C" w:rsidRPr="00BA0D46">
        <w:instrText xml:space="preserve"> SEQ Figure \* ARABIC </w:instrText>
      </w:r>
      <w:r w:rsidR="0070485C" w:rsidRPr="00257B08">
        <w:fldChar w:fldCharType="separate"/>
      </w:r>
      <w:r w:rsidR="00921873">
        <w:rPr>
          <w:noProof/>
        </w:rPr>
        <w:t>1</w:t>
      </w:r>
      <w:r w:rsidR="0070485C" w:rsidRPr="00257B08">
        <w:rPr>
          <w:noProof/>
        </w:rPr>
        <w:fldChar w:fldCharType="end"/>
      </w:r>
      <w:bookmarkEnd w:id="6"/>
      <w:r w:rsidR="004C64AC" w:rsidRPr="00257B08">
        <w:t xml:space="preserve">: </w:t>
      </w:r>
      <w:r w:rsidR="004D09D4" w:rsidRPr="00257B08">
        <w:t>GHG emissions by sector, in mil</w:t>
      </w:r>
      <w:r w:rsidR="004D09D4" w:rsidRPr="0012084C">
        <w:t xml:space="preserve">lions </w:t>
      </w:r>
      <w:r w:rsidR="00CA6A37">
        <w:t xml:space="preserve">of </w:t>
      </w:r>
      <w:r w:rsidR="004D09D4" w:rsidRPr="0012084C">
        <w:t>tons of CO</w:t>
      </w:r>
      <w:r w:rsidR="004D09D4" w:rsidRPr="004622EC">
        <w:rPr>
          <w:vertAlign w:val="subscript"/>
        </w:rPr>
        <w:t>2eq</w:t>
      </w:r>
      <w:r w:rsidR="004D09D4" w:rsidRPr="00BC7A10">
        <w:t xml:space="preserve"> </w:t>
      </w:r>
      <w:r w:rsidR="00BC7A10" w:rsidRPr="00607050">
        <w:t xml:space="preserve">excluding </w:t>
      </w:r>
      <w:r w:rsidR="004D09D4" w:rsidRPr="00607050">
        <w:t>LULUCF</w:t>
      </w:r>
      <w:bookmarkEnd w:id="7"/>
    </w:p>
    <w:p w14:paraId="0084247B" w14:textId="77777777" w:rsidR="004D09D4" w:rsidRPr="004622EC" w:rsidRDefault="004D09D4" w:rsidP="004346AE">
      <w:pPr>
        <w:ind w:left="720"/>
        <w:jc w:val="both"/>
        <w:rPr>
          <w:sz w:val="21"/>
        </w:rPr>
      </w:pPr>
      <w:r w:rsidRPr="004622EC">
        <w:rPr>
          <w:sz w:val="21"/>
        </w:rPr>
        <w:t>Source: Graph based on data from Kazakhstan National Inventory Report to UNFCCC, 2014</w:t>
      </w:r>
    </w:p>
    <w:p w14:paraId="68783D0D" w14:textId="77777777" w:rsidR="00092141" w:rsidRPr="004622EC" w:rsidRDefault="00092141" w:rsidP="004346AE">
      <w:pPr>
        <w:pStyle w:val="a7"/>
        <w:tabs>
          <w:tab w:val="clear" w:pos="4153"/>
          <w:tab w:val="clear" w:pos="8306"/>
          <w:tab w:val="left" w:pos="426"/>
        </w:tabs>
        <w:spacing w:after="120"/>
        <w:ind w:right="288"/>
        <w:jc w:val="left"/>
        <w:rPr>
          <w:rFonts w:asciiTheme="majorHAnsi" w:hAnsiTheme="majorHAnsi" w:cs="Arial"/>
          <w:szCs w:val="22"/>
          <w:lang w:val="en-GB"/>
        </w:rPr>
      </w:pPr>
    </w:p>
    <w:p w14:paraId="67CB08AB" w14:textId="7FD91759" w:rsidR="00E55213" w:rsidRDefault="005C4B82" w:rsidP="0020322F">
      <w:pPr>
        <w:pStyle w:val="a7"/>
        <w:numPr>
          <w:ilvl w:val="0"/>
          <w:numId w:val="9"/>
        </w:numPr>
        <w:tabs>
          <w:tab w:val="clear" w:pos="4153"/>
          <w:tab w:val="clear" w:pos="8306"/>
          <w:tab w:val="left" w:pos="426"/>
        </w:tabs>
        <w:spacing w:after="120"/>
        <w:ind w:left="0" w:right="17" w:firstLine="0"/>
        <w:rPr>
          <w:rFonts w:cs="Arial"/>
          <w:szCs w:val="22"/>
          <w:lang w:val="en-GB"/>
        </w:rPr>
      </w:pPr>
      <w:r w:rsidRPr="005C4B82">
        <w:rPr>
          <w:rFonts w:cs="Arial"/>
          <w:szCs w:val="22"/>
          <w:lang w:val="en-GB"/>
        </w:rPr>
        <w:t>Kazakhstan, however, has enormous renewable energy potential, particularly from solar and wind</w:t>
      </w:r>
      <w:r w:rsidR="00B32CDF">
        <w:rPr>
          <w:rFonts w:cs="Arial"/>
          <w:szCs w:val="22"/>
          <w:lang w:val="en-GB"/>
        </w:rPr>
        <w:t xml:space="preserve"> (</w:t>
      </w:r>
      <w:r w:rsidR="00B32CDF">
        <w:rPr>
          <w:rFonts w:cs="Arial"/>
          <w:szCs w:val="22"/>
          <w:lang w:val="en-GB"/>
        </w:rPr>
        <w:fldChar w:fldCharType="begin"/>
      </w:r>
      <w:r w:rsidR="00B32CDF">
        <w:rPr>
          <w:rFonts w:cs="Arial"/>
          <w:szCs w:val="22"/>
          <w:lang w:val="en-GB"/>
        </w:rPr>
        <w:instrText xml:space="preserve"> REF _Ref332974824 \h </w:instrText>
      </w:r>
      <w:r w:rsidR="00B32CDF">
        <w:rPr>
          <w:rFonts w:cs="Arial"/>
          <w:szCs w:val="22"/>
          <w:lang w:val="en-GB"/>
        </w:rPr>
      </w:r>
      <w:r w:rsidR="00B32CDF">
        <w:rPr>
          <w:rFonts w:cs="Arial"/>
          <w:szCs w:val="22"/>
          <w:lang w:val="en-GB"/>
        </w:rPr>
        <w:fldChar w:fldCharType="separate"/>
      </w:r>
      <w:r w:rsidR="00921873" w:rsidRPr="007241CF">
        <w:t xml:space="preserve">Figure </w:t>
      </w:r>
      <w:r w:rsidR="00921873">
        <w:rPr>
          <w:noProof/>
        </w:rPr>
        <w:t>2</w:t>
      </w:r>
      <w:r w:rsidR="00B32CDF">
        <w:rPr>
          <w:rFonts w:cs="Arial"/>
          <w:szCs w:val="22"/>
          <w:lang w:val="en-GB"/>
        </w:rPr>
        <w:fldChar w:fldCharType="end"/>
      </w:r>
      <w:r w:rsidR="00B32CDF">
        <w:rPr>
          <w:rFonts w:cs="Arial"/>
          <w:szCs w:val="22"/>
          <w:lang w:val="en-GB"/>
        </w:rPr>
        <w:t>)</w:t>
      </w:r>
      <w:r w:rsidRPr="005C4B82">
        <w:rPr>
          <w:rFonts w:cs="Arial"/>
          <w:szCs w:val="22"/>
          <w:lang w:val="en-GB"/>
        </w:rPr>
        <w:t>.</w:t>
      </w:r>
      <w:r w:rsidR="00CB7C07" w:rsidRPr="006004D1">
        <w:rPr>
          <w:rFonts w:cs="Arial"/>
          <w:szCs w:val="22"/>
          <w:lang w:val="en-GB"/>
        </w:rPr>
        <w:t xml:space="preserve"> It is estimated that the country has the potential to generate 10 times as much power as it currently needs from wind energy alone. Increased renewable energy deployment could increase the reliability of electricity supply and decrease GHG emissions and carbon intensity. A more reliable and efficient energy supply will benefit Kazakhstan’s energy customers, economy and the environment. </w:t>
      </w:r>
    </w:p>
    <w:p w14:paraId="73187178" w14:textId="77777777" w:rsidR="002152B2" w:rsidRPr="00574AE7" w:rsidRDefault="002152B2" w:rsidP="004622EC">
      <w:pPr>
        <w:rPr>
          <w:lang w:val="en-GB"/>
        </w:rPr>
      </w:pPr>
    </w:p>
    <w:p w14:paraId="0BC5F146" w14:textId="77777777" w:rsidR="005C4B82" w:rsidRDefault="005C4B82" w:rsidP="004622EC">
      <w:pPr>
        <w:keepNext/>
        <w:ind w:left="142"/>
      </w:pPr>
      <w:r w:rsidRPr="0074665A">
        <w:rPr>
          <w:noProof/>
        </w:rPr>
        <w:drawing>
          <wp:inline distT="0" distB="0" distL="0" distR="0" wp14:anchorId="37B455EA" wp14:editId="1C50CC60">
            <wp:extent cx="6253687" cy="1330913"/>
            <wp:effectExtent l="25400" t="25400" r="2032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25187" cy="1346130"/>
                    </a:xfrm>
                    <a:prstGeom prst="rect">
                      <a:avLst/>
                    </a:prstGeom>
                    <a:noFill/>
                    <a:ln w="9525" cmpd="sng">
                      <a:solidFill>
                        <a:srgbClr val="A6A6A6"/>
                      </a:solidFill>
                      <a:miter lim="800000"/>
                      <a:headEnd/>
                      <a:tailEnd/>
                    </a:ln>
                    <a:effectLst/>
                  </pic:spPr>
                </pic:pic>
              </a:graphicData>
            </a:graphic>
          </wp:inline>
        </w:drawing>
      </w:r>
    </w:p>
    <w:p w14:paraId="43C5B477" w14:textId="77777777" w:rsidR="002152B2" w:rsidRDefault="00D37AEA" w:rsidP="00863DD5">
      <w:pPr>
        <w:pStyle w:val="aff3"/>
      </w:pPr>
      <w:bookmarkStart w:id="8" w:name="_Ref332974824"/>
      <w:bookmarkStart w:id="9" w:name="_Toc479693922"/>
      <w:r w:rsidRPr="007241CF">
        <w:t xml:space="preserve">Figure </w:t>
      </w:r>
      <w:r w:rsidR="00AA15A7">
        <w:fldChar w:fldCharType="begin"/>
      </w:r>
      <w:r w:rsidR="00AA15A7">
        <w:instrText xml:space="preserve"> SEQ Figure \* ARABIC </w:instrText>
      </w:r>
      <w:r w:rsidR="00AA15A7">
        <w:fldChar w:fldCharType="separate"/>
      </w:r>
      <w:r w:rsidR="00921873">
        <w:rPr>
          <w:noProof/>
        </w:rPr>
        <w:t>2</w:t>
      </w:r>
      <w:r w:rsidR="00AA15A7">
        <w:rPr>
          <w:noProof/>
        </w:rPr>
        <w:fldChar w:fldCharType="end"/>
      </w:r>
      <w:bookmarkEnd w:id="8"/>
      <w:r w:rsidR="00691F5A">
        <w:t xml:space="preserve">: </w:t>
      </w:r>
      <w:r w:rsidR="005C4B82" w:rsidRPr="00F509E4">
        <w:t>Installed Electricity Capacity and Technical Potential of Renewable Sources in Kazakhstan</w:t>
      </w:r>
      <w:bookmarkEnd w:id="9"/>
    </w:p>
    <w:p w14:paraId="12A90F40" w14:textId="77777777" w:rsidR="00DB6E53" w:rsidRPr="004346AE" w:rsidRDefault="005C4B82" w:rsidP="004346AE">
      <w:pPr>
        <w:ind w:left="720"/>
        <w:rPr>
          <w:sz w:val="21"/>
        </w:rPr>
      </w:pPr>
      <w:r w:rsidRPr="004346AE">
        <w:rPr>
          <w:sz w:val="21"/>
        </w:rPr>
        <w:t>Source: UNDP 2014, Renewable Energy Country Snapshot Kazakhstan</w:t>
      </w:r>
    </w:p>
    <w:p w14:paraId="7ABAD1CE" w14:textId="77777777" w:rsidR="00A7241D" w:rsidRPr="004622EC" w:rsidRDefault="00E32C00" w:rsidP="004622EC">
      <w:pPr>
        <w:pStyle w:val="a7"/>
        <w:spacing w:before="240" w:after="120"/>
        <w:rPr>
          <w:b/>
          <w:bCs/>
          <w:i/>
          <w:sz w:val="28"/>
          <w:szCs w:val="22"/>
        </w:rPr>
      </w:pPr>
      <w:r w:rsidRPr="004622EC">
        <w:rPr>
          <w:b/>
          <w:bCs/>
          <w:i/>
          <w:sz w:val="28"/>
          <w:szCs w:val="22"/>
        </w:rPr>
        <w:t>Baseline scenario</w:t>
      </w:r>
    </w:p>
    <w:p w14:paraId="6C0FB795" w14:textId="2D68E092" w:rsidR="009A2811" w:rsidRPr="001E5CB1" w:rsidRDefault="009A2811" w:rsidP="0020322F">
      <w:pPr>
        <w:pStyle w:val="a7"/>
        <w:numPr>
          <w:ilvl w:val="0"/>
          <w:numId w:val="9"/>
        </w:numPr>
        <w:tabs>
          <w:tab w:val="clear" w:pos="4153"/>
          <w:tab w:val="clear" w:pos="8306"/>
          <w:tab w:val="left" w:pos="426"/>
        </w:tabs>
        <w:spacing w:after="120"/>
        <w:ind w:left="0" w:right="288" w:firstLine="0"/>
        <w:rPr>
          <w:rFonts w:cs="Arial"/>
          <w:szCs w:val="22"/>
          <w:lang w:val="en-GB"/>
        </w:rPr>
      </w:pPr>
      <w:r w:rsidRPr="0007348D">
        <w:rPr>
          <w:rFonts w:cs="Arial"/>
          <w:szCs w:val="22"/>
          <w:lang w:val="en-GB"/>
        </w:rPr>
        <w:t xml:space="preserve">The </w:t>
      </w:r>
      <w:r w:rsidR="00547F33">
        <w:rPr>
          <w:rFonts w:cs="Arial"/>
          <w:szCs w:val="22"/>
          <w:lang w:val="en-GB"/>
        </w:rPr>
        <w:t>Kazakh “</w:t>
      </w:r>
      <w:r w:rsidRPr="0007348D">
        <w:rPr>
          <w:rFonts w:cs="Arial"/>
          <w:szCs w:val="22"/>
          <w:lang w:val="en-GB"/>
        </w:rPr>
        <w:t xml:space="preserve">Concept for Transition to </w:t>
      </w:r>
      <w:r w:rsidR="004117CB">
        <w:rPr>
          <w:rFonts w:cs="Arial"/>
          <w:szCs w:val="22"/>
          <w:lang w:val="en-GB"/>
        </w:rPr>
        <w:t xml:space="preserve">a </w:t>
      </w:r>
      <w:r w:rsidRPr="0007348D">
        <w:rPr>
          <w:rFonts w:cs="Arial"/>
          <w:szCs w:val="22"/>
          <w:lang w:val="en-GB"/>
        </w:rPr>
        <w:t>Green Economy</w:t>
      </w:r>
      <w:r w:rsidR="00547F33">
        <w:rPr>
          <w:rFonts w:cs="Arial"/>
          <w:szCs w:val="22"/>
          <w:lang w:val="en-GB"/>
        </w:rPr>
        <w:t>”</w:t>
      </w:r>
      <w:r w:rsidRPr="0007348D">
        <w:rPr>
          <w:rFonts w:cs="Arial"/>
          <w:szCs w:val="22"/>
          <w:lang w:val="en-GB"/>
        </w:rPr>
        <w:t xml:space="preserve"> (Government decree N79, May 30, 2013) sets targets </w:t>
      </w:r>
      <w:r w:rsidR="005E74CD">
        <w:rPr>
          <w:rFonts w:cs="Arial"/>
          <w:szCs w:val="22"/>
          <w:lang w:val="en-GB"/>
        </w:rPr>
        <w:t>f</w:t>
      </w:r>
      <w:r w:rsidRPr="0007348D">
        <w:rPr>
          <w:rFonts w:cs="Arial"/>
          <w:szCs w:val="22"/>
          <w:lang w:val="en-GB"/>
        </w:rPr>
        <w:t>or renewables</w:t>
      </w:r>
      <w:r w:rsidR="005E74CD">
        <w:rPr>
          <w:rFonts w:cs="Arial"/>
          <w:szCs w:val="22"/>
          <w:lang w:val="en-GB"/>
        </w:rPr>
        <w:t xml:space="preserve"> as outlined in </w:t>
      </w:r>
      <w:r w:rsidR="005E74CD">
        <w:rPr>
          <w:rFonts w:cs="Arial"/>
          <w:szCs w:val="22"/>
          <w:lang w:val="en-GB"/>
        </w:rPr>
        <w:fldChar w:fldCharType="begin"/>
      </w:r>
      <w:r w:rsidR="005E74CD">
        <w:rPr>
          <w:rFonts w:cs="Arial"/>
          <w:szCs w:val="22"/>
          <w:lang w:val="en-GB"/>
        </w:rPr>
        <w:instrText xml:space="preserve"> REF _Ref464046874 \h </w:instrText>
      </w:r>
      <w:r w:rsidR="005E74CD">
        <w:rPr>
          <w:rFonts w:cs="Arial"/>
          <w:szCs w:val="22"/>
          <w:lang w:val="en-GB"/>
        </w:rPr>
      </w:r>
      <w:r w:rsidR="005E74CD">
        <w:rPr>
          <w:rFonts w:cs="Arial"/>
          <w:szCs w:val="22"/>
          <w:lang w:val="en-GB"/>
        </w:rPr>
        <w:fldChar w:fldCharType="separate"/>
      </w:r>
      <w:r w:rsidR="00921873" w:rsidRPr="00F80BA7">
        <w:t xml:space="preserve">Table </w:t>
      </w:r>
      <w:r w:rsidR="00921873">
        <w:rPr>
          <w:noProof/>
        </w:rPr>
        <w:t>1</w:t>
      </w:r>
      <w:r w:rsidR="005E74CD">
        <w:rPr>
          <w:rFonts w:cs="Arial"/>
          <w:szCs w:val="22"/>
          <w:lang w:val="en-GB"/>
        </w:rPr>
        <w:fldChar w:fldCharType="end"/>
      </w:r>
      <w:r w:rsidRPr="0007348D">
        <w:rPr>
          <w:rFonts w:cs="Arial"/>
          <w:szCs w:val="22"/>
          <w:lang w:val="en-GB"/>
        </w:rPr>
        <w:t xml:space="preserve">, which include: </w:t>
      </w:r>
    </w:p>
    <w:p w14:paraId="3202B0C3" w14:textId="77777777" w:rsidR="009A2811" w:rsidRPr="0007348D" w:rsidRDefault="009A2811" w:rsidP="0020322F">
      <w:pPr>
        <w:pStyle w:val="afb"/>
        <w:widowControl w:val="0"/>
        <w:numPr>
          <w:ilvl w:val="0"/>
          <w:numId w:val="7"/>
        </w:numPr>
        <w:autoSpaceDE w:val="0"/>
        <w:autoSpaceDN w:val="0"/>
        <w:adjustRightInd w:val="0"/>
        <w:spacing w:after="240" w:line="300" w:lineRule="atLeast"/>
        <w:contextualSpacing/>
        <w:rPr>
          <w:rFonts w:ascii="Calibri" w:hAnsi="Calibri" w:cs="Arial"/>
          <w:szCs w:val="22"/>
        </w:rPr>
      </w:pPr>
      <w:r w:rsidRPr="0007348D">
        <w:rPr>
          <w:rFonts w:ascii="Calibri" w:hAnsi="Calibri" w:cs="Arial"/>
          <w:szCs w:val="22"/>
        </w:rPr>
        <w:t>10% share of renewable energy in generation by 2030</w:t>
      </w:r>
    </w:p>
    <w:p w14:paraId="2C43F664" w14:textId="77777777" w:rsidR="003157A7" w:rsidRPr="00D65A9B" w:rsidRDefault="009A2811" w:rsidP="0020322F">
      <w:pPr>
        <w:pStyle w:val="afb"/>
        <w:widowControl w:val="0"/>
        <w:numPr>
          <w:ilvl w:val="0"/>
          <w:numId w:val="7"/>
        </w:numPr>
        <w:autoSpaceDE w:val="0"/>
        <w:autoSpaceDN w:val="0"/>
        <w:adjustRightInd w:val="0"/>
        <w:spacing w:after="240" w:line="300" w:lineRule="atLeast"/>
        <w:contextualSpacing/>
        <w:rPr>
          <w:rFonts w:ascii="Calibri" w:hAnsi="Calibri" w:cs="Arial"/>
          <w:szCs w:val="22"/>
        </w:rPr>
      </w:pPr>
      <w:r w:rsidRPr="0007348D">
        <w:rPr>
          <w:rFonts w:ascii="Calibri" w:hAnsi="Calibri" w:cs="Arial"/>
          <w:szCs w:val="22"/>
        </w:rPr>
        <w:t>40% share of renewable energy in generation by 2050.</w:t>
      </w:r>
    </w:p>
    <w:p w14:paraId="46503418" w14:textId="77777777" w:rsidR="003157A7" w:rsidRPr="004B4ED2" w:rsidRDefault="00AF3A13" w:rsidP="00863DD5">
      <w:pPr>
        <w:pStyle w:val="aff3"/>
      </w:pPr>
      <w:bookmarkStart w:id="10" w:name="_Ref464046874"/>
      <w:bookmarkStart w:id="11" w:name="_Ref332975003"/>
      <w:bookmarkStart w:id="12" w:name="_Toc337722214"/>
      <w:bookmarkStart w:id="13" w:name="_Toc464138776"/>
      <w:bookmarkStart w:id="14" w:name="_Toc479693908"/>
      <w:r w:rsidRPr="00F80BA7">
        <w:t xml:space="preserve">Table </w:t>
      </w:r>
      <w:r w:rsidR="00AA15A7">
        <w:fldChar w:fldCharType="begin"/>
      </w:r>
      <w:r w:rsidR="00AA15A7">
        <w:instrText xml:space="preserve"> SEQ Table \* ARABIC </w:instrText>
      </w:r>
      <w:r w:rsidR="00AA15A7">
        <w:fldChar w:fldCharType="separate"/>
      </w:r>
      <w:r w:rsidR="00921873">
        <w:rPr>
          <w:noProof/>
        </w:rPr>
        <w:t>1</w:t>
      </w:r>
      <w:r w:rsidR="00AA15A7">
        <w:rPr>
          <w:noProof/>
        </w:rPr>
        <w:fldChar w:fldCharType="end"/>
      </w:r>
      <w:bookmarkEnd w:id="10"/>
      <w:r w:rsidR="003157A7" w:rsidRPr="004B4ED2">
        <w:t>: Targeted installed capacity for 2030 and 2050 in basic and green economy development scenarios</w:t>
      </w:r>
      <w:bookmarkEnd w:id="11"/>
      <w:bookmarkEnd w:id="12"/>
      <w:bookmarkEnd w:id="13"/>
      <w:bookmarkEnd w:id="14"/>
    </w:p>
    <w:tbl>
      <w:tblPr>
        <w:tblStyle w:val="TableGrid4"/>
        <w:tblW w:w="0" w:type="auto"/>
        <w:tblLook w:val="04A0" w:firstRow="1" w:lastRow="0" w:firstColumn="1" w:lastColumn="0" w:noHBand="0" w:noVBand="1"/>
      </w:tblPr>
      <w:tblGrid>
        <w:gridCol w:w="3650"/>
        <w:gridCol w:w="1928"/>
        <w:gridCol w:w="1951"/>
        <w:gridCol w:w="1928"/>
      </w:tblGrid>
      <w:tr w:rsidR="005E74CD" w:rsidRPr="00F879E1" w14:paraId="73BF91E7" w14:textId="77777777" w:rsidTr="004622EC">
        <w:tc>
          <w:tcPr>
            <w:tcW w:w="3697" w:type="dxa"/>
            <w:shd w:val="clear" w:color="auto" w:fill="D9D9D9" w:themeFill="background1" w:themeFillShade="D9"/>
          </w:tcPr>
          <w:p w14:paraId="0DEB476D" w14:textId="77777777" w:rsidR="003157A7" w:rsidRPr="00F879E1" w:rsidRDefault="003157A7" w:rsidP="008257B7">
            <w:pPr>
              <w:keepNext/>
              <w:keepLines/>
              <w:widowControl w:val="0"/>
              <w:autoSpaceDE w:val="0"/>
              <w:autoSpaceDN w:val="0"/>
              <w:adjustRightInd w:val="0"/>
              <w:spacing w:line="220" w:lineRule="atLeast"/>
              <w:rPr>
                <w:rFonts w:ascii="Calibri" w:hAnsi="Calibri" w:cs="Arial"/>
                <w:b/>
                <w:color w:val="000000" w:themeColor="text1"/>
                <w:sz w:val="20"/>
                <w:szCs w:val="22"/>
                <w:lang w:val="en-GB"/>
              </w:rPr>
            </w:pPr>
          </w:p>
        </w:tc>
        <w:tc>
          <w:tcPr>
            <w:tcW w:w="1953" w:type="dxa"/>
            <w:shd w:val="clear" w:color="auto" w:fill="D9D9D9" w:themeFill="background1" w:themeFillShade="D9"/>
          </w:tcPr>
          <w:p w14:paraId="161FD7BF" w14:textId="77777777" w:rsidR="003157A7" w:rsidRPr="00F879E1" w:rsidRDefault="003157A7" w:rsidP="008257B7">
            <w:pPr>
              <w:keepNext/>
              <w:keepLines/>
              <w:widowControl w:val="0"/>
              <w:autoSpaceDE w:val="0"/>
              <w:autoSpaceDN w:val="0"/>
              <w:adjustRightInd w:val="0"/>
              <w:spacing w:line="220" w:lineRule="atLeast"/>
              <w:jc w:val="center"/>
              <w:rPr>
                <w:rFonts w:ascii="Calibri" w:hAnsi="Calibri" w:cs="Arial"/>
                <w:b/>
                <w:color w:val="000000" w:themeColor="text1"/>
                <w:sz w:val="20"/>
                <w:szCs w:val="22"/>
                <w:lang w:val="en-GB"/>
              </w:rPr>
            </w:pPr>
            <w:r w:rsidRPr="00F879E1">
              <w:rPr>
                <w:rFonts w:ascii="Calibri" w:hAnsi="Calibri" w:cs="Arial"/>
                <w:b/>
                <w:color w:val="000000" w:themeColor="text1"/>
                <w:sz w:val="20"/>
                <w:szCs w:val="22"/>
                <w:lang w:val="en-GB"/>
              </w:rPr>
              <w:t>2012</w:t>
            </w:r>
          </w:p>
        </w:tc>
        <w:tc>
          <w:tcPr>
            <w:tcW w:w="1973" w:type="dxa"/>
            <w:shd w:val="clear" w:color="auto" w:fill="D9D9D9" w:themeFill="background1" w:themeFillShade="D9"/>
          </w:tcPr>
          <w:p w14:paraId="5EA4883C" w14:textId="77777777" w:rsidR="003157A7" w:rsidRPr="00F879E1" w:rsidRDefault="003157A7" w:rsidP="008257B7">
            <w:pPr>
              <w:keepNext/>
              <w:keepLines/>
              <w:widowControl w:val="0"/>
              <w:autoSpaceDE w:val="0"/>
              <w:autoSpaceDN w:val="0"/>
              <w:adjustRightInd w:val="0"/>
              <w:spacing w:line="220" w:lineRule="atLeast"/>
              <w:jc w:val="center"/>
              <w:rPr>
                <w:rFonts w:ascii="Calibri" w:hAnsi="Calibri" w:cs="Arial"/>
                <w:b/>
                <w:color w:val="000000" w:themeColor="text1"/>
                <w:sz w:val="20"/>
                <w:szCs w:val="22"/>
                <w:lang w:val="en-GB"/>
              </w:rPr>
            </w:pPr>
            <w:r w:rsidRPr="00F879E1">
              <w:rPr>
                <w:rFonts w:ascii="Calibri" w:hAnsi="Calibri" w:cs="Arial"/>
                <w:b/>
                <w:color w:val="000000" w:themeColor="text1"/>
                <w:sz w:val="20"/>
                <w:szCs w:val="22"/>
                <w:lang w:val="en-GB"/>
              </w:rPr>
              <w:t>2030</w:t>
            </w:r>
          </w:p>
        </w:tc>
        <w:tc>
          <w:tcPr>
            <w:tcW w:w="1953" w:type="dxa"/>
            <w:shd w:val="clear" w:color="auto" w:fill="D9D9D9" w:themeFill="background1" w:themeFillShade="D9"/>
          </w:tcPr>
          <w:p w14:paraId="690B5B6F" w14:textId="77777777" w:rsidR="003157A7" w:rsidRPr="00F879E1" w:rsidRDefault="003157A7" w:rsidP="008257B7">
            <w:pPr>
              <w:keepNext/>
              <w:keepLines/>
              <w:widowControl w:val="0"/>
              <w:autoSpaceDE w:val="0"/>
              <w:autoSpaceDN w:val="0"/>
              <w:adjustRightInd w:val="0"/>
              <w:spacing w:line="220" w:lineRule="atLeast"/>
              <w:jc w:val="center"/>
              <w:rPr>
                <w:rFonts w:ascii="Calibri" w:hAnsi="Calibri" w:cs="Arial"/>
                <w:b/>
                <w:color w:val="000000" w:themeColor="text1"/>
                <w:sz w:val="20"/>
                <w:szCs w:val="22"/>
                <w:lang w:val="en-GB"/>
              </w:rPr>
            </w:pPr>
            <w:r w:rsidRPr="00F879E1">
              <w:rPr>
                <w:rFonts w:ascii="Calibri" w:hAnsi="Calibri" w:cs="Arial"/>
                <w:b/>
                <w:color w:val="000000" w:themeColor="text1"/>
                <w:sz w:val="20"/>
                <w:szCs w:val="22"/>
                <w:lang w:val="en-GB"/>
              </w:rPr>
              <w:t>2050</w:t>
            </w:r>
          </w:p>
        </w:tc>
      </w:tr>
      <w:tr w:rsidR="003157A7" w:rsidRPr="00F879E1" w14:paraId="64622877" w14:textId="77777777" w:rsidTr="004622EC">
        <w:trPr>
          <w:trHeight w:val="564"/>
        </w:trPr>
        <w:tc>
          <w:tcPr>
            <w:tcW w:w="3697" w:type="dxa"/>
            <w:shd w:val="clear" w:color="auto" w:fill="auto"/>
          </w:tcPr>
          <w:p w14:paraId="174D504B" w14:textId="77777777" w:rsidR="003157A7" w:rsidRPr="00F879E1" w:rsidRDefault="003157A7" w:rsidP="008257B7">
            <w:pPr>
              <w:keepNext/>
              <w:keepLines/>
              <w:widowControl w:val="0"/>
              <w:autoSpaceDE w:val="0"/>
              <w:autoSpaceDN w:val="0"/>
              <w:adjustRightInd w:val="0"/>
              <w:spacing w:line="220" w:lineRule="atLeast"/>
              <w:rPr>
                <w:rFonts w:ascii="Calibri" w:hAnsi="Calibri" w:cs="Arial"/>
                <w:sz w:val="20"/>
                <w:szCs w:val="22"/>
                <w:lang w:val="en-GB"/>
              </w:rPr>
            </w:pPr>
            <w:r w:rsidRPr="00F879E1">
              <w:rPr>
                <w:rFonts w:ascii="Calibri" w:hAnsi="Calibri" w:cs="Arial"/>
                <w:sz w:val="20"/>
                <w:szCs w:val="22"/>
                <w:lang w:val="en-GB"/>
              </w:rPr>
              <w:t xml:space="preserve">Share of </w:t>
            </w:r>
            <w:r w:rsidR="006158E1" w:rsidRPr="00F879E1">
              <w:rPr>
                <w:rFonts w:ascii="Calibri" w:hAnsi="Calibri" w:cs="Arial"/>
                <w:sz w:val="20"/>
                <w:szCs w:val="22"/>
                <w:lang w:val="en-GB"/>
              </w:rPr>
              <w:t xml:space="preserve">renewable energy </w:t>
            </w:r>
            <w:r w:rsidRPr="00F879E1">
              <w:rPr>
                <w:rFonts w:ascii="Calibri" w:hAnsi="Calibri" w:cs="Arial"/>
                <w:sz w:val="20"/>
                <w:szCs w:val="22"/>
                <w:lang w:val="en-GB"/>
              </w:rPr>
              <w:t>in total power production</w:t>
            </w:r>
            <w:r w:rsidR="008B37E6" w:rsidRPr="00F879E1">
              <w:rPr>
                <w:rFonts w:ascii="Calibri" w:hAnsi="Calibri" w:cs="Arial"/>
                <w:sz w:val="20"/>
                <w:szCs w:val="22"/>
                <w:lang w:val="en-GB"/>
              </w:rPr>
              <w:t xml:space="preserve"> (</w:t>
            </w:r>
            <w:r w:rsidRPr="00F879E1">
              <w:rPr>
                <w:rFonts w:ascii="Calibri" w:hAnsi="Calibri" w:cs="Arial"/>
                <w:sz w:val="20"/>
                <w:szCs w:val="22"/>
                <w:lang w:val="en-GB"/>
              </w:rPr>
              <w:t>%</w:t>
            </w:r>
            <w:r w:rsidR="008B37E6" w:rsidRPr="00F879E1">
              <w:rPr>
                <w:rFonts w:ascii="Calibri" w:hAnsi="Calibri" w:cs="Arial"/>
                <w:sz w:val="20"/>
                <w:szCs w:val="22"/>
                <w:lang w:val="en-GB"/>
              </w:rPr>
              <w:t>)</w:t>
            </w:r>
          </w:p>
        </w:tc>
        <w:tc>
          <w:tcPr>
            <w:tcW w:w="1953" w:type="dxa"/>
            <w:shd w:val="clear" w:color="auto" w:fill="auto"/>
          </w:tcPr>
          <w:p w14:paraId="0C0E0D03" w14:textId="77777777" w:rsidR="003157A7" w:rsidRPr="00F879E1" w:rsidRDefault="003157A7" w:rsidP="008257B7">
            <w:pPr>
              <w:keepNext/>
              <w:keepLines/>
              <w:widowControl w:val="0"/>
              <w:autoSpaceDE w:val="0"/>
              <w:autoSpaceDN w:val="0"/>
              <w:adjustRightInd w:val="0"/>
              <w:spacing w:line="220" w:lineRule="atLeast"/>
              <w:jc w:val="center"/>
              <w:rPr>
                <w:rFonts w:ascii="Calibri" w:hAnsi="Calibri" w:cs="Arial"/>
                <w:sz w:val="20"/>
                <w:szCs w:val="22"/>
                <w:lang w:val="en-GB"/>
              </w:rPr>
            </w:pPr>
            <w:r w:rsidRPr="00F879E1">
              <w:rPr>
                <w:rFonts w:ascii="Calibri" w:hAnsi="Calibri" w:cs="Arial"/>
                <w:sz w:val="20"/>
                <w:szCs w:val="22"/>
                <w:lang w:val="en-GB"/>
              </w:rPr>
              <w:t>0.3</w:t>
            </w:r>
          </w:p>
        </w:tc>
        <w:tc>
          <w:tcPr>
            <w:tcW w:w="1973" w:type="dxa"/>
            <w:shd w:val="clear" w:color="auto" w:fill="auto"/>
          </w:tcPr>
          <w:p w14:paraId="1215F5AC" w14:textId="77777777" w:rsidR="003157A7" w:rsidRPr="00F879E1" w:rsidRDefault="003157A7" w:rsidP="008257B7">
            <w:pPr>
              <w:keepNext/>
              <w:keepLines/>
              <w:widowControl w:val="0"/>
              <w:autoSpaceDE w:val="0"/>
              <w:autoSpaceDN w:val="0"/>
              <w:adjustRightInd w:val="0"/>
              <w:spacing w:line="220" w:lineRule="atLeast"/>
              <w:jc w:val="center"/>
              <w:rPr>
                <w:rFonts w:ascii="Calibri" w:hAnsi="Calibri" w:cs="Arial"/>
                <w:sz w:val="20"/>
                <w:szCs w:val="22"/>
                <w:lang w:val="en-GB"/>
              </w:rPr>
            </w:pPr>
            <w:r w:rsidRPr="00F879E1">
              <w:rPr>
                <w:rFonts w:ascii="Calibri" w:hAnsi="Calibri" w:cs="Arial"/>
                <w:sz w:val="20"/>
                <w:szCs w:val="22"/>
                <w:lang w:val="en-GB"/>
              </w:rPr>
              <w:t>10.05-11.05*</w:t>
            </w:r>
          </w:p>
        </w:tc>
        <w:tc>
          <w:tcPr>
            <w:tcW w:w="1953" w:type="dxa"/>
            <w:shd w:val="clear" w:color="auto" w:fill="auto"/>
          </w:tcPr>
          <w:p w14:paraId="6F7E8932" w14:textId="77777777" w:rsidR="003157A7" w:rsidRPr="00F879E1" w:rsidRDefault="003157A7" w:rsidP="008257B7">
            <w:pPr>
              <w:keepNext/>
              <w:keepLines/>
              <w:widowControl w:val="0"/>
              <w:autoSpaceDE w:val="0"/>
              <w:autoSpaceDN w:val="0"/>
              <w:adjustRightInd w:val="0"/>
              <w:spacing w:line="220" w:lineRule="atLeast"/>
              <w:jc w:val="center"/>
              <w:rPr>
                <w:rFonts w:ascii="Calibri" w:hAnsi="Calibri" w:cs="Arial"/>
                <w:sz w:val="20"/>
                <w:szCs w:val="22"/>
                <w:lang w:val="en-GB"/>
              </w:rPr>
            </w:pPr>
            <w:r w:rsidRPr="00F879E1">
              <w:rPr>
                <w:rFonts w:ascii="Calibri" w:hAnsi="Calibri" w:cs="Arial"/>
                <w:sz w:val="20"/>
                <w:szCs w:val="22"/>
                <w:lang w:val="en-GB"/>
              </w:rPr>
              <w:t>40</w:t>
            </w:r>
          </w:p>
        </w:tc>
      </w:tr>
      <w:tr w:rsidR="003157A7" w:rsidRPr="00F879E1" w14:paraId="1649879E" w14:textId="77777777" w:rsidTr="004622EC">
        <w:tc>
          <w:tcPr>
            <w:tcW w:w="3697" w:type="dxa"/>
            <w:shd w:val="clear" w:color="auto" w:fill="auto"/>
          </w:tcPr>
          <w:p w14:paraId="24B74D40" w14:textId="77777777" w:rsidR="003157A7" w:rsidRPr="00F879E1" w:rsidRDefault="003157A7" w:rsidP="004622EC">
            <w:pPr>
              <w:widowControl w:val="0"/>
              <w:autoSpaceDE w:val="0"/>
              <w:autoSpaceDN w:val="0"/>
              <w:adjustRightInd w:val="0"/>
              <w:spacing w:line="220" w:lineRule="atLeast"/>
              <w:rPr>
                <w:rFonts w:ascii="Calibri" w:hAnsi="Calibri" w:cs="Arial"/>
                <w:sz w:val="20"/>
                <w:szCs w:val="22"/>
                <w:lang w:val="en-GB"/>
              </w:rPr>
            </w:pPr>
            <w:r w:rsidRPr="00F879E1">
              <w:rPr>
                <w:rFonts w:ascii="Calibri" w:hAnsi="Calibri" w:cs="Arial"/>
                <w:sz w:val="20"/>
                <w:szCs w:val="22"/>
                <w:lang w:val="en-GB"/>
              </w:rPr>
              <w:t xml:space="preserve">Total installed capacity, excluding large hydro </w:t>
            </w:r>
            <w:r w:rsidR="008B37E6" w:rsidRPr="00F879E1">
              <w:rPr>
                <w:rFonts w:ascii="Calibri" w:hAnsi="Calibri" w:cs="Arial"/>
                <w:sz w:val="20"/>
                <w:szCs w:val="22"/>
                <w:lang w:val="en-GB"/>
              </w:rPr>
              <w:t>(</w:t>
            </w:r>
            <w:r w:rsidRPr="00F879E1">
              <w:rPr>
                <w:rFonts w:ascii="Calibri" w:hAnsi="Calibri" w:cs="Arial"/>
                <w:sz w:val="20"/>
                <w:szCs w:val="22"/>
                <w:lang w:val="en-GB"/>
              </w:rPr>
              <w:t>GW</w:t>
            </w:r>
            <w:r w:rsidR="008B37E6" w:rsidRPr="00F879E1">
              <w:rPr>
                <w:rFonts w:ascii="Calibri" w:hAnsi="Calibri" w:cs="Arial"/>
                <w:sz w:val="20"/>
                <w:szCs w:val="22"/>
                <w:lang w:val="en-GB"/>
              </w:rPr>
              <w:t>)</w:t>
            </w:r>
          </w:p>
        </w:tc>
        <w:tc>
          <w:tcPr>
            <w:tcW w:w="1953" w:type="dxa"/>
            <w:shd w:val="clear" w:color="auto" w:fill="auto"/>
          </w:tcPr>
          <w:p w14:paraId="271B58EF" w14:textId="77777777" w:rsidR="003157A7" w:rsidRPr="00F879E1" w:rsidRDefault="003157A7" w:rsidP="00612836">
            <w:pPr>
              <w:widowControl w:val="0"/>
              <w:autoSpaceDE w:val="0"/>
              <w:autoSpaceDN w:val="0"/>
              <w:adjustRightInd w:val="0"/>
              <w:spacing w:line="220" w:lineRule="atLeast"/>
              <w:jc w:val="center"/>
              <w:rPr>
                <w:rFonts w:ascii="Calibri" w:hAnsi="Calibri" w:cs="Arial"/>
                <w:sz w:val="20"/>
                <w:szCs w:val="22"/>
                <w:lang w:val="en-GB"/>
              </w:rPr>
            </w:pPr>
            <w:r w:rsidRPr="00F879E1">
              <w:rPr>
                <w:rFonts w:ascii="Calibri" w:hAnsi="Calibri" w:cs="Arial"/>
                <w:sz w:val="20"/>
                <w:szCs w:val="22"/>
                <w:lang w:val="en-GB"/>
              </w:rPr>
              <w:t>0.18</w:t>
            </w:r>
          </w:p>
        </w:tc>
        <w:tc>
          <w:tcPr>
            <w:tcW w:w="1973" w:type="dxa"/>
            <w:shd w:val="clear" w:color="auto" w:fill="auto"/>
          </w:tcPr>
          <w:p w14:paraId="5F2F83A4" w14:textId="77777777" w:rsidR="003157A7" w:rsidRPr="00F879E1" w:rsidRDefault="003157A7" w:rsidP="00612836">
            <w:pPr>
              <w:widowControl w:val="0"/>
              <w:autoSpaceDE w:val="0"/>
              <w:autoSpaceDN w:val="0"/>
              <w:adjustRightInd w:val="0"/>
              <w:spacing w:line="220" w:lineRule="atLeast"/>
              <w:jc w:val="center"/>
              <w:rPr>
                <w:rFonts w:ascii="Calibri" w:hAnsi="Calibri" w:cs="Arial"/>
                <w:sz w:val="20"/>
                <w:szCs w:val="22"/>
                <w:lang w:val="en-GB"/>
              </w:rPr>
            </w:pPr>
            <w:r w:rsidRPr="00F879E1">
              <w:rPr>
                <w:rFonts w:ascii="Calibri" w:hAnsi="Calibri" w:cs="Arial"/>
                <w:sz w:val="20"/>
                <w:szCs w:val="22"/>
                <w:lang w:val="en-GB"/>
              </w:rPr>
              <w:t>5.5</w:t>
            </w:r>
          </w:p>
        </w:tc>
        <w:tc>
          <w:tcPr>
            <w:tcW w:w="1953" w:type="dxa"/>
            <w:shd w:val="clear" w:color="auto" w:fill="auto"/>
          </w:tcPr>
          <w:p w14:paraId="3CDA1AF9" w14:textId="77777777" w:rsidR="003157A7" w:rsidRPr="00F879E1" w:rsidRDefault="003157A7" w:rsidP="00612836">
            <w:pPr>
              <w:widowControl w:val="0"/>
              <w:autoSpaceDE w:val="0"/>
              <w:autoSpaceDN w:val="0"/>
              <w:adjustRightInd w:val="0"/>
              <w:spacing w:line="220" w:lineRule="atLeast"/>
              <w:jc w:val="center"/>
              <w:rPr>
                <w:rFonts w:ascii="Calibri" w:hAnsi="Calibri" w:cs="Arial"/>
                <w:sz w:val="20"/>
                <w:szCs w:val="22"/>
                <w:lang w:val="en-GB"/>
              </w:rPr>
            </w:pPr>
            <w:r w:rsidRPr="00F879E1">
              <w:rPr>
                <w:rFonts w:ascii="Calibri" w:hAnsi="Calibri" w:cs="Arial"/>
                <w:sz w:val="20"/>
                <w:szCs w:val="22"/>
                <w:lang w:val="en-GB"/>
              </w:rPr>
              <w:t>30</w:t>
            </w:r>
          </w:p>
        </w:tc>
      </w:tr>
      <w:tr w:rsidR="003157A7" w:rsidRPr="00F879E1" w14:paraId="07B15531" w14:textId="77777777" w:rsidTr="004622EC">
        <w:tc>
          <w:tcPr>
            <w:tcW w:w="3697" w:type="dxa"/>
            <w:shd w:val="clear" w:color="auto" w:fill="auto"/>
          </w:tcPr>
          <w:p w14:paraId="1DE484FA" w14:textId="77777777" w:rsidR="003157A7" w:rsidRPr="00F879E1" w:rsidRDefault="003157A7" w:rsidP="004622EC">
            <w:pPr>
              <w:widowControl w:val="0"/>
              <w:autoSpaceDE w:val="0"/>
              <w:autoSpaceDN w:val="0"/>
              <w:adjustRightInd w:val="0"/>
              <w:spacing w:line="220" w:lineRule="atLeast"/>
              <w:rPr>
                <w:rFonts w:ascii="Calibri" w:hAnsi="Calibri" w:cs="Arial"/>
                <w:sz w:val="20"/>
                <w:szCs w:val="22"/>
                <w:lang w:val="en-GB"/>
              </w:rPr>
            </w:pPr>
            <w:r w:rsidRPr="00F879E1">
              <w:rPr>
                <w:rFonts w:ascii="Calibri" w:hAnsi="Calibri" w:cs="Arial"/>
                <w:sz w:val="20"/>
                <w:szCs w:val="22"/>
                <w:lang w:val="en-GB"/>
              </w:rPr>
              <w:t>GHG emissions</w:t>
            </w:r>
            <w:r w:rsidR="008B37E6" w:rsidRPr="00F879E1">
              <w:rPr>
                <w:rFonts w:ascii="Calibri" w:hAnsi="Calibri" w:cs="Arial"/>
                <w:sz w:val="20"/>
                <w:szCs w:val="22"/>
                <w:lang w:val="en-GB"/>
              </w:rPr>
              <w:t xml:space="preserve"> (</w:t>
            </w:r>
            <w:r w:rsidRPr="00F879E1">
              <w:rPr>
                <w:rFonts w:ascii="Calibri" w:hAnsi="Calibri" w:cs="Arial"/>
                <w:sz w:val="20"/>
                <w:szCs w:val="22"/>
                <w:lang w:val="en-GB"/>
              </w:rPr>
              <w:t>billion tonnes</w:t>
            </w:r>
            <w:r w:rsidR="008B37E6" w:rsidRPr="00F879E1">
              <w:rPr>
                <w:rFonts w:ascii="Calibri" w:hAnsi="Calibri" w:cs="Arial"/>
                <w:sz w:val="20"/>
                <w:szCs w:val="22"/>
                <w:lang w:val="en-GB"/>
              </w:rPr>
              <w:t>)</w:t>
            </w:r>
          </w:p>
        </w:tc>
        <w:tc>
          <w:tcPr>
            <w:tcW w:w="1953" w:type="dxa"/>
            <w:shd w:val="clear" w:color="auto" w:fill="auto"/>
          </w:tcPr>
          <w:p w14:paraId="62CE36B9" w14:textId="77777777" w:rsidR="003157A7" w:rsidRPr="00F879E1" w:rsidRDefault="003157A7" w:rsidP="00612836">
            <w:pPr>
              <w:widowControl w:val="0"/>
              <w:autoSpaceDE w:val="0"/>
              <w:autoSpaceDN w:val="0"/>
              <w:adjustRightInd w:val="0"/>
              <w:spacing w:line="220" w:lineRule="atLeast"/>
              <w:jc w:val="center"/>
              <w:rPr>
                <w:rFonts w:ascii="Calibri" w:hAnsi="Calibri" w:cs="Arial"/>
                <w:sz w:val="20"/>
                <w:szCs w:val="22"/>
                <w:lang w:val="en-GB"/>
              </w:rPr>
            </w:pPr>
            <w:r w:rsidRPr="00F879E1">
              <w:rPr>
                <w:rFonts w:ascii="Calibri" w:hAnsi="Calibri" w:cs="Arial"/>
                <w:sz w:val="20"/>
                <w:szCs w:val="22"/>
                <w:lang w:val="en-GB"/>
              </w:rPr>
              <w:t>91</w:t>
            </w:r>
          </w:p>
        </w:tc>
        <w:tc>
          <w:tcPr>
            <w:tcW w:w="1973" w:type="dxa"/>
            <w:shd w:val="clear" w:color="auto" w:fill="auto"/>
          </w:tcPr>
          <w:p w14:paraId="1C163120" w14:textId="77777777" w:rsidR="003157A7" w:rsidRPr="00F879E1" w:rsidRDefault="003157A7" w:rsidP="00612836">
            <w:pPr>
              <w:widowControl w:val="0"/>
              <w:autoSpaceDE w:val="0"/>
              <w:autoSpaceDN w:val="0"/>
              <w:adjustRightInd w:val="0"/>
              <w:spacing w:line="220" w:lineRule="atLeast"/>
              <w:jc w:val="center"/>
              <w:rPr>
                <w:rFonts w:ascii="Calibri" w:hAnsi="Calibri" w:cs="Arial"/>
                <w:sz w:val="20"/>
                <w:szCs w:val="22"/>
                <w:lang w:val="en-GB"/>
              </w:rPr>
            </w:pPr>
            <w:r w:rsidRPr="00F879E1">
              <w:rPr>
                <w:rFonts w:ascii="Calibri" w:hAnsi="Calibri" w:cs="Arial"/>
                <w:sz w:val="20"/>
                <w:szCs w:val="22"/>
                <w:lang w:val="en-GB"/>
              </w:rPr>
              <w:t>77-79*</w:t>
            </w:r>
          </w:p>
        </w:tc>
        <w:tc>
          <w:tcPr>
            <w:tcW w:w="1953" w:type="dxa"/>
            <w:shd w:val="clear" w:color="auto" w:fill="auto"/>
          </w:tcPr>
          <w:p w14:paraId="1A674AE8" w14:textId="77777777" w:rsidR="003157A7" w:rsidRPr="00F879E1" w:rsidRDefault="003157A7" w:rsidP="00612836">
            <w:pPr>
              <w:widowControl w:val="0"/>
              <w:autoSpaceDE w:val="0"/>
              <w:autoSpaceDN w:val="0"/>
              <w:adjustRightInd w:val="0"/>
              <w:spacing w:line="220" w:lineRule="atLeast"/>
              <w:jc w:val="center"/>
              <w:rPr>
                <w:rFonts w:ascii="Calibri" w:hAnsi="Calibri" w:cs="Arial"/>
                <w:sz w:val="20"/>
                <w:szCs w:val="22"/>
                <w:lang w:val="en-GB"/>
              </w:rPr>
            </w:pPr>
            <w:r w:rsidRPr="00F879E1">
              <w:rPr>
                <w:rFonts w:ascii="Calibri" w:hAnsi="Calibri" w:cs="Arial"/>
                <w:sz w:val="20"/>
                <w:szCs w:val="22"/>
                <w:lang w:val="en-GB"/>
              </w:rPr>
              <w:t>59-65*</w:t>
            </w:r>
          </w:p>
        </w:tc>
      </w:tr>
    </w:tbl>
    <w:p w14:paraId="391DE10A" w14:textId="77777777" w:rsidR="003157A7" w:rsidRDefault="003157A7" w:rsidP="004346AE">
      <w:pPr>
        <w:ind w:left="720"/>
        <w:rPr>
          <w:sz w:val="21"/>
        </w:rPr>
      </w:pPr>
      <w:r w:rsidRPr="004346AE">
        <w:rPr>
          <w:sz w:val="21"/>
        </w:rPr>
        <w:t>Source: Concept for Transition to Green Economy (Government decree N79, May 30, 2013)</w:t>
      </w:r>
      <w:r w:rsidRPr="004346AE">
        <w:rPr>
          <w:sz w:val="21"/>
        </w:rPr>
        <w:br/>
        <w:t xml:space="preserve">* </w:t>
      </w:r>
      <w:r w:rsidR="008B37E6" w:rsidRPr="004346AE">
        <w:rPr>
          <w:sz w:val="21"/>
        </w:rPr>
        <w:t>T</w:t>
      </w:r>
      <w:r w:rsidRPr="004346AE">
        <w:rPr>
          <w:sz w:val="21"/>
        </w:rPr>
        <w:t>he range reflects variations within different development scenarios which are based on level of energy demands and gas prices</w:t>
      </w:r>
    </w:p>
    <w:p w14:paraId="71F73903" w14:textId="77777777" w:rsidR="009F008E" w:rsidRPr="004346AE" w:rsidRDefault="009F008E" w:rsidP="004346AE">
      <w:pPr>
        <w:ind w:left="720"/>
        <w:rPr>
          <w:sz w:val="21"/>
        </w:rPr>
      </w:pPr>
    </w:p>
    <w:p w14:paraId="4A4F04DD" w14:textId="2B7BFD48" w:rsidR="00D81F7A" w:rsidRPr="006C287C" w:rsidRDefault="00DB1DE6" w:rsidP="0020322F">
      <w:pPr>
        <w:pStyle w:val="a7"/>
        <w:numPr>
          <w:ilvl w:val="0"/>
          <w:numId w:val="9"/>
        </w:numPr>
        <w:tabs>
          <w:tab w:val="clear" w:pos="4153"/>
          <w:tab w:val="clear" w:pos="8306"/>
          <w:tab w:val="left" w:pos="426"/>
        </w:tabs>
        <w:spacing w:after="120"/>
        <w:ind w:left="0" w:right="17" w:firstLine="0"/>
        <w:rPr>
          <w:rFonts w:cs="Arial"/>
          <w:szCs w:val="22"/>
          <w:lang w:val="en-GB"/>
        </w:rPr>
      </w:pPr>
      <w:r w:rsidRPr="00DB1DE6">
        <w:rPr>
          <w:rFonts w:cs="Arial"/>
          <w:szCs w:val="22"/>
          <w:lang w:val="en-GB"/>
        </w:rPr>
        <w:t xml:space="preserve">The Government of Kazakhstan has demonstrated support to develop renewable energy and </w:t>
      </w:r>
      <w:r w:rsidR="008B37E6">
        <w:rPr>
          <w:rFonts w:cs="Arial"/>
          <w:szCs w:val="22"/>
          <w:lang w:val="en-GB"/>
        </w:rPr>
        <w:t xml:space="preserve">has </w:t>
      </w:r>
      <w:r w:rsidRPr="00DB1DE6">
        <w:rPr>
          <w:rFonts w:cs="Arial"/>
          <w:szCs w:val="22"/>
          <w:lang w:val="en-GB"/>
        </w:rPr>
        <w:t>adopted a few important initiatives, which boosted investors’ interest in renewable energy projects</w:t>
      </w:r>
      <w:r w:rsidR="00E321CA">
        <w:rPr>
          <w:rFonts w:cs="Arial"/>
          <w:szCs w:val="22"/>
          <w:lang w:val="en-GB"/>
        </w:rPr>
        <w:t xml:space="preserve"> (</w:t>
      </w:r>
      <w:r w:rsidR="001568C9" w:rsidRPr="006158E1">
        <w:rPr>
          <w:rFonts w:cs="Arial"/>
          <w:szCs w:val="22"/>
          <w:lang w:val="en-GB"/>
        </w:rPr>
        <w:fldChar w:fldCharType="begin"/>
      </w:r>
      <w:r w:rsidR="001568C9" w:rsidRPr="00BA0D46">
        <w:rPr>
          <w:rFonts w:cs="Arial"/>
          <w:szCs w:val="22"/>
          <w:lang w:val="en-GB"/>
        </w:rPr>
        <w:instrText xml:space="preserve"> REF _Ref332975385 \h </w:instrText>
      </w:r>
      <w:r w:rsidR="006158E1">
        <w:rPr>
          <w:rFonts w:cs="Arial"/>
          <w:szCs w:val="22"/>
          <w:lang w:val="en-GB"/>
        </w:rPr>
        <w:instrText xml:space="preserve"> \* MERGEFORMAT </w:instrText>
      </w:r>
      <w:r w:rsidR="001568C9" w:rsidRPr="006158E1">
        <w:rPr>
          <w:rFonts w:cs="Arial"/>
          <w:szCs w:val="22"/>
          <w:lang w:val="en-GB"/>
        </w:rPr>
      </w:r>
      <w:r w:rsidR="001568C9" w:rsidRPr="006158E1">
        <w:rPr>
          <w:rFonts w:cs="Arial"/>
          <w:szCs w:val="22"/>
          <w:lang w:val="en-GB"/>
        </w:rPr>
        <w:fldChar w:fldCharType="separate"/>
      </w:r>
      <w:r w:rsidR="00921873" w:rsidRPr="00921873">
        <w:rPr>
          <w:szCs w:val="22"/>
        </w:rPr>
        <w:t>Annex L. Kazakhstan Renewable Energy Policy Overview</w:t>
      </w:r>
      <w:r w:rsidR="001568C9" w:rsidRPr="006158E1">
        <w:rPr>
          <w:rFonts w:cs="Arial"/>
          <w:szCs w:val="22"/>
          <w:lang w:val="en-GB"/>
        </w:rPr>
        <w:fldChar w:fldCharType="end"/>
      </w:r>
      <w:r w:rsidR="00E321CA" w:rsidRPr="006158E1">
        <w:rPr>
          <w:rFonts w:cs="Arial"/>
          <w:szCs w:val="22"/>
          <w:lang w:val="en-GB"/>
        </w:rPr>
        <w:t xml:space="preserve">). </w:t>
      </w:r>
      <w:r w:rsidR="002E3A59" w:rsidRPr="006158E1">
        <w:rPr>
          <w:rFonts w:cs="Arial"/>
          <w:szCs w:val="22"/>
          <w:lang w:val="en-GB"/>
        </w:rPr>
        <w:t>T</w:t>
      </w:r>
      <w:r w:rsidR="002E3A59" w:rsidRPr="006C287C">
        <w:rPr>
          <w:rFonts w:cs="Arial"/>
          <w:szCs w:val="22"/>
          <w:lang w:val="en-GB"/>
        </w:rPr>
        <w:t>hirty-four</w:t>
      </w:r>
      <w:r w:rsidR="006C287C" w:rsidRPr="006C287C">
        <w:rPr>
          <w:rFonts w:cs="Arial"/>
          <w:szCs w:val="22"/>
          <w:lang w:val="en-GB"/>
        </w:rPr>
        <w:t xml:space="preserve"> wind projects and </w:t>
      </w:r>
      <w:r w:rsidR="00CA6A37">
        <w:rPr>
          <w:rFonts w:cs="Arial"/>
          <w:szCs w:val="22"/>
          <w:lang w:val="en-GB"/>
        </w:rPr>
        <w:t>twenty-eight</w:t>
      </w:r>
      <w:r w:rsidR="00A34DA5" w:rsidRPr="006C287C">
        <w:rPr>
          <w:rFonts w:cs="Arial"/>
          <w:szCs w:val="22"/>
          <w:lang w:val="en-GB"/>
        </w:rPr>
        <w:t xml:space="preserve"> </w:t>
      </w:r>
      <w:r w:rsidR="006C287C" w:rsidRPr="006C287C">
        <w:rPr>
          <w:rFonts w:cs="Arial"/>
          <w:szCs w:val="22"/>
          <w:lang w:val="en-GB"/>
        </w:rPr>
        <w:t xml:space="preserve">solar energy projects were consequently submitted to the Ministry of Energy, and included in development plans for the period up to 2020 as </w:t>
      </w:r>
      <w:r w:rsidR="006158E1" w:rsidRPr="006C287C">
        <w:rPr>
          <w:rFonts w:cs="Arial"/>
          <w:szCs w:val="22"/>
          <w:lang w:val="en-GB"/>
        </w:rPr>
        <w:t xml:space="preserve">of </w:t>
      </w:r>
      <w:r w:rsidR="006158E1">
        <w:rPr>
          <w:rFonts w:cs="Arial"/>
          <w:szCs w:val="22"/>
          <w:lang w:val="en-GB"/>
        </w:rPr>
        <w:t xml:space="preserve">1 </w:t>
      </w:r>
      <w:r w:rsidR="006C287C" w:rsidRPr="006C287C">
        <w:rPr>
          <w:rFonts w:cs="Arial"/>
          <w:szCs w:val="22"/>
          <w:lang w:val="en-GB"/>
        </w:rPr>
        <w:t>May 2015 (Ministry of Energy of Kazakhstan, 2016)</w:t>
      </w:r>
      <w:r w:rsidR="001750CF">
        <w:rPr>
          <w:rFonts w:cs="Arial"/>
          <w:szCs w:val="22"/>
          <w:lang w:val="en-GB"/>
        </w:rPr>
        <w:t xml:space="preserve"> but remain to be implemented</w:t>
      </w:r>
      <w:r w:rsidR="006C287C" w:rsidRPr="006C287C">
        <w:rPr>
          <w:rFonts w:cs="Arial"/>
          <w:szCs w:val="22"/>
          <w:lang w:val="en-GB"/>
        </w:rPr>
        <w:t>. The capacity of these wind energy developments amounted to 1,787 MW and for solar to 713.5 MW. However</w:t>
      </w:r>
      <w:r w:rsidR="008257B7">
        <w:rPr>
          <w:rFonts w:cs="Arial"/>
          <w:szCs w:val="22"/>
          <w:lang w:val="en-GB"/>
        </w:rPr>
        <w:t>,</w:t>
      </w:r>
      <w:r w:rsidR="006C287C" w:rsidRPr="006C287C">
        <w:rPr>
          <w:rFonts w:cs="Arial"/>
          <w:szCs w:val="22"/>
          <w:lang w:val="en-GB"/>
        </w:rPr>
        <w:t xml:space="preserve"> many of these projects may be no longer be feasible as a result of the devaluation of the Tenge in August 2015</w:t>
      </w:r>
      <w:r w:rsidR="00A31E59">
        <w:rPr>
          <w:rStyle w:val="afa"/>
          <w:szCs w:val="22"/>
          <w:lang w:val="en-GB"/>
        </w:rPr>
        <w:footnoteReference w:id="2"/>
      </w:r>
      <w:r w:rsidR="006C287C" w:rsidRPr="006C287C">
        <w:rPr>
          <w:rFonts w:cs="Arial"/>
          <w:szCs w:val="22"/>
          <w:lang w:val="en-GB"/>
        </w:rPr>
        <w:t>: in July 2016</w:t>
      </w:r>
      <w:r w:rsidR="008257B7">
        <w:rPr>
          <w:rFonts w:cs="Arial"/>
          <w:szCs w:val="22"/>
          <w:lang w:val="en-GB"/>
        </w:rPr>
        <w:t>,</w:t>
      </w:r>
      <w:r w:rsidR="006C287C" w:rsidRPr="006C287C">
        <w:rPr>
          <w:rFonts w:cs="Arial"/>
          <w:szCs w:val="22"/>
          <w:lang w:val="en-GB"/>
        </w:rPr>
        <w:t xml:space="preserve"> the</w:t>
      </w:r>
      <w:r w:rsidR="001750CF">
        <w:rPr>
          <w:rFonts w:cs="Arial"/>
          <w:szCs w:val="22"/>
          <w:lang w:val="en-GB"/>
        </w:rPr>
        <w:t xml:space="preserve"> feed in tariffs (FiTs) </w:t>
      </w:r>
      <w:r w:rsidR="006158E1">
        <w:rPr>
          <w:rFonts w:cs="Arial"/>
          <w:szCs w:val="22"/>
          <w:lang w:val="en-GB"/>
        </w:rPr>
        <w:t>we</w:t>
      </w:r>
      <w:r w:rsidR="006C287C" w:rsidRPr="006C287C">
        <w:rPr>
          <w:rFonts w:cs="Arial"/>
          <w:szCs w:val="22"/>
          <w:lang w:val="en-GB"/>
        </w:rPr>
        <w:t xml:space="preserve">re equivalent to </w:t>
      </w:r>
      <w:r w:rsidR="006158E1" w:rsidRPr="006C287C">
        <w:rPr>
          <w:rFonts w:cs="Arial"/>
          <w:szCs w:val="22"/>
          <w:lang w:val="en-GB"/>
        </w:rPr>
        <w:t>US</w:t>
      </w:r>
      <w:r w:rsidR="006158E1">
        <w:rPr>
          <w:rFonts w:cs="Arial"/>
          <w:szCs w:val="22"/>
          <w:lang w:val="en-GB"/>
        </w:rPr>
        <w:t>$</w:t>
      </w:r>
      <w:r w:rsidR="006C287C" w:rsidRPr="006C287C">
        <w:rPr>
          <w:rFonts w:cs="Arial"/>
          <w:szCs w:val="22"/>
          <w:lang w:val="en-GB"/>
        </w:rPr>
        <w:t>0.067 for wind and US</w:t>
      </w:r>
      <w:r w:rsidR="006158E1">
        <w:rPr>
          <w:rFonts w:cs="Arial"/>
          <w:szCs w:val="22"/>
          <w:lang w:val="en-GB"/>
        </w:rPr>
        <w:t>$</w:t>
      </w:r>
      <w:r w:rsidR="006C287C" w:rsidRPr="006C287C">
        <w:rPr>
          <w:rFonts w:cs="Arial"/>
          <w:szCs w:val="22"/>
          <w:lang w:val="en-GB"/>
        </w:rPr>
        <w:t>0.102 for solar PV.</w:t>
      </w:r>
    </w:p>
    <w:p w14:paraId="547A7005" w14:textId="77777777" w:rsidR="00D81F7A" w:rsidRPr="00AE69B1" w:rsidRDefault="006C287C" w:rsidP="0020322F">
      <w:pPr>
        <w:pStyle w:val="a7"/>
        <w:numPr>
          <w:ilvl w:val="0"/>
          <w:numId w:val="9"/>
        </w:numPr>
        <w:tabs>
          <w:tab w:val="clear" w:pos="4153"/>
          <w:tab w:val="clear" w:pos="8306"/>
          <w:tab w:val="left" w:pos="426"/>
        </w:tabs>
        <w:spacing w:after="120"/>
        <w:ind w:left="0" w:right="17" w:firstLine="0"/>
        <w:rPr>
          <w:rFonts w:cs="Arial"/>
          <w:szCs w:val="22"/>
          <w:lang w:val="en-GB"/>
        </w:rPr>
      </w:pPr>
      <w:r w:rsidRPr="00AE69B1">
        <w:rPr>
          <w:rFonts w:cs="Arial"/>
          <w:szCs w:val="22"/>
          <w:lang w:val="en-GB"/>
        </w:rPr>
        <w:t xml:space="preserve">Currently, there are only </w:t>
      </w:r>
      <w:r w:rsidR="006158E1" w:rsidRPr="00780BCE">
        <w:rPr>
          <w:rFonts w:cs="Arial"/>
          <w:szCs w:val="22"/>
          <w:lang w:val="en-GB"/>
        </w:rPr>
        <w:t xml:space="preserve">two </w:t>
      </w:r>
      <w:r w:rsidRPr="00780BCE">
        <w:rPr>
          <w:rFonts w:cs="Arial"/>
          <w:szCs w:val="22"/>
          <w:lang w:val="en-GB"/>
        </w:rPr>
        <w:t xml:space="preserve">solar energy projects </w:t>
      </w:r>
      <w:r w:rsidR="006158E1" w:rsidRPr="00780BCE">
        <w:rPr>
          <w:rFonts w:cs="Arial"/>
          <w:szCs w:val="22"/>
          <w:lang w:val="en-GB"/>
        </w:rPr>
        <w:t xml:space="preserve">implemented </w:t>
      </w:r>
      <w:r w:rsidRPr="00780BCE">
        <w:rPr>
          <w:rFonts w:cs="Arial"/>
          <w:szCs w:val="22"/>
          <w:lang w:val="en-GB"/>
        </w:rPr>
        <w:t xml:space="preserve">in Kazakhstan: Kapshagay Solar Plant (Almaty Region) with </w:t>
      </w:r>
      <w:r w:rsidR="006158E1" w:rsidRPr="00780BCE">
        <w:rPr>
          <w:rFonts w:cs="Arial"/>
          <w:szCs w:val="22"/>
          <w:lang w:val="en-GB"/>
        </w:rPr>
        <w:t xml:space="preserve">a </w:t>
      </w:r>
      <w:r w:rsidRPr="00780BCE">
        <w:rPr>
          <w:rFonts w:cs="Arial"/>
          <w:szCs w:val="22"/>
          <w:lang w:val="en-GB"/>
        </w:rPr>
        <w:t>total capacity</w:t>
      </w:r>
      <w:r w:rsidR="006158E1" w:rsidRPr="00780BCE">
        <w:rPr>
          <w:rFonts w:cs="Arial"/>
          <w:szCs w:val="22"/>
          <w:lang w:val="en-GB"/>
        </w:rPr>
        <w:t xml:space="preserve"> of</w:t>
      </w:r>
      <w:r w:rsidRPr="00780BCE">
        <w:rPr>
          <w:rFonts w:cs="Arial"/>
          <w:szCs w:val="22"/>
          <w:lang w:val="en-GB"/>
        </w:rPr>
        <w:t xml:space="preserve"> 2 MW and Burnoye Solar Plant (Zhambul Region) with </w:t>
      </w:r>
      <w:r w:rsidR="006158E1" w:rsidRPr="00780BCE">
        <w:rPr>
          <w:rFonts w:cs="Arial"/>
          <w:szCs w:val="22"/>
          <w:lang w:val="en-GB"/>
        </w:rPr>
        <w:t xml:space="preserve">a </w:t>
      </w:r>
      <w:r w:rsidRPr="00780BCE">
        <w:rPr>
          <w:rFonts w:cs="Arial"/>
          <w:szCs w:val="22"/>
          <w:lang w:val="en-GB"/>
        </w:rPr>
        <w:t xml:space="preserve">total capacity </w:t>
      </w:r>
      <w:r w:rsidR="006158E1" w:rsidRPr="00780BCE">
        <w:rPr>
          <w:rFonts w:cs="Arial"/>
          <w:szCs w:val="22"/>
          <w:lang w:val="en-GB"/>
        </w:rPr>
        <w:t xml:space="preserve">of </w:t>
      </w:r>
      <w:r w:rsidRPr="00780BCE">
        <w:rPr>
          <w:rFonts w:cs="Arial"/>
          <w:szCs w:val="22"/>
          <w:lang w:val="en-GB"/>
        </w:rPr>
        <w:t xml:space="preserve">50 MW. Both projects are (co)-owned by the Samruk Kazyna Invest LLP, part of Samruk Kazyna, the state-owned Kazakh sovereign wealth fund. Burnoye Solar Plant is co-owned by the UK-based company United Green LLP and is funded by </w:t>
      </w:r>
      <w:r w:rsidR="007E6F1B" w:rsidRPr="00780BCE">
        <w:rPr>
          <w:rFonts w:cs="Arial"/>
          <w:szCs w:val="22"/>
          <w:lang w:val="en-GB"/>
        </w:rPr>
        <w:t xml:space="preserve">the </w:t>
      </w:r>
      <w:r w:rsidRPr="00780BCE">
        <w:rPr>
          <w:rFonts w:cs="Arial"/>
          <w:szCs w:val="22"/>
          <w:lang w:val="en-GB"/>
        </w:rPr>
        <w:t xml:space="preserve">European Bank for Reconstruction and </w:t>
      </w:r>
      <w:r w:rsidR="00C953AA" w:rsidRPr="00780BCE">
        <w:rPr>
          <w:rFonts w:cs="Arial"/>
          <w:szCs w:val="22"/>
          <w:lang w:val="en-GB"/>
        </w:rPr>
        <w:t>Development</w:t>
      </w:r>
      <w:r w:rsidRPr="00780BCE">
        <w:rPr>
          <w:rFonts w:cs="Arial"/>
          <w:szCs w:val="22"/>
          <w:lang w:val="en-GB"/>
        </w:rPr>
        <w:t xml:space="preserve"> (EBRD) and </w:t>
      </w:r>
      <w:r w:rsidR="007E6F1B" w:rsidRPr="00780BCE">
        <w:rPr>
          <w:rFonts w:cs="Arial"/>
          <w:szCs w:val="22"/>
          <w:lang w:val="en-GB"/>
        </w:rPr>
        <w:t xml:space="preserve">the </w:t>
      </w:r>
      <w:r w:rsidRPr="00780BCE">
        <w:rPr>
          <w:rFonts w:cs="Arial"/>
          <w:szCs w:val="22"/>
          <w:lang w:val="en-GB"/>
        </w:rPr>
        <w:t xml:space="preserve">Clean Technology Fund (CTF). According to </w:t>
      </w:r>
      <w:r w:rsidR="007E6F1B" w:rsidRPr="00780BCE">
        <w:rPr>
          <w:rFonts w:cs="Arial"/>
          <w:szCs w:val="22"/>
          <w:lang w:val="en-GB"/>
        </w:rPr>
        <w:t xml:space="preserve">the </w:t>
      </w:r>
      <w:r w:rsidRPr="00780BCE">
        <w:rPr>
          <w:rFonts w:cs="Arial"/>
          <w:szCs w:val="22"/>
          <w:lang w:val="en-GB"/>
        </w:rPr>
        <w:t>EBRD (2015), a loan of €70 million was provided by the bank, while €13.8 was covered by</w:t>
      </w:r>
      <w:r w:rsidR="007E6F1B" w:rsidRPr="00780BCE">
        <w:rPr>
          <w:rFonts w:cs="Arial"/>
          <w:szCs w:val="22"/>
          <w:lang w:val="en-GB"/>
        </w:rPr>
        <w:t xml:space="preserve"> the</w:t>
      </w:r>
      <w:r w:rsidRPr="00780BCE">
        <w:rPr>
          <w:rFonts w:cs="Arial"/>
          <w:szCs w:val="22"/>
          <w:lang w:val="en-GB"/>
        </w:rPr>
        <w:t xml:space="preserve"> CTF.</w:t>
      </w:r>
    </w:p>
    <w:p w14:paraId="78285292" w14:textId="77777777" w:rsidR="006C287C" w:rsidRPr="00780BCE" w:rsidRDefault="006C287C" w:rsidP="0020322F">
      <w:pPr>
        <w:pStyle w:val="a7"/>
        <w:numPr>
          <w:ilvl w:val="0"/>
          <w:numId w:val="9"/>
        </w:numPr>
        <w:tabs>
          <w:tab w:val="clear" w:pos="4153"/>
          <w:tab w:val="clear" w:pos="8306"/>
          <w:tab w:val="left" w:pos="426"/>
        </w:tabs>
        <w:spacing w:after="120"/>
        <w:ind w:left="0" w:right="17" w:firstLine="0"/>
        <w:rPr>
          <w:rFonts w:cs="Arial"/>
          <w:szCs w:val="22"/>
          <w:lang w:val="en-GB"/>
        </w:rPr>
      </w:pPr>
      <w:r w:rsidRPr="00780BCE">
        <w:rPr>
          <w:rFonts w:cs="Arial"/>
          <w:szCs w:val="22"/>
          <w:lang w:val="en-GB"/>
        </w:rPr>
        <w:t>Samruk Green Energy is developing two other solar projects (1 MW and 5 MW) within the framework of the Agreement between the Governments of Kazakhstan and China</w:t>
      </w:r>
      <w:r w:rsidR="007E6F1B" w:rsidRPr="00780BCE">
        <w:rPr>
          <w:rFonts w:cs="Arial"/>
          <w:szCs w:val="22"/>
          <w:lang w:val="en-GB"/>
        </w:rPr>
        <w:t>,</w:t>
      </w:r>
      <w:r w:rsidRPr="00780BCE">
        <w:rPr>
          <w:rFonts w:cs="Arial"/>
          <w:szCs w:val="22"/>
          <w:lang w:val="en-GB"/>
        </w:rPr>
        <w:t xml:space="preserve"> and is also considering expansion of </w:t>
      </w:r>
      <w:r w:rsidR="007E6F1B" w:rsidRPr="00780BCE">
        <w:rPr>
          <w:rFonts w:cs="Arial"/>
          <w:szCs w:val="22"/>
          <w:lang w:val="en-GB"/>
        </w:rPr>
        <w:t xml:space="preserve">the </w:t>
      </w:r>
      <w:r w:rsidRPr="00780BCE">
        <w:rPr>
          <w:rFonts w:cs="Arial"/>
          <w:szCs w:val="22"/>
          <w:lang w:val="en-GB"/>
        </w:rPr>
        <w:t xml:space="preserve">Kapshagay solar power plant </w:t>
      </w:r>
      <w:r w:rsidR="007E6F1B" w:rsidRPr="00780BCE">
        <w:rPr>
          <w:rFonts w:cs="Arial"/>
          <w:szCs w:val="22"/>
          <w:lang w:val="en-GB"/>
        </w:rPr>
        <w:t xml:space="preserve">by </w:t>
      </w:r>
      <w:r w:rsidRPr="00780BCE">
        <w:rPr>
          <w:rFonts w:cs="Arial"/>
          <w:szCs w:val="22"/>
          <w:lang w:val="en-GB"/>
        </w:rPr>
        <w:t>up to 50 MW (Kazeurope, 2016).</w:t>
      </w:r>
    </w:p>
    <w:p w14:paraId="3DF49450" w14:textId="77777777" w:rsidR="006C287C" w:rsidRPr="0007348D" w:rsidRDefault="006C287C" w:rsidP="0020322F">
      <w:pPr>
        <w:pStyle w:val="a7"/>
        <w:numPr>
          <w:ilvl w:val="0"/>
          <w:numId w:val="9"/>
        </w:numPr>
        <w:tabs>
          <w:tab w:val="clear" w:pos="4153"/>
          <w:tab w:val="clear" w:pos="8306"/>
          <w:tab w:val="left" w:pos="426"/>
          <w:tab w:val="left" w:pos="9356"/>
        </w:tabs>
        <w:spacing w:after="120"/>
        <w:ind w:left="0" w:right="17" w:firstLine="0"/>
        <w:rPr>
          <w:rFonts w:cs="Arial"/>
          <w:szCs w:val="22"/>
          <w:lang w:val="en-GB"/>
        </w:rPr>
      </w:pPr>
      <w:r w:rsidRPr="0007348D">
        <w:rPr>
          <w:rFonts w:cs="Arial"/>
          <w:szCs w:val="22"/>
          <w:lang w:val="en-GB"/>
        </w:rPr>
        <w:t xml:space="preserve">The current wind projects in Kazakhstan include: </w:t>
      </w:r>
    </w:p>
    <w:p w14:paraId="6AEAA2D7" w14:textId="77777777" w:rsidR="006C287C" w:rsidRPr="0007348D" w:rsidRDefault="006C287C" w:rsidP="0020322F">
      <w:pPr>
        <w:pStyle w:val="ColorfulList-Accent11"/>
        <w:widowControl w:val="0"/>
        <w:numPr>
          <w:ilvl w:val="0"/>
          <w:numId w:val="8"/>
        </w:numPr>
        <w:tabs>
          <w:tab w:val="left" w:pos="9356"/>
        </w:tabs>
        <w:autoSpaceDE w:val="0"/>
        <w:autoSpaceDN w:val="0"/>
        <w:adjustRightInd w:val="0"/>
        <w:snapToGrid/>
        <w:spacing w:after="240" w:line="300" w:lineRule="atLeast"/>
        <w:ind w:right="17"/>
        <w:contextualSpacing/>
        <w:rPr>
          <w:rFonts w:ascii="Calibri" w:hAnsi="Calibri" w:cs="Arial"/>
          <w:szCs w:val="22"/>
        </w:rPr>
      </w:pPr>
      <w:r w:rsidRPr="0007348D">
        <w:rPr>
          <w:rFonts w:ascii="Calibri" w:hAnsi="Calibri" w:cs="Arial"/>
          <w:szCs w:val="22"/>
        </w:rPr>
        <w:t xml:space="preserve">Ereymentau Wind Farm is a 50 MW project developed by Samruk Energy </w:t>
      </w:r>
      <w:r>
        <w:rPr>
          <w:rFonts w:ascii="Calibri" w:hAnsi="Calibri" w:cs="Arial"/>
          <w:szCs w:val="22"/>
        </w:rPr>
        <w:t>JSC</w:t>
      </w:r>
      <w:r w:rsidRPr="0007348D">
        <w:rPr>
          <w:rFonts w:ascii="Calibri" w:hAnsi="Calibri" w:cs="Arial"/>
          <w:szCs w:val="22"/>
        </w:rPr>
        <w:t xml:space="preserve"> using </w:t>
      </w:r>
      <w:r w:rsidR="00406513">
        <w:rPr>
          <w:rFonts w:ascii="Calibri" w:hAnsi="Calibri" w:cs="Arial"/>
          <w:szCs w:val="22"/>
        </w:rPr>
        <w:t>a</w:t>
      </w:r>
      <w:r w:rsidR="00406513" w:rsidRPr="0007348D">
        <w:rPr>
          <w:rFonts w:ascii="Calibri" w:hAnsi="Calibri" w:cs="Arial"/>
          <w:szCs w:val="22"/>
        </w:rPr>
        <w:t xml:space="preserve"> </w:t>
      </w:r>
      <w:r w:rsidRPr="0007348D">
        <w:rPr>
          <w:rFonts w:ascii="Calibri" w:hAnsi="Calibri" w:cs="Arial"/>
          <w:szCs w:val="22"/>
        </w:rPr>
        <w:t xml:space="preserve">loan from </w:t>
      </w:r>
      <w:r w:rsidR="007E6F1B">
        <w:rPr>
          <w:rFonts w:ascii="Calibri" w:hAnsi="Calibri" w:cs="Arial"/>
          <w:szCs w:val="22"/>
        </w:rPr>
        <w:t xml:space="preserve">the </w:t>
      </w:r>
      <w:r w:rsidRPr="0007348D">
        <w:rPr>
          <w:rFonts w:ascii="Calibri" w:hAnsi="Calibri" w:cs="Arial"/>
          <w:szCs w:val="22"/>
        </w:rPr>
        <w:t>EBRD and</w:t>
      </w:r>
      <w:r w:rsidR="00406513">
        <w:rPr>
          <w:rFonts w:ascii="Calibri" w:hAnsi="Calibri" w:cs="Arial"/>
          <w:szCs w:val="22"/>
        </w:rPr>
        <w:t xml:space="preserve"> the</w:t>
      </w:r>
      <w:r w:rsidRPr="0007348D">
        <w:rPr>
          <w:rFonts w:ascii="Calibri" w:hAnsi="Calibri" w:cs="Arial"/>
          <w:szCs w:val="22"/>
        </w:rPr>
        <w:t xml:space="preserve"> CTF. </w:t>
      </w:r>
      <w:r>
        <w:rPr>
          <w:rFonts w:ascii="Calibri" w:hAnsi="Calibri" w:cs="Arial"/>
          <w:szCs w:val="22"/>
        </w:rPr>
        <w:t xml:space="preserve">Samruk Energy is 100% owned by </w:t>
      </w:r>
      <w:r w:rsidR="00406513">
        <w:rPr>
          <w:rFonts w:ascii="Calibri" w:hAnsi="Calibri" w:cs="Arial"/>
          <w:szCs w:val="22"/>
        </w:rPr>
        <w:t xml:space="preserve">Samruk </w:t>
      </w:r>
      <w:r>
        <w:rPr>
          <w:rFonts w:ascii="Calibri" w:hAnsi="Calibri" w:cs="Arial"/>
          <w:szCs w:val="22"/>
        </w:rPr>
        <w:t>Kazyna.</w:t>
      </w:r>
    </w:p>
    <w:p w14:paraId="467613E2" w14:textId="77777777" w:rsidR="006C287C" w:rsidRPr="0007348D" w:rsidRDefault="006C287C" w:rsidP="0020322F">
      <w:pPr>
        <w:pStyle w:val="ColorfulList-Accent11"/>
        <w:widowControl w:val="0"/>
        <w:numPr>
          <w:ilvl w:val="0"/>
          <w:numId w:val="8"/>
        </w:numPr>
        <w:tabs>
          <w:tab w:val="left" w:pos="9356"/>
        </w:tabs>
        <w:autoSpaceDE w:val="0"/>
        <w:autoSpaceDN w:val="0"/>
        <w:adjustRightInd w:val="0"/>
        <w:snapToGrid/>
        <w:spacing w:after="240" w:line="300" w:lineRule="atLeast"/>
        <w:ind w:right="17"/>
        <w:contextualSpacing/>
        <w:rPr>
          <w:rFonts w:ascii="Calibri" w:hAnsi="Calibri" w:cs="Arial"/>
          <w:szCs w:val="22"/>
        </w:rPr>
      </w:pPr>
      <w:r w:rsidRPr="0007348D">
        <w:rPr>
          <w:rFonts w:ascii="Calibri" w:hAnsi="Calibri" w:cs="Arial"/>
          <w:szCs w:val="22"/>
        </w:rPr>
        <w:t xml:space="preserve">Kordai Wind Farm is a 21 MW project developed by Vista International using measurements and feasibility studies completed by </w:t>
      </w:r>
      <w:r w:rsidR="007E6F1B">
        <w:rPr>
          <w:rFonts w:ascii="Calibri" w:hAnsi="Calibri" w:cs="Arial"/>
          <w:szCs w:val="22"/>
        </w:rPr>
        <w:t xml:space="preserve">the </w:t>
      </w:r>
      <w:r w:rsidRPr="0007348D">
        <w:rPr>
          <w:rFonts w:ascii="Calibri" w:hAnsi="Calibri" w:cs="Arial"/>
          <w:szCs w:val="22"/>
        </w:rPr>
        <w:t>UNDP ‘Kazakhstan – Wind Power Market Development Initiative’ Project. The project finance consisted of KZT 450 million of equity and KZT 3 billion of debt (Forbes Kazakhstan 2014).</w:t>
      </w:r>
    </w:p>
    <w:p w14:paraId="3AE58FA8" w14:textId="665761B8" w:rsidR="006C287C" w:rsidRPr="00952CE3" w:rsidRDefault="008257B7" w:rsidP="0020322F">
      <w:pPr>
        <w:pStyle w:val="a7"/>
        <w:numPr>
          <w:ilvl w:val="0"/>
          <w:numId w:val="9"/>
        </w:numPr>
        <w:tabs>
          <w:tab w:val="clear" w:pos="4153"/>
          <w:tab w:val="clear" w:pos="8306"/>
          <w:tab w:val="left" w:pos="426"/>
        </w:tabs>
        <w:spacing w:after="120"/>
        <w:ind w:left="0" w:right="17" w:firstLine="0"/>
        <w:rPr>
          <w:rFonts w:cs="Arial"/>
          <w:szCs w:val="22"/>
          <w:lang w:val="en-GB"/>
        </w:rPr>
      </w:pPr>
      <w:r>
        <w:rPr>
          <w:rFonts w:cs="Arial"/>
          <w:szCs w:val="22"/>
          <w:lang w:val="en-GB"/>
        </w:rPr>
        <w:t>A</w:t>
      </w:r>
      <w:r w:rsidR="006C287C" w:rsidRPr="0007348D">
        <w:rPr>
          <w:rFonts w:cs="Arial"/>
          <w:szCs w:val="22"/>
          <w:lang w:val="en-GB"/>
        </w:rPr>
        <w:t>nother wind energy project</w:t>
      </w:r>
      <w:r>
        <w:rPr>
          <w:rFonts w:cs="Arial"/>
          <w:szCs w:val="22"/>
          <w:lang w:val="en-GB"/>
        </w:rPr>
        <w:t>,</w:t>
      </w:r>
      <w:r w:rsidR="006C287C" w:rsidRPr="0007348D">
        <w:rPr>
          <w:rFonts w:cs="Arial"/>
          <w:szCs w:val="22"/>
          <w:lang w:val="en-GB"/>
        </w:rPr>
        <w:t xml:space="preserve"> under construction in Shuisk Region with </w:t>
      </w:r>
      <w:r w:rsidR="007E6F1B">
        <w:rPr>
          <w:rFonts w:cs="Arial"/>
          <w:szCs w:val="22"/>
          <w:lang w:val="en-GB"/>
        </w:rPr>
        <w:t xml:space="preserve">a </w:t>
      </w:r>
      <w:r w:rsidR="006C287C" w:rsidRPr="0007348D">
        <w:rPr>
          <w:rFonts w:cs="Arial"/>
          <w:szCs w:val="22"/>
          <w:lang w:val="en-GB"/>
        </w:rPr>
        <w:t xml:space="preserve">total capacity </w:t>
      </w:r>
      <w:r w:rsidR="007E6F1B">
        <w:rPr>
          <w:rFonts w:cs="Arial"/>
          <w:szCs w:val="22"/>
          <w:lang w:val="en-GB"/>
        </w:rPr>
        <w:t xml:space="preserve">of </w:t>
      </w:r>
      <w:r w:rsidR="006C287C" w:rsidRPr="0007348D">
        <w:rPr>
          <w:rFonts w:cs="Arial"/>
          <w:szCs w:val="22"/>
          <w:lang w:val="en-GB"/>
        </w:rPr>
        <w:t>100 MW (Kazeurope, 2016), is going to be launched at the Expo 2017. The FiT</w:t>
      </w:r>
      <w:r w:rsidR="007F671B" w:rsidRPr="00A34DA5">
        <w:rPr>
          <w:rFonts w:cs="Arial"/>
          <w:vertAlign w:val="superscript"/>
        </w:rPr>
        <w:footnoteReference w:id="3"/>
      </w:r>
      <w:r w:rsidR="006C287C" w:rsidRPr="0007348D">
        <w:rPr>
          <w:rFonts w:cs="Arial"/>
          <w:szCs w:val="22"/>
          <w:lang w:val="en-GB"/>
        </w:rPr>
        <w:t xml:space="preserve"> for this project has been agreed in conjunction with Resolution 148 of March 2015 and </w:t>
      </w:r>
      <w:r w:rsidR="00406513">
        <w:rPr>
          <w:rFonts w:cs="Arial"/>
          <w:szCs w:val="22"/>
          <w:lang w:val="en-GB"/>
        </w:rPr>
        <w:t xml:space="preserve">is </w:t>
      </w:r>
      <w:r w:rsidR="006C287C" w:rsidRPr="0007348D">
        <w:rPr>
          <w:rFonts w:cs="Arial"/>
          <w:szCs w:val="22"/>
          <w:lang w:val="en-GB"/>
        </w:rPr>
        <w:t xml:space="preserve">set </w:t>
      </w:r>
      <w:r w:rsidR="007E6F1B">
        <w:rPr>
          <w:rFonts w:cs="Arial"/>
          <w:szCs w:val="22"/>
          <w:lang w:val="en-GB"/>
        </w:rPr>
        <w:t>three</w:t>
      </w:r>
      <w:r w:rsidR="007E6F1B" w:rsidRPr="0007348D">
        <w:rPr>
          <w:rFonts w:cs="Arial"/>
          <w:szCs w:val="22"/>
          <w:lang w:val="en-GB"/>
        </w:rPr>
        <w:t xml:space="preserve"> </w:t>
      </w:r>
      <w:r w:rsidR="006C287C" w:rsidRPr="0007348D">
        <w:rPr>
          <w:rFonts w:cs="Arial"/>
          <w:szCs w:val="22"/>
          <w:lang w:val="en-GB"/>
        </w:rPr>
        <w:t xml:space="preserve">times higher </w:t>
      </w:r>
      <w:r w:rsidR="006C287C">
        <w:rPr>
          <w:rFonts w:cs="Arial"/>
          <w:szCs w:val="22"/>
          <w:lang w:val="en-GB"/>
        </w:rPr>
        <w:t>than the usual tariff</w:t>
      </w:r>
      <w:r w:rsidR="006C287C" w:rsidRPr="0007348D">
        <w:rPr>
          <w:rFonts w:cs="Arial"/>
          <w:szCs w:val="22"/>
          <w:lang w:val="en-GB"/>
        </w:rPr>
        <w:t xml:space="preserve">. </w:t>
      </w:r>
    </w:p>
    <w:p w14:paraId="13C4EF9C" w14:textId="77777777" w:rsidR="00642018" w:rsidRDefault="007E6F1B" w:rsidP="0020322F">
      <w:pPr>
        <w:pStyle w:val="a7"/>
        <w:numPr>
          <w:ilvl w:val="0"/>
          <w:numId w:val="9"/>
        </w:numPr>
        <w:tabs>
          <w:tab w:val="clear" w:pos="4153"/>
          <w:tab w:val="clear" w:pos="8306"/>
          <w:tab w:val="left" w:pos="426"/>
        </w:tabs>
        <w:spacing w:after="120"/>
        <w:ind w:left="0" w:right="107" w:firstLine="0"/>
        <w:rPr>
          <w:rFonts w:cs="Arial"/>
          <w:szCs w:val="22"/>
          <w:lang w:val="en-GB"/>
        </w:rPr>
      </w:pPr>
      <w:r>
        <w:rPr>
          <w:rFonts w:cs="Arial"/>
          <w:szCs w:val="22"/>
          <w:lang w:val="en-GB"/>
        </w:rPr>
        <w:t>A</w:t>
      </w:r>
      <w:r w:rsidR="00A54B94" w:rsidRPr="003C5C01">
        <w:rPr>
          <w:rFonts w:cs="Arial"/>
          <w:szCs w:val="22"/>
          <w:lang w:val="en-GB"/>
        </w:rPr>
        <w:t xml:space="preserve"> variety of investment risks associated with early-stage renewable energy prevent</w:t>
      </w:r>
      <w:r w:rsidR="00417213">
        <w:rPr>
          <w:rFonts w:cs="Arial"/>
          <w:szCs w:val="22"/>
          <w:lang w:val="en-GB"/>
        </w:rPr>
        <w:t>s</w:t>
      </w:r>
      <w:r w:rsidR="00A54B94" w:rsidRPr="003C5C01">
        <w:rPr>
          <w:rFonts w:cs="Arial"/>
          <w:szCs w:val="22"/>
          <w:lang w:val="en-GB"/>
        </w:rPr>
        <w:t xml:space="preserve"> </w:t>
      </w:r>
      <w:r w:rsidR="00417213">
        <w:rPr>
          <w:rFonts w:cs="Arial"/>
          <w:szCs w:val="22"/>
          <w:lang w:val="en-GB"/>
        </w:rPr>
        <w:t xml:space="preserve">the growth of the </w:t>
      </w:r>
      <w:r w:rsidR="00A54B94" w:rsidRPr="003C5C01">
        <w:rPr>
          <w:rFonts w:cs="Arial"/>
          <w:szCs w:val="22"/>
          <w:lang w:val="en-GB"/>
        </w:rPr>
        <w:t xml:space="preserve">renewable energy market in Kazakhstan. </w:t>
      </w:r>
      <w:r w:rsidR="005F4374">
        <w:rPr>
          <w:rFonts w:cs="Arial"/>
          <w:szCs w:val="22"/>
          <w:lang w:val="en-GB"/>
        </w:rPr>
        <w:t>As outlined in the section below, t</w:t>
      </w:r>
      <w:r w:rsidR="00A54B94" w:rsidRPr="003C5C01">
        <w:rPr>
          <w:rFonts w:cs="Arial"/>
          <w:szCs w:val="22"/>
          <w:lang w:val="en-GB"/>
        </w:rPr>
        <w:t xml:space="preserve">he </w:t>
      </w:r>
      <w:r w:rsidR="00417213">
        <w:rPr>
          <w:rFonts w:cs="Arial"/>
          <w:szCs w:val="22"/>
          <w:lang w:val="en-GB"/>
        </w:rPr>
        <w:t>‘</w:t>
      </w:r>
      <w:r w:rsidR="00A54B94" w:rsidRPr="003C5C01">
        <w:rPr>
          <w:rFonts w:cs="Arial"/>
          <w:szCs w:val="22"/>
          <w:lang w:val="en-GB"/>
        </w:rPr>
        <w:t>Derisking Renewable Energy Investment</w:t>
      </w:r>
      <w:r w:rsidR="00417213">
        <w:rPr>
          <w:rFonts w:cs="Arial"/>
          <w:szCs w:val="22"/>
          <w:lang w:val="en-GB"/>
        </w:rPr>
        <w:t>’</w:t>
      </w:r>
      <w:r w:rsidR="00A54B94" w:rsidRPr="003C5C01">
        <w:rPr>
          <w:rFonts w:cs="Arial"/>
          <w:szCs w:val="22"/>
          <w:lang w:val="en-GB"/>
        </w:rPr>
        <w:t xml:space="preserve"> (DREI) methodology, developed by UNDP</w:t>
      </w:r>
      <w:r w:rsidR="00A54B94" w:rsidRPr="00394761">
        <w:rPr>
          <w:rFonts w:cs="Arial"/>
          <w:szCs w:val="22"/>
          <w:vertAlign w:val="superscript"/>
          <w:lang w:val="en-GB"/>
        </w:rPr>
        <w:footnoteReference w:id="4"/>
      </w:r>
      <w:r w:rsidR="00A54B94" w:rsidRPr="003C5C01">
        <w:rPr>
          <w:rFonts w:cs="Arial"/>
          <w:szCs w:val="22"/>
          <w:lang w:val="en-GB"/>
        </w:rPr>
        <w:t xml:space="preserve">, has been applied in the design of this project to identify and understand the main categories of risks and underlying barriers for investment in both large/utility-scale </w:t>
      </w:r>
      <w:r w:rsidR="005F4374">
        <w:rPr>
          <w:rFonts w:cs="Arial"/>
          <w:szCs w:val="22"/>
          <w:lang w:val="en-GB"/>
        </w:rPr>
        <w:t>renewable energy</w:t>
      </w:r>
      <w:r w:rsidR="005F4374" w:rsidRPr="003C5C01">
        <w:rPr>
          <w:rFonts w:cs="Arial"/>
          <w:szCs w:val="22"/>
          <w:lang w:val="en-GB"/>
        </w:rPr>
        <w:t xml:space="preserve"> </w:t>
      </w:r>
      <w:r w:rsidR="00A54B94" w:rsidRPr="003C5C01">
        <w:rPr>
          <w:rFonts w:cs="Arial"/>
          <w:szCs w:val="22"/>
          <w:lang w:val="en-GB"/>
        </w:rPr>
        <w:t xml:space="preserve">projects and decentralized small-scale (off-grid and on-grid) </w:t>
      </w:r>
      <w:r w:rsidR="005F4374">
        <w:rPr>
          <w:rFonts w:cs="Arial"/>
          <w:szCs w:val="22"/>
          <w:lang w:val="en-GB"/>
        </w:rPr>
        <w:t>renewable energy</w:t>
      </w:r>
      <w:r w:rsidR="005F4374" w:rsidRPr="003C5C01">
        <w:rPr>
          <w:rFonts w:cs="Arial"/>
          <w:szCs w:val="22"/>
          <w:lang w:val="en-GB"/>
        </w:rPr>
        <w:t xml:space="preserve"> </w:t>
      </w:r>
      <w:r w:rsidR="00A54B94" w:rsidRPr="003C5C01">
        <w:rPr>
          <w:rFonts w:cs="Arial"/>
          <w:szCs w:val="22"/>
          <w:lang w:val="en-GB"/>
        </w:rPr>
        <w:t>applications.</w:t>
      </w:r>
    </w:p>
    <w:p w14:paraId="0528E368" w14:textId="77777777" w:rsidR="00A7707D" w:rsidRPr="004622EC" w:rsidRDefault="00A7707D" w:rsidP="001C06C5">
      <w:pPr>
        <w:pStyle w:val="a7"/>
        <w:tabs>
          <w:tab w:val="clear" w:pos="4153"/>
          <w:tab w:val="clear" w:pos="8306"/>
          <w:tab w:val="left" w:pos="426"/>
        </w:tabs>
        <w:spacing w:after="120"/>
        <w:ind w:right="107"/>
        <w:rPr>
          <w:rFonts w:cs="Arial"/>
          <w:b/>
          <w:i/>
          <w:sz w:val="28"/>
          <w:szCs w:val="22"/>
          <w:lang w:val="en-GB"/>
        </w:rPr>
      </w:pPr>
      <w:r w:rsidRPr="004622EC">
        <w:rPr>
          <w:rFonts w:cs="Arial"/>
          <w:b/>
          <w:i/>
          <w:sz w:val="28"/>
          <w:szCs w:val="22"/>
          <w:lang w:val="en-GB"/>
        </w:rPr>
        <w:t>DREI Analysis</w:t>
      </w:r>
    </w:p>
    <w:p w14:paraId="0CA8B4F2" w14:textId="77777777" w:rsidR="00A34DA5" w:rsidRDefault="00642018" w:rsidP="0020322F">
      <w:pPr>
        <w:pStyle w:val="a7"/>
        <w:numPr>
          <w:ilvl w:val="0"/>
          <w:numId w:val="9"/>
        </w:numPr>
        <w:tabs>
          <w:tab w:val="clear" w:pos="4153"/>
          <w:tab w:val="clear" w:pos="8306"/>
          <w:tab w:val="left" w:pos="426"/>
        </w:tabs>
        <w:spacing w:after="120"/>
        <w:ind w:left="0" w:right="107" w:firstLine="0"/>
        <w:rPr>
          <w:rFonts w:cs="Arial"/>
          <w:szCs w:val="22"/>
          <w:lang w:val="en-GB"/>
        </w:rPr>
      </w:pPr>
      <w:r w:rsidRPr="006124E2">
        <w:rPr>
          <w:rFonts w:cs="Arial"/>
          <w:szCs w:val="22"/>
          <w:lang w:val="en-GB"/>
        </w:rPr>
        <w:t xml:space="preserve"> </w:t>
      </w:r>
      <w:r w:rsidR="00FA0506" w:rsidRPr="006124E2">
        <w:rPr>
          <w:rFonts w:cs="Arial"/>
          <w:szCs w:val="22"/>
          <w:lang w:val="en-GB"/>
        </w:rPr>
        <w:t xml:space="preserve">In 2013, UNDP issued the Derisking Renewable Energy Investment report (the “DREI report”) </w:t>
      </w:r>
      <w:r w:rsidR="005F4374" w:rsidRPr="00663CDE">
        <w:rPr>
          <w:rFonts w:cs="Arial"/>
          <w:szCs w:val="22"/>
          <w:lang w:val="en-GB"/>
        </w:rPr>
        <w:t>(Waissbein et al., 2013)</w:t>
      </w:r>
      <w:r w:rsidR="005F4374">
        <w:rPr>
          <w:rFonts w:cs="Arial"/>
          <w:szCs w:val="22"/>
          <w:lang w:val="en-GB"/>
        </w:rPr>
        <w:t xml:space="preserve"> that</w:t>
      </w:r>
      <w:r w:rsidR="00FA0506" w:rsidRPr="006124E2">
        <w:rPr>
          <w:rFonts w:cs="Arial"/>
          <w:szCs w:val="22"/>
          <w:lang w:val="en-GB"/>
        </w:rPr>
        <w:t xml:space="preserve"> introduced an innovative methodology (the “DREI methodology”), with an accompanying financial tool in Microsoft Excel, to quantitatively compare the cost-effectiveness of different public instruments in promoting </w:t>
      </w:r>
      <w:r w:rsidR="00A34DA5">
        <w:rPr>
          <w:rFonts w:cs="Arial"/>
          <w:szCs w:val="22"/>
          <w:lang w:val="en-GB"/>
        </w:rPr>
        <w:t xml:space="preserve">utility-scale </w:t>
      </w:r>
      <w:r w:rsidR="00FA0506" w:rsidRPr="006124E2">
        <w:rPr>
          <w:rFonts w:cs="Arial"/>
          <w:szCs w:val="22"/>
          <w:lang w:val="en-GB"/>
        </w:rPr>
        <w:t>renewable energy investment</w:t>
      </w:r>
      <w:r w:rsidR="00A34DA5">
        <w:rPr>
          <w:rFonts w:cs="Arial"/>
          <w:szCs w:val="22"/>
          <w:lang w:val="en-GB"/>
        </w:rPr>
        <w:t>s</w:t>
      </w:r>
      <w:r w:rsidR="00FA0506" w:rsidRPr="006124E2">
        <w:rPr>
          <w:rFonts w:cs="Arial"/>
          <w:szCs w:val="22"/>
          <w:lang w:val="en-GB"/>
        </w:rPr>
        <w:t xml:space="preserve">. </w:t>
      </w:r>
      <w:r w:rsidR="00FA0506" w:rsidRPr="00A7707D">
        <w:rPr>
          <w:rFonts w:cs="Arial"/>
          <w:szCs w:val="22"/>
          <w:lang w:val="en-GB"/>
        </w:rPr>
        <w:t xml:space="preserve">The DREI methodology is designed to be tailored to a specific renewable energy technology and national context. </w:t>
      </w:r>
    </w:p>
    <w:p w14:paraId="3F32692D" w14:textId="77777777" w:rsidR="00A34DA5" w:rsidRPr="00A34DA5" w:rsidRDefault="00A34DA5" w:rsidP="0020322F">
      <w:pPr>
        <w:pStyle w:val="a7"/>
        <w:numPr>
          <w:ilvl w:val="0"/>
          <w:numId w:val="9"/>
        </w:numPr>
        <w:tabs>
          <w:tab w:val="clear" w:pos="4153"/>
          <w:tab w:val="clear" w:pos="8306"/>
          <w:tab w:val="left" w:pos="426"/>
        </w:tabs>
        <w:spacing w:after="120"/>
        <w:ind w:left="0" w:right="107" w:firstLine="0"/>
        <w:rPr>
          <w:rFonts w:cs="Arial"/>
          <w:szCs w:val="22"/>
          <w:lang w:val="en-GB"/>
        </w:rPr>
      </w:pPr>
      <w:r w:rsidRPr="00A34DA5">
        <w:rPr>
          <w:rFonts w:cs="Arial"/>
          <w:szCs w:val="22"/>
          <w:lang w:val="en-GB"/>
        </w:rPr>
        <w:t xml:space="preserve">A key focus of the DREI methodology is on financing costs for renewable energy. While technology costs for renewable energy have fallen dramatically in recent years, private sector investors in renewable energy in developing countries still face high financing costs (both for equity and debt). These high financing costs reflect a range of technical, regulatory, financial and informational barriers and their associated investment risks. Investors in early-stage renewable energy markets, such as those of many developing countries, require a high rate of return to compensate for these risks. </w:t>
      </w:r>
    </w:p>
    <w:p w14:paraId="0BF9C535" w14:textId="77777777" w:rsidR="00A34DA5" w:rsidRPr="00F879E1" w:rsidRDefault="00A34DA5" w:rsidP="0020322F">
      <w:pPr>
        <w:pStyle w:val="a7"/>
        <w:numPr>
          <w:ilvl w:val="0"/>
          <w:numId w:val="9"/>
        </w:numPr>
        <w:tabs>
          <w:tab w:val="clear" w:pos="4153"/>
          <w:tab w:val="clear" w:pos="8306"/>
          <w:tab w:val="left" w:pos="426"/>
        </w:tabs>
        <w:spacing w:after="120"/>
        <w:ind w:left="0" w:right="107" w:firstLine="0"/>
        <w:rPr>
          <w:rFonts w:asciiTheme="majorHAnsi" w:hAnsiTheme="majorHAnsi" w:cstheme="majorHAnsi"/>
          <w:b/>
          <w:szCs w:val="22"/>
        </w:rPr>
      </w:pPr>
      <w:r w:rsidRPr="00A34DA5">
        <w:rPr>
          <w:rFonts w:cs="Arial"/>
          <w:szCs w:val="22"/>
          <w:lang w:val="en-GB"/>
        </w:rPr>
        <w:t>In seeking to create an enabled environment for private sector renewable energy investment, policy-makers typically implement a package of public instruments. From a financial perspective, the public instrument package aims to achieve a risk-return profile for renewable energy that can cost-effectively attract</w:t>
      </w:r>
      <w:r>
        <w:rPr>
          <w:rFonts w:cs="Arial"/>
          <w:szCs w:val="22"/>
          <w:lang w:val="en-GB"/>
        </w:rPr>
        <w:t xml:space="preserve"> private sector </w:t>
      </w:r>
      <w:r w:rsidRPr="00A34DA5">
        <w:rPr>
          <w:rFonts w:cs="Arial"/>
          <w:szCs w:val="22"/>
          <w:lang w:val="en-GB"/>
        </w:rPr>
        <w:t xml:space="preserve">capital. </w:t>
      </w:r>
      <w:r w:rsidRPr="00A34DA5">
        <w:rPr>
          <w:rFonts w:cs="Arial"/>
          <w:szCs w:val="22"/>
          <w:lang w:val="en-GB"/>
        </w:rPr>
        <w:fldChar w:fldCharType="begin"/>
      </w:r>
      <w:r w:rsidRPr="00A34DA5">
        <w:rPr>
          <w:rFonts w:cs="Arial"/>
          <w:szCs w:val="22"/>
          <w:lang w:val="en-GB"/>
        </w:rPr>
        <w:instrText xml:space="preserve"> REF _Ref467058875 \h </w:instrText>
      </w:r>
      <w:r>
        <w:rPr>
          <w:rFonts w:cs="Arial"/>
          <w:szCs w:val="22"/>
          <w:lang w:val="en-GB"/>
        </w:rPr>
        <w:instrText xml:space="preserve"> \* MERGEFORMAT </w:instrText>
      </w:r>
      <w:r w:rsidRPr="00A34DA5">
        <w:rPr>
          <w:rFonts w:cs="Arial"/>
          <w:szCs w:val="22"/>
          <w:lang w:val="en-GB"/>
        </w:rPr>
      </w:r>
      <w:r w:rsidRPr="00A34DA5">
        <w:rPr>
          <w:rFonts w:cs="Arial"/>
          <w:szCs w:val="22"/>
          <w:lang w:val="en-GB"/>
        </w:rPr>
        <w:fldChar w:fldCharType="separate"/>
      </w:r>
      <w:r w:rsidR="00921873" w:rsidRPr="00921873">
        <w:rPr>
          <w:szCs w:val="22"/>
        </w:rPr>
        <w:t xml:space="preserve">Figure </w:t>
      </w:r>
      <w:r w:rsidR="00921873" w:rsidRPr="00921873">
        <w:rPr>
          <w:noProof/>
          <w:szCs w:val="22"/>
        </w:rPr>
        <w:t>3</w:t>
      </w:r>
      <w:r w:rsidRPr="00A34DA5">
        <w:rPr>
          <w:rFonts w:cs="Arial"/>
          <w:szCs w:val="22"/>
          <w:lang w:val="en-GB"/>
        </w:rPr>
        <w:fldChar w:fldCharType="end"/>
      </w:r>
      <w:r w:rsidRPr="00A34DA5">
        <w:rPr>
          <w:rFonts w:cs="Arial"/>
          <w:szCs w:val="22"/>
          <w:lang w:val="en-GB"/>
        </w:rPr>
        <w:t xml:space="preserve"> below, from the original DREI report, identifies the four key components of a public instrument package that can address this risk-return profile. </w:t>
      </w:r>
    </w:p>
    <w:p w14:paraId="080F3E46" w14:textId="77777777" w:rsidR="00A34DA5" w:rsidRPr="004D7E76" w:rsidRDefault="00A34DA5" w:rsidP="00A34DA5">
      <w:pPr>
        <w:jc w:val="center"/>
        <w:rPr>
          <w:rFonts w:ascii="Arial" w:hAnsi="Arial" w:cs="Arial"/>
          <w:sz w:val="20"/>
          <w:szCs w:val="20"/>
        </w:rPr>
      </w:pPr>
      <w:r w:rsidRPr="00F75482">
        <w:rPr>
          <w:rFonts w:ascii="Arial" w:hAnsi="Arial" w:cs="Arial"/>
          <w:noProof/>
          <w:sz w:val="20"/>
          <w:szCs w:val="20"/>
        </w:rPr>
        <w:drawing>
          <wp:inline distT="0" distB="0" distL="0" distR="0" wp14:anchorId="62BD3499" wp14:editId="0F97B47E">
            <wp:extent cx="5449022" cy="3235358"/>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518" t="25111" r="14691" b="15778"/>
                    <a:stretch/>
                  </pic:blipFill>
                  <pic:spPr bwMode="auto">
                    <a:xfrm>
                      <a:off x="0" y="0"/>
                      <a:ext cx="5470461" cy="3248088"/>
                    </a:xfrm>
                    <a:prstGeom prst="rect">
                      <a:avLst/>
                    </a:prstGeom>
                    <a:noFill/>
                    <a:ln>
                      <a:noFill/>
                    </a:ln>
                    <a:extLst>
                      <a:ext uri="{53640926-AAD7-44D8-BBD7-CCE9431645EC}">
                        <a14:shadowObscured xmlns:a14="http://schemas.microsoft.com/office/drawing/2010/main"/>
                      </a:ext>
                    </a:extLst>
                  </pic:spPr>
                </pic:pic>
              </a:graphicData>
            </a:graphic>
          </wp:inline>
        </w:drawing>
      </w:r>
    </w:p>
    <w:p w14:paraId="4BD4C9DD" w14:textId="77777777" w:rsidR="00A34DA5" w:rsidRDefault="00A34DA5" w:rsidP="00863DD5">
      <w:pPr>
        <w:pStyle w:val="aff3"/>
      </w:pPr>
      <w:bookmarkStart w:id="15" w:name="_Ref467058875"/>
      <w:bookmarkStart w:id="16" w:name="_Toc479693923"/>
      <w:r w:rsidRPr="007241CF">
        <w:t xml:space="preserve">Figure </w:t>
      </w:r>
      <w:r w:rsidR="00AA15A7">
        <w:fldChar w:fldCharType="begin"/>
      </w:r>
      <w:r w:rsidR="00AA15A7">
        <w:instrText xml:space="preserve"> SEQ Figure \* ARABIC </w:instrText>
      </w:r>
      <w:r w:rsidR="00AA15A7">
        <w:fldChar w:fldCharType="separate"/>
      </w:r>
      <w:r w:rsidR="00921873">
        <w:rPr>
          <w:noProof/>
        </w:rPr>
        <w:t>3</w:t>
      </w:r>
      <w:r w:rsidR="00AA15A7">
        <w:rPr>
          <w:noProof/>
        </w:rPr>
        <w:fldChar w:fldCharType="end"/>
      </w:r>
      <w:bookmarkEnd w:id="15"/>
      <w:r w:rsidRPr="007241CF">
        <w:t xml:space="preserve">: </w:t>
      </w:r>
      <w:r w:rsidRPr="00227FBA">
        <w:t>Typical components of a public instrument package for large-scale renewable energy</w:t>
      </w:r>
      <w:bookmarkEnd w:id="16"/>
      <w:r w:rsidRPr="007241CF">
        <w:t xml:space="preserve"> </w:t>
      </w:r>
    </w:p>
    <w:p w14:paraId="3D50F33C" w14:textId="77777777" w:rsidR="00A34DA5" w:rsidRPr="004346AE" w:rsidRDefault="00A34DA5" w:rsidP="004346AE">
      <w:pPr>
        <w:ind w:left="720"/>
        <w:rPr>
          <w:sz w:val="21"/>
        </w:rPr>
      </w:pPr>
      <w:r w:rsidRPr="004346AE">
        <w:rPr>
          <w:sz w:val="21"/>
        </w:rPr>
        <w:t>Source: Derisking Renewable Energy Investment (UNDP, 2013)</w:t>
      </w:r>
    </w:p>
    <w:p w14:paraId="6590175E" w14:textId="77777777" w:rsidR="00F879E1" w:rsidRPr="004622EC" w:rsidRDefault="00F879E1" w:rsidP="00A34DA5">
      <w:pPr>
        <w:ind w:left="360"/>
        <w:rPr>
          <w:sz w:val="21"/>
        </w:rPr>
      </w:pPr>
    </w:p>
    <w:p w14:paraId="63DD516E" w14:textId="77777777" w:rsidR="00A34DA5" w:rsidRPr="00A34DA5" w:rsidRDefault="00A34DA5" w:rsidP="0020322F">
      <w:pPr>
        <w:pStyle w:val="a7"/>
        <w:numPr>
          <w:ilvl w:val="0"/>
          <w:numId w:val="9"/>
        </w:numPr>
        <w:tabs>
          <w:tab w:val="clear" w:pos="4153"/>
          <w:tab w:val="clear" w:pos="8306"/>
          <w:tab w:val="left" w:pos="426"/>
        </w:tabs>
        <w:spacing w:before="120" w:after="120"/>
        <w:ind w:left="0" w:right="107" w:firstLine="0"/>
        <w:rPr>
          <w:rFonts w:cs="Arial"/>
          <w:szCs w:val="22"/>
          <w:lang w:val="en-GB"/>
        </w:rPr>
      </w:pPr>
      <w:r w:rsidRPr="00A34DA5">
        <w:rPr>
          <w:rFonts w:cs="Arial"/>
          <w:szCs w:val="22"/>
          <w:lang w:val="en-GB"/>
        </w:rPr>
        <w:t>The cornerstone instrument is the centrepiece of any public instrument package. For large-scale renewable energy, the cornerstone instrument is typically a Feed-in Tariff (FiT) or a tendering process, either of which allows independent power producers (IPPs) to enter into long-term (e.g. 15-20 year) power purchase agreements (PPAs) for the sale of their electricity. The cornerstone instrument can then be complemented by three core types of public instruments:</w:t>
      </w:r>
    </w:p>
    <w:p w14:paraId="3C89D276" w14:textId="77777777" w:rsidR="00A34DA5" w:rsidRPr="00A34DA5" w:rsidRDefault="00A34DA5" w:rsidP="0020322F">
      <w:pPr>
        <w:pStyle w:val="a7"/>
        <w:numPr>
          <w:ilvl w:val="0"/>
          <w:numId w:val="9"/>
        </w:numPr>
        <w:tabs>
          <w:tab w:val="clear" w:pos="4153"/>
          <w:tab w:val="clear" w:pos="8306"/>
          <w:tab w:val="left" w:pos="426"/>
        </w:tabs>
        <w:spacing w:after="120"/>
        <w:ind w:left="0" w:right="107" w:firstLine="0"/>
        <w:rPr>
          <w:rFonts w:cs="Arial"/>
          <w:szCs w:val="22"/>
          <w:lang w:val="en-GB"/>
        </w:rPr>
      </w:pPr>
      <w:r w:rsidRPr="00A34DA5">
        <w:rPr>
          <w:rFonts w:cs="Arial"/>
          <w:szCs w:val="22"/>
          <w:lang w:val="en-GB"/>
        </w:rPr>
        <w:t>Instruments that reduce risk, by addressing the underlying barriers that are the root causes of investment risks. These instruments utilise policy and programmatic interventions. An example might involve a lack of transparency or uncertainty regarding the technical requirements for renewable energy project developers to connect to the grid. The implementation of a transparent and well-formulated grid code can address this barrier, reducing risk. The DREI methodology terms this type of instrument “policy derisking”.</w:t>
      </w:r>
    </w:p>
    <w:p w14:paraId="0E5BC91E" w14:textId="77777777" w:rsidR="00A34DA5" w:rsidRPr="00A34DA5" w:rsidRDefault="00A34DA5" w:rsidP="0020322F">
      <w:pPr>
        <w:pStyle w:val="a7"/>
        <w:numPr>
          <w:ilvl w:val="0"/>
          <w:numId w:val="9"/>
        </w:numPr>
        <w:tabs>
          <w:tab w:val="clear" w:pos="4153"/>
          <w:tab w:val="clear" w:pos="8306"/>
          <w:tab w:val="left" w:pos="426"/>
        </w:tabs>
        <w:spacing w:after="120"/>
        <w:ind w:left="0" w:right="107" w:firstLine="0"/>
        <w:rPr>
          <w:rFonts w:cs="Arial"/>
          <w:szCs w:val="22"/>
          <w:lang w:val="en-GB"/>
        </w:rPr>
      </w:pPr>
      <w:r w:rsidRPr="00A34DA5">
        <w:rPr>
          <w:rFonts w:cs="Arial"/>
          <w:szCs w:val="22"/>
          <w:lang w:val="en-GB"/>
        </w:rPr>
        <w:t xml:space="preserve">Instruments that transfer risk, shifting risk from the private sector to the public sector. These instruments do not seek to directly address the underlying barrier but, instead, function by transferring investment risks to public actors, such as development banks. These instruments can include public loans and guarantees, political risk insurance and public equity co-investments. For example, the credit-worthiness of a PPA may often be a concern to lenders. </w:t>
      </w:r>
      <w:r w:rsidR="00762F9A" w:rsidRPr="00A34DA5">
        <w:rPr>
          <w:rFonts w:cs="Arial"/>
          <w:szCs w:val="22"/>
          <w:lang w:val="en-GB"/>
        </w:rPr>
        <w:t>To</w:t>
      </w:r>
      <w:r w:rsidRPr="00A34DA5">
        <w:rPr>
          <w:rFonts w:cs="Arial"/>
          <w:szCs w:val="22"/>
          <w:lang w:val="en-GB"/>
        </w:rPr>
        <w:t xml:space="preserve"> address this, a development bank can guarantee the PPA, taking on this risk. The DREI methodology terms this type of instrument “financial derisking”.</w:t>
      </w:r>
    </w:p>
    <w:p w14:paraId="723F4BFA" w14:textId="77777777" w:rsidR="00A34DA5" w:rsidRPr="00A34DA5" w:rsidRDefault="00A34DA5" w:rsidP="0020322F">
      <w:pPr>
        <w:pStyle w:val="a7"/>
        <w:numPr>
          <w:ilvl w:val="0"/>
          <w:numId w:val="9"/>
        </w:numPr>
        <w:tabs>
          <w:tab w:val="clear" w:pos="4153"/>
          <w:tab w:val="clear" w:pos="8306"/>
          <w:tab w:val="left" w:pos="426"/>
        </w:tabs>
        <w:spacing w:after="120"/>
        <w:ind w:left="0" w:right="107" w:firstLine="0"/>
        <w:rPr>
          <w:rFonts w:cs="Arial"/>
          <w:szCs w:val="22"/>
          <w:lang w:val="en-GB"/>
        </w:rPr>
      </w:pPr>
      <w:r w:rsidRPr="00A34DA5">
        <w:rPr>
          <w:rFonts w:cs="Arial"/>
          <w:szCs w:val="22"/>
          <w:lang w:val="en-GB"/>
        </w:rPr>
        <w:t>Instruments that compensate for risk, providing a financial incentive to investors in the renewable energy project. When risks cannot be reduced or transferred, residual risks and costs can be compensated for. These instruments can take many forms, including price premiums as part of the electricity tariff (either as part of a PPA or FiT), tax breaks and proceeds from the sale of carbon credits. The DREI methodology calls these types of instruments “direct financial incentives”.</w:t>
      </w:r>
    </w:p>
    <w:p w14:paraId="60C41521" w14:textId="0B806089" w:rsidR="003420A3" w:rsidRDefault="00682134" w:rsidP="003420A3">
      <w:pPr>
        <w:pStyle w:val="a7"/>
        <w:numPr>
          <w:ilvl w:val="0"/>
          <w:numId w:val="9"/>
        </w:numPr>
        <w:tabs>
          <w:tab w:val="clear" w:pos="4153"/>
          <w:tab w:val="clear" w:pos="8306"/>
          <w:tab w:val="left" w:pos="426"/>
        </w:tabs>
        <w:spacing w:after="120"/>
        <w:ind w:left="0" w:right="107" w:firstLine="0"/>
        <w:rPr>
          <w:rFonts w:cs="Arial"/>
          <w:szCs w:val="22"/>
          <w:lang w:val="en-GB"/>
        </w:rPr>
      </w:pPr>
      <w:r w:rsidRPr="00DB1293">
        <w:rPr>
          <w:rFonts w:cs="Arial"/>
          <w:szCs w:val="22"/>
          <w:lang w:val="en-GB"/>
        </w:rPr>
        <w:t>As set out in Figure 4 below, t</w:t>
      </w:r>
      <w:r w:rsidR="00FA0506" w:rsidRPr="00DB1293">
        <w:rPr>
          <w:rFonts w:cs="Arial"/>
          <w:szCs w:val="22"/>
          <w:lang w:val="en-GB"/>
        </w:rPr>
        <w:t xml:space="preserve">he </w:t>
      </w:r>
      <w:r w:rsidR="00DB1293" w:rsidRPr="00DB1293">
        <w:rPr>
          <w:rFonts w:cs="Arial"/>
          <w:szCs w:val="22"/>
          <w:lang w:val="en-GB"/>
        </w:rPr>
        <w:t xml:space="preserve">DREI </w:t>
      </w:r>
      <w:r w:rsidR="00FA0506" w:rsidRPr="00DB1293">
        <w:rPr>
          <w:rFonts w:cs="Arial"/>
          <w:szCs w:val="22"/>
          <w:lang w:val="en-GB"/>
        </w:rPr>
        <w:t>methodology is organised into a framework with four stages, each of which is, in turn, divided into two steps</w:t>
      </w:r>
      <w:r w:rsidR="00E86773" w:rsidRPr="00DB1293">
        <w:rPr>
          <w:rFonts w:cs="Arial"/>
          <w:szCs w:val="22"/>
          <w:lang w:val="en-GB"/>
        </w:rPr>
        <w:t>.</w:t>
      </w:r>
      <w:r w:rsidR="005F4374" w:rsidRPr="00DB1293">
        <w:rPr>
          <w:rFonts w:cs="Arial"/>
          <w:szCs w:val="22"/>
          <w:lang w:val="en-GB"/>
        </w:rPr>
        <w:t xml:space="preserve"> </w:t>
      </w:r>
      <w:r w:rsidR="00DB1293" w:rsidRPr="00DB1293">
        <w:rPr>
          <w:rFonts w:cs="Arial"/>
          <w:szCs w:val="22"/>
          <w:lang w:val="en-GB"/>
        </w:rPr>
        <w:t>The DREI methodology act</w:t>
      </w:r>
      <w:r w:rsidR="009F008E">
        <w:rPr>
          <w:rFonts w:cs="Arial"/>
          <w:szCs w:val="22"/>
          <w:lang w:val="en-GB"/>
        </w:rPr>
        <w:t>s</w:t>
      </w:r>
      <w:r w:rsidR="00DB1293" w:rsidRPr="00DB1293">
        <w:rPr>
          <w:rFonts w:cs="Arial"/>
          <w:szCs w:val="22"/>
          <w:lang w:val="en-GB"/>
        </w:rPr>
        <w:t xml:space="preserve"> as a key conceptual basis for this project, guiding both the project’s design and implementation. </w:t>
      </w:r>
      <w:r w:rsidR="009F008E">
        <w:rPr>
          <w:rFonts w:cs="Arial"/>
          <w:szCs w:val="22"/>
          <w:lang w:val="en-GB"/>
        </w:rPr>
        <w:t>T</w:t>
      </w:r>
      <w:r w:rsidR="00DB1293" w:rsidRPr="00DB1293">
        <w:rPr>
          <w:rFonts w:cs="Arial"/>
          <w:szCs w:val="22"/>
          <w:lang w:val="en-GB"/>
        </w:rPr>
        <w:t>his section</w:t>
      </w:r>
      <w:r w:rsidR="009F008E">
        <w:rPr>
          <w:rFonts w:cs="Arial"/>
          <w:szCs w:val="22"/>
          <w:lang w:val="en-GB"/>
        </w:rPr>
        <w:t xml:space="preserve"> </w:t>
      </w:r>
      <w:r w:rsidR="00DB1293" w:rsidRPr="00DB1293">
        <w:rPr>
          <w:rFonts w:cs="Arial"/>
          <w:szCs w:val="22"/>
          <w:lang w:val="en-GB"/>
        </w:rPr>
        <w:t>present</w:t>
      </w:r>
      <w:r w:rsidR="009F008E">
        <w:rPr>
          <w:rFonts w:cs="Arial"/>
          <w:szCs w:val="22"/>
          <w:lang w:val="en-GB"/>
        </w:rPr>
        <w:t>s</w:t>
      </w:r>
      <w:r w:rsidR="00DB1293" w:rsidRPr="00DB1293">
        <w:rPr>
          <w:rFonts w:cs="Arial"/>
          <w:szCs w:val="22"/>
          <w:lang w:val="en-GB"/>
        </w:rPr>
        <w:t xml:space="preserve"> a full quantitative application of the DREI methodology for utility-scale renewables, and an initial qualitative application of the DREI methodology for small-scale renewables. </w:t>
      </w:r>
    </w:p>
    <w:p w14:paraId="02315988" w14:textId="77777777" w:rsidR="003420A3" w:rsidRDefault="003420A3" w:rsidP="00DB1293">
      <w:pPr>
        <w:ind w:right="107"/>
        <w:rPr>
          <w:rFonts w:cs="Arial"/>
          <w:szCs w:val="22"/>
          <w:lang w:val="en-GB"/>
        </w:rPr>
      </w:pPr>
    </w:p>
    <w:p w14:paraId="5B9CA741" w14:textId="77777777" w:rsidR="00A7707D" w:rsidRPr="00DB1293" w:rsidRDefault="00A34DA5" w:rsidP="00DB1293">
      <w:pPr>
        <w:ind w:right="107"/>
        <w:rPr>
          <w:rFonts w:cs="Arial"/>
          <w:b/>
          <w:i/>
          <w:szCs w:val="22"/>
          <w:lang w:val="en-GB"/>
        </w:rPr>
      </w:pPr>
      <w:r w:rsidRPr="00DB1293">
        <w:rPr>
          <w:rFonts w:cs="Arial"/>
          <w:b/>
          <w:i/>
          <w:szCs w:val="22"/>
          <w:lang w:val="en-GB"/>
        </w:rPr>
        <w:t>DREI Analysis for Utility-Scale Renewables</w:t>
      </w:r>
    </w:p>
    <w:p w14:paraId="23C9581C" w14:textId="77777777" w:rsidR="00921873" w:rsidRPr="00E86773" w:rsidRDefault="00921873" w:rsidP="001C06C5">
      <w:pPr>
        <w:ind w:right="107"/>
        <w:rPr>
          <w:b/>
        </w:rPr>
      </w:pPr>
    </w:p>
    <w:p w14:paraId="7E45F3E6" w14:textId="77777777" w:rsidR="00047121" w:rsidRPr="00780BCE" w:rsidRDefault="00A34DA5" w:rsidP="0020322F">
      <w:pPr>
        <w:pStyle w:val="a7"/>
        <w:numPr>
          <w:ilvl w:val="0"/>
          <w:numId w:val="9"/>
        </w:numPr>
        <w:tabs>
          <w:tab w:val="clear" w:pos="4153"/>
          <w:tab w:val="clear" w:pos="8306"/>
          <w:tab w:val="left" w:pos="426"/>
        </w:tabs>
        <w:spacing w:after="120"/>
        <w:ind w:left="0" w:right="107" w:firstLine="0"/>
        <w:rPr>
          <w:rFonts w:cs="Arial"/>
          <w:szCs w:val="22"/>
          <w:lang w:val="en-GB"/>
        </w:rPr>
      </w:pPr>
      <w:r>
        <w:rPr>
          <w:rFonts w:cs="Arial"/>
          <w:szCs w:val="22"/>
          <w:lang w:val="en-GB"/>
        </w:rPr>
        <w:t xml:space="preserve">For utility-scale renewable energy, a full </w:t>
      </w:r>
      <w:r w:rsidR="00BC04DE">
        <w:rPr>
          <w:rFonts w:cs="Arial"/>
          <w:szCs w:val="22"/>
          <w:lang w:val="en-GB"/>
        </w:rPr>
        <w:t xml:space="preserve">quantitative </w:t>
      </w:r>
      <w:r w:rsidR="00FA0506" w:rsidRPr="00973B11">
        <w:rPr>
          <w:rFonts w:cs="Arial"/>
          <w:szCs w:val="22"/>
          <w:lang w:val="en-GB"/>
        </w:rPr>
        <w:t>DREI analysis was performed during the project</w:t>
      </w:r>
      <w:r w:rsidR="005F4374">
        <w:rPr>
          <w:rFonts w:cs="Arial"/>
          <w:szCs w:val="22"/>
          <w:lang w:val="en-GB"/>
        </w:rPr>
        <w:t>’s</w:t>
      </w:r>
      <w:r w:rsidR="00FA0506" w:rsidRPr="00973B11">
        <w:rPr>
          <w:rFonts w:cs="Arial"/>
          <w:szCs w:val="22"/>
          <w:lang w:val="en-GB"/>
        </w:rPr>
        <w:t xml:space="preserve"> design. This analysis models the selection of public instruments to attract private sector investment in utility-scale on-grid </w:t>
      </w:r>
      <w:r>
        <w:rPr>
          <w:rFonts w:cs="Arial"/>
          <w:szCs w:val="22"/>
          <w:lang w:val="en-GB"/>
        </w:rPr>
        <w:t xml:space="preserve">wind and </w:t>
      </w:r>
      <w:r w:rsidR="00FA0506" w:rsidRPr="00973B11">
        <w:rPr>
          <w:rFonts w:cs="Arial"/>
          <w:szCs w:val="22"/>
          <w:lang w:val="en-GB"/>
        </w:rPr>
        <w:t>solar PV</w:t>
      </w:r>
      <w:r w:rsidR="000B0C1A">
        <w:rPr>
          <w:rFonts w:cs="Arial"/>
          <w:szCs w:val="22"/>
          <w:lang w:val="en-GB"/>
        </w:rPr>
        <w:t xml:space="preserve">. </w:t>
      </w:r>
      <w:r w:rsidR="00FA0506">
        <w:rPr>
          <w:rFonts w:cs="Arial"/>
          <w:szCs w:val="22"/>
          <w:lang w:val="en-GB"/>
        </w:rPr>
        <w:t xml:space="preserve"> </w:t>
      </w:r>
      <w:r w:rsidR="000B0C1A">
        <w:rPr>
          <w:rFonts w:cs="Arial"/>
          <w:szCs w:val="22"/>
          <w:lang w:val="en-GB"/>
        </w:rPr>
        <w:t>T</w:t>
      </w:r>
      <w:r w:rsidR="00FA0506" w:rsidRPr="00973B11">
        <w:rPr>
          <w:rFonts w:cs="Arial"/>
          <w:szCs w:val="22"/>
          <w:lang w:val="en-GB"/>
        </w:rPr>
        <w:t xml:space="preserve">o assess the risk environment, an initial taxonomy of nine investment risk categories was developed for </w:t>
      </w:r>
      <w:r w:rsidR="00FA0506">
        <w:rPr>
          <w:rFonts w:cs="Arial"/>
          <w:szCs w:val="22"/>
          <w:lang w:val="en-GB"/>
        </w:rPr>
        <w:t>K</w:t>
      </w:r>
      <w:r w:rsidR="000B0C1A">
        <w:rPr>
          <w:rFonts w:cs="Arial"/>
          <w:szCs w:val="22"/>
          <w:lang w:val="en-GB"/>
        </w:rPr>
        <w:t>a</w:t>
      </w:r>
      <w:r w:rsidR="00FA0506">
        <w:rPr>
          <w:rFonts w:cs="Arial"/>
          <w:szCs w:val="22"/>
          <w:lang w:val="en-GB"/>
        </w:rPr>
        <w:t>zakhstan’s</w:t>
      </w:r>
      <w:r w:rsidR="00FA0506" w:rsidRPr="00973B11">
        <w:rPr>
          <w:rFonts w:cs="Arial"/>
          <w:szCs w:val="22"/>
          <w:lang w:val="en-GB"/>
        </w:rPr>
        <w:t xml:space="preserve"> context. Definitions of these risk categories, together with their underlying barriers, are </w:t>
      </w:r>
      <w:r w:rsidR="00FA0506" w:rsidRPr="00AE69B1">
        <w:rPr>
          <w:rFonts w:cs="Arial"/>
          <w:szCs w:val="22"/>
          <w:lang w:val="en-GB"/>
        </w:rPr>
        <w:t>set</w:t>
      </w:r>
      <w:r w:rsidR="00FA0506" w:rsidRPr="00780BCE">
        <w:rPr>
          <w:rFonts w:cs="Arial"/>
          <w:szCs w:val="22"/>
          <w:lang w:val="en-GB"/>
        </w:rPr>
        <w:t xml:space="preserve"> out in</w:t>
      </w:r>
      <w:r w:rsidR="005F4374" w:rsidRPr="00780BCE">
        <w:rPr>
          <w:rFonts w:cs="Arial"/>
          <w:szCs w:val="22"/>
          <w:lang w:val="en-GB"/>
        </w:rPr>
        <w:t xml:space="preserve"> </w:t>
      </w:r>
      <w:r w:rsidR="005F4374" w:rsidRPr="00780BCE">
        <w:rPr>
          <w:rFonts w:cs="Arial"/>
          <w:szCs w:val="22"/>
          <w:lang w:val="en-GB"/>
        </w:rPr>
        <w:fldChar w:fldCharType="begin"/>
      </w:r>
      <w:r w:rsidR="005F4374" w:rsidRPr="00780BCE">
        <w:rPr>
          <w:rFonts w:cs="Arial"/>
          <w:szCs w:val="22"/>
          <w:lang w:val="en-GB"/>
        </w:rPr>
        <w:instrText xml:space="preserve"> REF _Ref464048599 \h </w:instrText>
      </w:r>
      <w:r w:rsidR="00D81F7A">
        <w:rPr>
          <w:rFonts w:cs="Arial"/>
          <w:szCs w:val="22"/>
          <w:lang w:val="en-GB"/>
        </w:rPr>
        <w:instrText xml:space="preserve"> \* MERGEFORMAT </w:instrText>
      </w:r>
      <w:r w:rsidR="005F4374" w:rsidRPr="00780BCE">
        <w:rPr>
          <w:rFonts w:cs="Arial"/>
          <w:szCs w:val="22"/>
          <w:lang w:val="en-GB"/>
        </w:rPr>
      </w:r>
      <w:r w:rsidR="005F4374" w:rsidRPr="00780BCE">
        <w:rPr>
          <w:rFonts w:cs="Arial"/>
          <w:szCs w:val="22"/>
          <w:lang w:val="en-GB"/>
        </w:rPr>
        <w:fldChar w:fldCharType="separate"/>
      </w:r>
      <w:r w:rsidR="00921873" w:rsidRPr="00921873">
        <w:rPr>
          <w:szCs w:val="22"/>
        </w:rPr>
        <w:t xml:space="preserve">Table </w:t>
      </w:r>
      <w:r w:rsidR="00921873" w:rsidRPr="00921873">
        <w:rPr>
          <w:noProof/>
          <w:szCs w:val="22"/>
        </w:rPr>
        <w:t>2</w:t>
      </w:r>
      <w:r w:rsidR="005F4374" w:rsidRPr="00780BCE">
        <w:rPr>
          <w:rFonts w:cs="Arial"/>
          <w:szCs w:val="22"/>
          <w:lang w:val="en-GB"/>
        </w:rPr>
        <w:fldChar w:fldCharType="end"/>
      </w:r>
      <w:r w:rsidR="00FA0506" w:rsidRPr="00780BCE">
        <w:rPr>
          <w:rFonts w:cs="Arial"/>
          <w:szCs w:val="22"/>
          <w:lang w:val="en-GB"/>
        </w:rPr>
        <w:t xml:space="preserve">. </w:t>
      </w:r>
    </w:p>
    <w:p w14:paraId="5CAAB491" w14:textId="0916B8A4" w:rsidR="00682134" w:rsidRDefault="00A34DA5" w:rsidP="00682134">
      <w:pPr>
        <w:pStyle w:val="a7"/>
        <w:numPr>
          <w:ilvl w:val="0"/>
          <w:numId w:val="9"/>
        </w:numPr>
        <w:tabs>
          <w:tab w:val="clear" w:pos="4153"/>
          <w:tab w:val="clear" w:pos="8306"/>
          <w:tab w:val="left" w:pos="426"/>
        </w:tabs>
        <w:spacing w:after="120"/>
        <w:ind w:left="0" w:right="107" w:firstLine="0"/>
        <w:rPr>
          <w:rFonts w:cs="Arial"/>
          <w:szCs w:val="22"/>
          <w:lang w:val="en-GB"/>
        </w:rPr>
      </w:pPr>
      <w:r w:rsidRPr="00944F24">
        <w:rPr>
          <w:rFonts w:cs="Arial"/>
          <w:szCs w:val="22"/>
          <w:lang w:val="en-GB"/>
        </w:rPr>
        <w:t xml:space="preserve">The modelling </w:t>
      </w:r>
      <w:r w:rsidR="00682134" w:rsidRPr="00682134">
        <w:rPr>
          <w:rFonts w:cs="Arial"/>
          <w:szCs w:val="22"/>
          <w:lang w:val="en-GB"/>
        </w:rPr>
        <w:t>assumes 2021 (5 year) investment targets of 1 GW in wind energy and 250 MW in solar PV. These targets can be viewed as the first, phased step to achieving the government’s official 2030 targets of 5</w:t>
      </w:r>
      <w:r w:rsidR="00F7219E">
        <w:rPr>
          <w:rFonts w:cs="Arial"/>
          <w:szCs w:val="22"/>
          <w:lang w:val="en-GB"/>
        </w:rPr>
        <w:t xml:space="preserve"> </w:t>
      </w:r>
      <w:r w:rsidR="00682134" w:rsidRPr="00682134">
        <w:rPr>
          <w:rFonts w:cs="Arial"/>
          <w:szCs w:val="22"/>
          <w:lang w:val="en-GB"/>
        </w:rPr>
        <w:t>GW in wind energy and 500</w:t>
      </w:r>
      <w:r w:rsidR="00F7219E">
        <w:rPr>
          <w:rFonts w:cs="Arial"/>
          <w:szCs w:val="22"/>
          <w:lang w:val="en-GB"/>
        </w:rPr>
        <w:t xml:space="preserve"> </w:t>
      </w:r>
      <w:r w:rsidR="00682134" w:rsidRPr="00682134">
        <w:rPr>
          <w:rFonts w:cs="Arial"/>
          <w:szCs w:val="22"/>
          <w:lang w:val="en-GB"/>
        </w:rPr>
        <w:t>MW in solar energy, as set out in its Green Economy Concept Note (2013)</w:t>
      </w:r>
    </w:p>
    <w:p w14:paraId="6193FF19" w14:textId="77777777" w:rsidR="004B6B29" w:rsidRDefault="004B6B29" w:rsidP="004B6B29">
      <w:pPr>
        <w:keepNext/>
        <w:spacing w:line="360" w:lineRule="auto"/>
        <w:ind w:left="220"/>
        <w:jc w:val="center"/>
      </w:pPr>
      <w:r w:rsidRPr="00C237CA">
        <w:rPr>
          <w:noProof/>
        </w:rPr>
        <w:drawing>
          <wp:inline distT="0" distB="0" distL="0" distR="0" wp14:anchorId="49F3F042" wp14:editId="2E54ED71">
            <wp:extent cx="4707255" cy="40220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7255" cy="4022033"/>
                    </a:xfrm>
                    <a:prstGeom prst="rect">
                      <a:avLst/>
                    </a:prstGeom>
                    <a:noFill/>
                    <a:ln>
                      <a:noFill/>
                    </a:ln>
                  </pic:spPr>
                </pic:pic>
              </a:graphicData>
            </a:graphic>
          </wp:inline>
        </w:drawing>
      </w:r>
    </w:p>
    <w:p w14:paraId="05AE52B4" w14:textId="77777777" w:rsidR="004B6B29" w:rsidRDefault="004B6B29" w:rsidP="00863DD5">
      <w:pPr>
        <w:pStyle w:val="aff3"/>
      </w:pPr>
      <w:bookmarkStart w:id="17" w:name="_Toc479693924"/>
      <w:r w:rsidRPr="007241CF">
        <w:t xml:space="preserve">Figure </w:t>
      </w:r>
      <w:r w:rsidR="00AA15A7">
        <w:fldChar w:fldCharType="begin"/>
      </w:r>
      <w:r w:rsidR="00AA15A7">
        <w:instrText xml:space="preserve"> SEQ Figure \* ARABIC </w:instrText>
      </w:r>
      <w:r w:rsidR="00AA15A7">
        <w:fldChar w:fldCharType="separate"/>
      </w:r>
      <w:r w:rsidR="00921873">
        <w:rPr>
          <w:noProof/>
        </w:rPr>
        <w:t>4</w:t>
      </w:r>
      <w:r w:rsidR="00AA15A7">
        <w:rPr>
          <w:noProof/>
        </w:rPr>
        <w:fldChar w:fldCharType="end"/>
      </w:r>
      <w:r w:rsidRPr="007241CF">
        <w:t>: Overview of the DREI methodology for selecting public instruments to promote renewable energy</w:t>
      </w:r>
      <w:r w:rsidRPr="00F80BA7">
        <w:t xml:space="preserve"> investment</w:t>
      </w:r>
      <w:bookmarkEnd w:id="17"/>
    </w:p>
    <w:p w14:paraId="0BA77718" w14:textId="77777777" w:rsidR="004B6B29" w:rsidRPr="004346AE" w:rsidRDefault="004B6B29" w:rsidP="004346AE">
      <w:pPr>
        <w:ind w:left="720"/>
        <w:rPr>
          <w:sz w:val="21"/>
        </w:rPr>
      </w:pPr>
      <w:r w:rsidRPr="004346AE">
        <w:rPr>
          <w:sz w:val="21"/>
        </w:rPr>
        <w:t>Source: Derisking Renewable Energy Investment (UNDP, 2013)</w:t>
      </w:r>
    </w:p>
    <w:p w14:paraId="329093EF" w14:textId="77777777" w:rsidR="00FA0506" w:rsidRPr="00F80BA7" w:rsidRDefault="00AF3A13" w:rsidP="00863DD5">
      <w:pPr>
        <w:pStyle w:val="aff3"/>
      </w:pPr>
      <w:bookmarkStart w:id="18" w:name="_Ref463453188"/>
      <w:bookmarkStart w:id="19" w:name="_Ref464048599"/>
      <w:bookmarkStart w:id="20" w:name="_Ref334182048"/>
      <w:bookmarkStart w:id="21" w:name="_Ref334182399"/>
      <w:bookmarkStart w:id="22" w:name="_Ref334182585"/>
      <w:bookmarkStart w:id="23" w:name="_Ref334183049"/>
      <w:bookmarkStart w:id="24" w:name="_Ref334183691"/>
      <w:bookmarkStart w:id="25" w:name="_Ref334183864"/>
      <w:bookmarkStart w:id="26" w:name="_Toc463552443"/>
      <w:bookmarkStart w:id="27" w:name="_Toc337722215"/>
      <w:bookmarkStart w:id="28" w:name="_Toc464138777"/>
      <w:bookmarkStart w:id="29" w:name="_Toc479693909"/>
      <w:r w:rsidRPr="00F80BA7">
        <w:t xml:space="preserve">Table </w:t>
      </w:r>
      <w:r w:rsidR="00AA15A7">
        <w:fldChar w:fldCharType="begin"/>
      </w:r>
      <w:r w:rsidR="00AA15A7">
        <w:instrText xml:space="preserve"> SEQ Table \* ARABIC </w:instrText>
      </w:r>
      <w:r w:rsidR="00AA15A7">
        <w:fldChar w:fldCharType="separate"/>
      </w:r>
      <w:r w:rsidR="00921873">
        <w:rPr>
          <w:noProof/>
        </w:rPr>
        <w:t>2</w:t>
      </w:r>
      <w:r w:rsidR="00AA15A7">
        <w:rPr>
          <w:noProof/>
        </w:rPr>
        <w:fldChar w:fldCharType="end"/>
      </w:r>
      <w:bookmarkEnd w:id="18"/>
      <w:bookmarkEnd w:id="19"/>
      <w:r w:rsidR="00FA0506" w:rsidRPr="00F80BA7">
        <w:t>: Barrier</w:t>
      </w:r>
      <w:r w:rsidR="00A34DA5">
        <w:t>s</w:t>
      </w:r>
      <w:r w:rsidR="00FA0506" w:rsidRPr="00F80BA7">
        <w:t xml:space="preserve"> and risk</w:t>
      </w:r>
      <w:r w:rsidR="00A34DA5">
        <w:t>s</w:t>
      </w:r>
      <w:r w:rsidR="00FA0506" w:rsidRPr="00F80BA7">
        <w:t xml:space="preserve"> for </w:t>
      </w:r>
      <w:r w:rsidR="00576527">
        <w:t xml:space="preserve">large-scale </w:t>
      </w:r>
      <w:r w:rsidR="00FA0506" w:rsidRPr="00F80BA7">
        <w:t>renewable energy development in Kazakhstan</w:t>
      </w:r>
      <w:bookmarkEnd w:id="20"/>
      <w:bookmarkEnd w:id="21"/>
      <w:bookmarkEnd w:id="22"/>
      <w:bookmarkEnd w:id="23"/>
      <w:bookmarkEnd w:id="24"/>
      <w:bookmarkEnd w:id="25"/>
      <w:bookmarkEnd w:id="26"/>
      <w:bookmarkEnd w:id="27"/>
      <w:bookmarkEnd w:id="28"/>
      <w:bookmarkEnd w:id="29"/>
    </w:p>
    <w:tbl>
      <w:tblPr>
        <w:tblStyle w:val="TableGrid4"/>
        <w:tblW w:w="0" w:type="auto"/>
        <w:tblLayout w:type="fixed"/>
        <w:tblCellMar>
          <w:left w:w="115" w:type="dxa"/>
          <w:right w:w="115" w:type="dxa"/>
        </w:tblCellMar>
        <w:tblLook w:val="04A0" w:firstRow="1" w:lastRow="0" w:firstColumn="1" w:lastColumn="0" w:noHBand="0" w:noVBand="1"/>
      </w:tblPr>
      <w:tblGrid>
        <w:gridCol w:w="1607"/>
        <w:gridCol w:w="3060"/>
        <w:gridCol w:w="4790"/>
      </w:tblGrid>
      <w:tr w:rsidR="00F17588" w:rsidRPr="00F879E1" w14:paraId="24C9B11F" w14:textId="77777777" w:rsidTr="00F17588">
        <w:trPr>
          <w:trHeight w:val="332"/>
          <w:tblHeader/>
        </w:trPr>
        <w:tc>
          <w:tcPr>
            <w:tcW w:w="1607" w:type="dxa"/>
            <w:shd w:val="clear" w:color="auto" w:fill="D9D9D9" w:themeFill="background1" w:themeFillShade="D9"/>
            <w:noWrap/>
            <w:hideMark/>
          </w:tcPr>
          <w:p w14:paraId="6F8804D9" w14:textId="77777777" w:rsidR="00FA0506" w:rsidRPr="00F879E1" w:rsidRDefault="00FA0506" w:rsidP="004622EC">
            <w:pPr>
              <w:keepNext/>
              <w:keepLines/>
              <w:rPr>
                <w:rFonts w:ascii="Calibri" w:hAnsi="Calibri" w:cs="Arial"/>
                <w:b/>
                <w:bCs/>
                <w:sz w:val="20"/>
                <w:szCs w:val="19"/>
                <w:lang w:val="en-GB"/>
              </w:rPr>
            </w:pPr>
            <w:r w:rsidRPr="00F879E1">
              <w:rPr>
                <w:rFonts w:ascii="Calibri" w:hAnsi="Calibri" w:cs="Arial"/>
                <w:b/>
                <w:bCs/>
                <w:sz w:val="20"/>
                <w:szCs w:val="19"/>
                <w:lang w:val="en-GB"/>
              </w:rPr>
              <w:t>Risk Category</w:t>
            </w:r>
          </w:p>
        </w:tc>
        <w:tc>
          <w:tcPr>
            <w:tcW w:w="3060" w:type="dxa"/>
            <w:shd w:val="clear" w:color="auto" w:fill="D9D9D9" w:themeFill="background1" w:themeFillShade="D9"/>
            <w:noWrap/>
            <w:hideMark/>
          </w:tcPr>
          <w:p w14:paraId="502EEE8B" w14:textId="77777777" w:rsidR="00FA0506" w:rsidRPr="00F879E1" w:rsidRDefault="00FA0506" w:rsidP="004622EC">
            <w:pPr>
              <w:rPr>
                <w:rFonts w:ascii="Calibri" w:hAnsi="Calibri" w:cs="Arial"/>
                <w:b/>
                <w:bCs/>
                <w:sz w:val="20"/>
                <w:szCs w:val="19"/>
                <w:lang w:val="en-GB"/>
              </w:rPr>
            </w:pPr>
            <w:r w:rsidRPr="00F879E1">
              <w:rPr>
                <w:rFonts w:ascii="Calibri" w:hAnsi="Calibri" w:cs="Arial"/>
                <w:b/>
                <w:bCs/>
                <w:sz w:val="20"/>
                <w:szCs w:val="19"/>
                <w:lang w:val="en-GB"/>
              </w:rPr>
              <w:t>Risk Definition</w:t>
            </w:r>
          </w:p>
        </w:tc>
        <w:tc>
          <w:tcPr>
            <w:tcW w:w="4790" w:type="dxa"/>
            <w:shd w:val="clear" w:color="auto" w:fill="D9D9D9" w:themeFill="background1" w:themeFillShade="D9"/>
          </w:tcPr>
          <w:p w14:paraId="3382321F" w14:textId="36D8D5C5" w:rsidR="00FA0506" w:rsidRPr="00F879E1" w:rsidRDefault="00FA0506" w:rsidP="00E91952">
            <w:pPr>
              <w:rPr>
                <w:rFonts w:ascii="Calibri" w:hAnsi="Calibri" w:cs="Arial"/>
                <w:b/>
                <w:bCs/>
                <w:sz w:val="20"/>
                <w:szCs w:val="19"/>
                <w:lang w:val="en-GB"/>
              </w:rPr>
            </w:pPr>
            <w:r w:rsidRPr="00F879E1">
              <w:rPr>
                <w:rFonts w:ascii="Calibri" w:hAnsi="Calibri" w:cs="Arial"/>
                <w:b/>
                <w:bCs/>
                <w:sz w:val="20"/>
                <w:szCs w:val="19"/>
                <w:lang w:val="en-GB"/>
              </w:rPr>
              <w:t xml:space="preserve">Underlying </w:t>
            </w:r>
            <w:r w:rsidR="004954AE">
              <w:rPr>
                <w:rFonts w:ascii="Calibri" w:hAnsi="Calibri" w:cs="Arial"/>
                <w:b/>
                <w:bCs/>
                <w:sz w:val="20"/>
                <w:szCs w:val="19"/>
                <w:lang w:val="en-GB"/>
              </w:rPr>
              <w:t>B</w:t>
            </w:r>
            <w:r w:rsidRPr="00F879E1">
              <w:rPr>
                <w:rFonts w:ascii="Calibri" w:hAnsi="Calibri" w:cs="Arial"/>
                <w:b/>
                <w:bCs/>
                <w:sz w:val="20"/>
                <w:szCs w:val="19"/>
                <w:lang w:val="en-GB"/>
              </w:rPr>
              <w:t>arriers</w:t>
            </w:r>
          </w:p>
        </w:tc>
      </w:tr>
      <w:tr w:rsidR="00F17588" w:rsidRPr="00F879E1" w14:paraId="2117FC50" w14:textId="77777777" w:rsidTr="00F17588">
        <w:trPr>
          <w:trHeight w:val="1826"/>
        </w:trPr>
        <w:tc>
          <w:tcPr>
            <w:tcW w:w="1607" w:type="dxa"/>
            <w:hideMark/>
          </w:tcPr>
          <w:p w14:paraId="689CAE47" w14:textId="77777777" w:rsidR="00FA0506" w:rsidRPr="00F879E1" w:rsidRDefault="00FA0506" w:rsidP="004622EC">
            <w:pPr>
              <w:keepNext/>
              <w:keepLines/>
              <w:spacing w:before="60"/>
              <w:rPr>
                <w:rFonts w:ascii="Calibri" w:hAnsi="Calibri" w:cs="Arial"/>
                <w:b/>
                <w:bCs/>
                <w:color w:val="000000"/>
                <w:sz w:val="20"/>
                <w:szCs w:val="19"/>
                <w:lang w:val="en-GB"/>
              </w:rPr>
            </w:pPr>
            <w:r w:rsidRPr="00F879E1">
              <w:rPr>
                <w:rFonts w:ascii="Calibri" w:hAnsi="Calibri" w:cs="Arial"/>
                <w:color w:val="000000"/>
                <w:sz w:val="20"/>
                <w:szCs w:val="19"/>
                <w:lang w:val="en-GB"/>
              </w:rPr>
              <w:t xml:space="preserve">1. Power Market </w:t>
            </w:r>
            <w:r w:rsidR="00A34DA5" w:rsidRPr="00F879E1">
              <w:rPr>
                <w:rFonts w:ascii="Calibri" w:hAnsi="Calibri" w:cs="Arial"/>
                <w:color w:val="000000"/>
                <w:sz w:val="20"/>
                <w:szCs w:val="19"/>
                <w:lang w:val="en-GB"/>
              </w:rPr>
              <w:t>risk</w:t>
            </w:r>
          </w:p>
        </w:tc>
        <w:tc>
          <w:tcPr>
            <w:tcW w:w="3060" w:type="dxa"/>
            <w:hideMark/>
          </w:tcPr>
          <w:p w14:paraId="5DD6C696" w14:textId="77777777" w:rsidR="00FA0506" w:rsidRPr="00F879E1" w:rsidRDefault="00FA0506" w:rsidP="004622EC">
            <w:pPr>
              <w:keepNext/>
              <w:keepLines/>
              <w:spacing w:before="60"/>
              <w:rPr>
                <w:rFonts w:ascii="Calibri" w:hAnsi="Calibri" w:cs="Arial"/>
                <w:color w:val="000000"/>
                <w:sz w:val="20"/>
                <w:szCs w:val="19"/>
                <w:lang w:val="en-GB"/>
              </w:rPr>
            </w:pPr>
            <w:r w:rsidRPr="00F879E1">
              <w:rPr>
                <w:rFonts w:ascii="Calibri" w:hAnsi="Calibri" w:cs="Arial"/>
                <w:color w:val="000000"/>
                <w:sz w:val="20"/>
                <w:szCs w:val="19"/>
                <w:lang w:val="en-GB"/>
              </w:rPr>
              <w:t>Risk arising from limitations and uncertainties in the power market, and/or sub</w:t>
            </w:r>
            <w:r w:rsidR="00047121" w:rsidRPr="00F879E1">
              <w:rPr>
                <w:rFonts w:ascii="Calibri" w:hAnsi="Calibri" w:cs="Arial"/>
                <w:color w:val="000000"/>
                <w:sz w:val="20"/>
                <w:szCs w:val="19"/>
                <w:lang w:val="en-GB"/>
              </w:rPr>
              <w:t>-</w:t>
            </w:r>
            <w:r w:rsidRPr="00F879E1">
              <w:rPr>
                <w:rFonts w:ascii="Calibri" w:hAnsi="Calibri" w:cs="Arial"/>
                <w:color w:val="000000"/>
                <w:sz w:val="20"/>
                <w:szCs w:val="19"/>
                <w:lang w:val="en-GB"/>
              </w:rPr>
              <w:t>optimal regulations to address these limitations</w:t>
            </w:r>
          </w:p>
        </w:tc>
        <w:tc>
          <w:tcPr>
            <w:tcW w:w="4790" w:type="dxa"/>
          </w:tcPr>
          <w:p w14:paraId="138D5ECF" w14:textId="77777777" w:rsidR="00FA0506" w:rsidRPr="00F879E1" w:rsidRDefault="00FA0506" w:rsidP="004622EC">
            <w:pPr>
              <w:keepNext/>
              <w:keepLines/>
              <w:rPr>
                <w:rFonts w:ascii="Calibri" w:hAnsi="Calibri" w:cs="Arial"/>
                <w:color w:val="000000"/>
                <w:sz w:val="20"/>
                <w:szCs w:val="19"/>
                <w:lang w:val="en-GB"/>
              </w:rPr>
            </w:pPr>
            <w:r w:rsidRPr="00F879E1">
              <w:rPr>
                <w:rFonts w:ascii="Calibri" w:hAnsi="Calibri" w:cs="Arial"/>
                <w:i/>
                <w:color w:val="000000"/>
                <w:sz w:val="20"/>
                <w:szCs w:val="19"/>
                <w:lang w:val="en-GB"/>
              </w:rPr>
              <w:t>Market outlook:</w:t>
            </w:r>
            <w:r w:rsidRPr="00F879E1">
              <w:rPr>
                <w:rFonts w:ascii="Calibri" w:hAnsi="Calibri" w:cs="Arial"/>
                <w:color w:val="000000"/>
                <w:sz w:val="20"/>
                <w:szCs w:val="19"/>
                <w:lang w:val="en-GB"/>
              </w:rPr>
              <w:t xml:space="preserve"> lack of or uncertainties regarding government</w:t>
            </w:r>
            <w:r w:rsidR="00047121" w:rsidRPr="00F879E1">
              <w:rPr>
                <w:rFonts w:ascii="Calibri" w:hAnsi="Calibri" w:cs="Arial"/>
                <w:color w:val="000000"/>
                <w:sz w:val="20"/>
                <w:szCs w:val="19"/>
                <w:lang w:val="en-GB"/>
              </w:rPr>
              <w:t>’s</w:t>
            </w:r>
            <w:r w:rsidRPr="00F879E1">
              <w:rPr>
                <w:rFonts w:ascii="Calibri" w:hAnsi="Calibri" w:cs="Arial"/>
                <w:color w:val="000000"/>
                <w:sz w:val="20"/>
                <w:szCs w:val="19"/>
                <w:lang w:val="en-GB"/>
              </w:rPr>
              <w:t xml:space="preserve"> renewable energy strategy and targets</w:t>
            </w:r>
          </w:p>
          <w:p w14:paraId="317AD768" w14:textId="77777777" w:rsidR="00FA0506" w:rsidRPr="00F879E1" w:rsidRDefault="00FA0506" w:rsidP="004622EC">
            <w:pPr>
              <w:keepNext/>
              <w:keepLines/>
              <w:rPr>
                <w:rFonts w:ascii="Calibri" w:hAnsi="Calibri" w:cs="Arial"/>
                <w:color w:val="000000"/>
                <w:sz w:val="20"/>
                <w:szCs w:val="19"/>
                <w:lang w:val="en-GB"/>
              </w:rPr>
            </w:pPr>
            <w:r w:rsidRPr="00F879E1">
              <w:rPr>
                <w:rFonts w:ascii="Calibri" w:hAnsi="Calibri" w:cs="Arial"/>
                <w:i/>
                <w:color w:val="000000"/>
                <w:sz w:val="20"/>
                <w:szCs w:val="19"/>
                <w:lang w:val="en-GB"/>
              </w:rPr>
              <w:t>Market access and prices</w:t>
            </w:r>
            <w:r w:rsidRPr="00F879E1">
              <w:rPr>
                <w:rFonts w:ascii="Calibri" w:hAnsi="Calibri" w:cs="Arial"/>
                <w:color w:val="000000"/>
                <w:sz w:val="20"/>
                <w:szCs w:val="19"/>
                <w:lang w:val="en-GB"/>
              </w:rPr>
              <w:t>: limitations related to energy market liberalization; uncertainty related to access, the competitive landscape and price outlook for renewable energy; limitations in design of standard PPAs and PPA tendering procedures</w:t>
            </w:r>
            <w:r w:rsidR="000D09AB" w:rsidRPr="00F879E1">
              <w:rPr>
                <w:rFonts w:ascii="Calibri" w:hAnsi="Calibri" w:cs="Arial"/>
                <w:color w:val="000000"/>
                <w:sz w:val="20"/>
                <w:szCs w:val="19"/>
                <w:lang w:val="en-GB"/>
              </w:rPr>
              <w:t xml:space="preserve"> (in the renewable energy auctions that are currently being developed).</w:t>
            </w:r>
          </w:p>
          <w:p w14:paraId="50A69110" w14:textId="378DC2CE" w:rsidR="00FA0506" w:rsidRPr="00F879E1" w:rsidRDefault="00FA0506" w:rsidP="00F7219E">
            <w:pPr>
              <w:keepNext/>
              <w:keepLines/>
              <w:rPr>
                <w:rFonts w:ascii="Calibri" w:hAnsi="Calibri" w:cs="Arial"/>
                <w:color w:val="000000"/>
                <w:sz w:val="20"/>
                <w:szCs w:val="19"/>
                <w:lang w:val="en-GB"/>
              </w:rPr>
            </w:pPr>
            <w:r w:rsidRPr="00F879E1">
              <w:rPr>
                <w:rFonts w:ascii="Calibri" w:hAnsi="Calibri" w:cs="Arial"/>
                <w:i/>
                <w:color w:val="000000"/>
                <w:sz w:val="20"/>
                <w:szCs w:val="19"/>
                <w:lang w:val="en-GB"/>
              </w:rPr>
              <w:t>Market distortions:</w:t>
            </w:r>
            <w:r w:rsidRPr="00F879E1">
              <w:rPr>
                <w:rFonts w:ascii="Calibri" w:hAnsi="Calibri" w:cs="Arial"/>
                <w:color w:val="000000"/>
                <w:sz w:val="20"/>
                <w:szCs w:val="19"/>
                <w:lang w:val="en-GB"/>
              </w:rPr>
              <w:t xml:space="preserve"> high fossil fuel subsidies</w:t>
            </w:r>
            <w:r w:rsidR="00F7219E">
              <w:rPr>
                <w:rFonts w:ascii="Calibri" w:hAnsi="Calibri" w:cs="Arial"/>
                <w:color w:val="000000"/>
                <w:sz w:val="20"/>
                <w:szCs w:val="19"/>
                <w:lang w:val="en-GB"/>
              </w:rPr>
              <w:t xml:space="preserve">. Indeed </w:t>
            </w:r>
            <w:r w:rsidR="00F7219E" w:rsidRPr="00F7219E">
              <w:rPr>
                <w:rFonts w:ascii="Calibri" w:hAnsi="Calibri" w:cs="Arial"/>
                <w:color w:val="000000"/>
                <w:sz w:val="20"/>
                <w:szCs w:val="19"/>
                <w:lang w:val="en-GB"/>
              </w:rPr>
              <w:t>Kazakhstan has some of the lowest retail tariffs in the world, a function of consumption subsidies for fossil fuels, low cost generation from outdated power plants, and non cost-reflective tariff pricing</w:t>
            </w:r>
            <w:r w:rsidR="00F7219E">
              <w:rPr>
                <w:rFonts w:ascii="Calibri" w:hAnsi="Calibri" w:cs="Arial"/>
                <w:color w:val="000000"/>
                <w:sz w:val="20"/>
                <w:szCs w:val="19"/>
                <w:lang w:val="en-GB"/>
              </w:rPr>
              <w:t>.</w:t>
            </w:r>
          </w:p>
        </w:tc>
      </w:tr>
      <w:tr w:rsidR="00F17588" w:rsidRPr="00F879E1" w14:paraId="3EC38828" w14:textId="77777777" w:rsidTr="00F17588">
        <w:trPr>
          <w:trHeight w:val="1556"/>
        </w:trPr>
        <w:tc>
          <w:tcPr>
            <w:tcW w:w="1607" w:type="dxa"/>
            <w:hideMark/>
          </w:tcPr>
          <w:p w14:paraId="30375950" w14:textId="77777777" w:rsidR="00FA0506" w:rsidRPr="00F879E1" w:rsidRDefault="00FA0506" w:rsidP="004622EC">
            <w:pPr>
              <w:keepNext/>
              <w:keepLines/>
              <w:spacing w:before="60"/>
              <w:rPr>
                <w:rFonts w:ascii="Calibri" w:hAnsi="Calibri" w:cs="Arial"/>
                <w:b/>
                <w:bCs/>
                <w:color w:val="000000"/>
                <w:sz w:val="20"/>
                <w:szCs w:val="19"/>
                <w:lang w:val="en-GB"/>
              </w:rPr>
            </w:pPr>
            <w:r w:rsidRPr="00F879E1">
              <w:rPr>
                <w:rFonts w:ascii="Calibri" w:hAnsi="Calibri" w:cs="Arial"/>
                <w:color w:val="000000"/>
                <w:sz w:val="20"/>
                <w:szCs w:val="19"/>
                <w:lang w:val="en-GB"/>
              </w:rPr>
              <w:t>2. Permits</w:t>
            </w:r>
            <w:r w:rsidR="00A34DA5" w:rsidRPr="00F879E1">
              <w:rPr>
                <w:rFonts w:ascii="Calibri" w:hAnsi="Calibri" w:cs="Arial"/>
                <w:color w:val="000000"/>
                <w:sz w:val="20"/>
                <w:szCs w:val="19"/>
                <w:lang w:val="en-GB"/>
              </w:rPr>
              <w:t xml:space="preserve"> risk</w:t>
            </w:r>
          </w:p>
        </w:tc>
        <w:tc>
          <w:tcPr>
            <w:tcW w:w="3060" w:type="dxa"/>
            <w:hideMark/>
          </w:tcPr>
          <w:p w14:paraId="566A1A24" w14:textId="77777777" w:rsidR="00FA0506" w:rsidRPr="00F879E1" w:rsidRDefault="00FA0506" w:rsidP="004622EC">
            <w:pPr>
              <w:keepNext/>
              <w:keepLines/>
              <w:spacing w:before="60"/>
              <w:rPr>
                <w:rFonts w:ascii="Calibri" w:hAnsi="Calibri" w:cs="Arial"/>
                <w:color w:val="000000"/>
                <w:sz w:val="20"/>
                <w:szCs w:val="19"/>
                <w:lang w:val="en-GB"/>
              </w:rPr>
            </w:pPr>
            <w:r w:rsidRPr="00F879E1">
              <w:rPr>
                <w:rFonts w:ascii="Calibri" w:hAnsi="Calibri" w:cs="Arial"/>
                <w:color w:val="000000"/>
                <w:sz w:val="20"/>
                <w:szCs w:val="19"/>
                <w:lang w:val="en-GB"/>
              </w:rPr>
              <w:t>Risk arising from the public sector’s inability to efficiently and transparently administer renewable energy-related approval process</w:t>
            </w:r>
          </w:p>
        </w:tc>
        <w:tc>
          <w:tcPr>
            <w:tcW w:w="4790" w:type="dxa"/>
          </w:tcPr>
          <w:p w14:paraId="3F79CD3E" w14:textId="77777777" w:rsidR="00FA0506" w:rsidRPr="00F879E1" w:rsidRDefault="00FA0506" w:rsidP="004B6B29">
            <w:pPr>
              <w:keepNext/>
              <w:keepLines/>
              <w:rPr>
                <w:rFonts w:ascii="Calibri" w:hAnsi="Calibri" w:cs="Arial"/>
                <w:color w:val="000000"/>
                <w:sz w:val="20"/>
                <w:szCs w:val="19"/>
                <w:lang w:val="en-GB"/>
              </w:rPr>
            </w:pPr>
            <w:r w:rsidRPr="00F879E1">
              <w:rPr>
                <w:rFonts w:ascii="Calibri" w:hAnsi="Calibri" w:cs="Arial"/>
                <w:color w:val="000000"/>
                <w:sz w:val="20"/>
                <w:szCs w:val="19"/>
                <w:lang w:val="en-GB"/>
              </w:rPr>
              <w:t>Labour-intensive, complex processes and long</w:t>
            </w:r>
            <w:r w:rsidR="004B6B29" w:rsidRPr="00F879E1">
              <w:rPr>
                <w:rFonts w:ascii="Calibri" w:hAnsi="Calibri" w:cs="Arial"/>
                <w:color w:val="000000"/>
                <w:sz w:val="20"/>
                <w:szCs w:val="19"/>
                <w:lang w:val="en-GB"/>
              </w:rPr>
              <w:t xml:space="preserve"> </w:t>
            </w:r>
            <w:r w:rsidRPr="00F879E1">
              <w:rPr>
                <w:rFonts w:ascii="Calibri" w:hAnsi="Calibri" w:cs="Arial"/>
                <w:color w:val="000000"/>
                <w:sz w:val="20"/>
                <w:szCs w:val="19"/>
                <w:lang w:val="en-GB"/>
              </w:rPr>
              <w:t>timeframes for obtaining licences and permits (generation, EIAs, land title) for renewable energy projects</w:t>
            </w:r>
            <w:r w:rsidR="000D09AB" w:rsidRPr="00F879E1">
              <w:rPr>
                <w:rFonts w:ascii="Calibri" w:hAnsi="Calibri" w:cs="Arial"/>
                <w:color w:val="000000"/>
                <w:sz w:val="20"/>
                <w:szCs w:val="19"/>
                <w:lang w:val="en-GB"/>
              </w:rPr>
              <w:t xml:space="preserve">. In </w:t>
            </w:r>
            <w:r w:rsidR="004B6B29" w:rsidRPr="00F879E1">
              <w:rPr>
                <w:rFonts w:ascii="Calibri" w:hAnsi="Calibri" w:cs="Arial"/>
                <w:color w:val="000000"/>
                <w:sz w:val="20"/>
                <w:szCs w:val="19"/>
                <w:lang w:val="en-GB"/>
              </w:rPr>
              <w:t>Kazakhstan,</w:t>
            </w:r>
            <w:r w:rsidR="000D09AB" w:rsidRPr="00F879E1">
              <w:rPr>
                <w:rFonts w:ascii="Calibri" w:hAnsi="Calibri" w:cs="Arial"/>
                <w:color w:val="000000"/>
                <w:sz w:val="20"/>
                <w:szCs w:val="19"/>
                <w:lang w:val="en-GB"/>
              </w:rPr>
              <w:t xml:space="preserve"> this particularly relates to land allocation rules and procedures as reflected in the 1 July 2016 Land Code.</w:t>
            </w:r>
          </w:p>
        </w:tc>
      </w:tr>
      <w:tr w:rsidR="00F17588" w:rsidRPr="00F879E1" w14:paraId="05BBCD5D" w14:textId="77777777" w:rsidTr="00F17588">
        <w:trPr>
          <w:trHeight w:val="416"/>
        </w:trPr>
        <w:tc>
          <w:tcPr>
            <w:tcW w:w="1607" w:type="dxa"/>
            <w:hideMark/>
          </w:tcPr>
          <w:p w14:paraId="6E4B4F0E" w14:textId="77777777" w:rsidR="00FA0506" w:rsidRPr="00F879E1" w:rsidRDefault="00A80521" w:rsidP="004622EC">
            <w:pPr>
              <w:spacing w:before="60"/>
              <w:rPr>
                <w:rFonts w:ascii="Calibri" w:hAnsi="Calibri" w:cs="Arial"/>
                <w:b/>
                <w:bCs/>
                <w:color w:val="000000"/>
                <w:sz w:val="20"/>
                <w:szCs w:val="19"/>
                <w:lang w:val="en-GB"/>
              </w:rPr>
            </w:pPr>
            <w:r w:rsidRPr="00F879E1">
              <w:rPr>
                <w:rFonts w:ascii="Calibri" w:hAnsi="Calibri" w:cs="Arial"/>
                <w:color w:val="000000"/>
                <w:sz w:val="20"/>
                <w:szCs w:val="19"/>
                <w:lang w:val="en-GB"/>
              </w:rPr>
              <w:t>3.</w:t>
            </w:r>
            <w:r w:rsidR="00047121" w:rsidRPr="00F879E1">
              <w:rPr>
                <w:rFonts w:ascii="Calibri" w:hAnsi="Calibri" w:cs="Arial"/>
                <w:color w:val="000000"/>
                <w:sz w:val="20"/>
                <w:szCs w:val="19"/>
                <w:lang w:val="en-GB"/>
              </w:rPr>
              <w:t xml:space="preserve"> </w:t>
            </w:r>
            <w:r w:rsidR="00FA0506" w:rsidRPr="00F879E1">
              <w:rPr>
                <w:rFonts w:ascii="Calibri" w:hAnsi="Calibri" w:cs="Arial"/>
                <w:color w:val="000000"/>
                <w:sz w:val="20"/>
                <w:szCs w:val="19"/>
                <w:lang w:val="en-GB"/>
              </w:rPr>
              <w:t>Social Acceptance</w:t>
            </w:r>
            <w:r w:rsidR="00A34DA5" w:rsidRPr="00F879E1">
              <w:rPr>
                <w:rFonts w:ascii="Calibri" w:hAnsi="Calibri" w:cs="Arial"/>
                <w:color w:val="000000"/>
                <w:sz w:val="20"/>
                <w:szCs w:val="19"/>
                <w:lang w:val="en-GB"/>
              </w:rPr>
              <w:t xml:space="preserve"> risk</w:t>
            </w:r>
          </w:p>
        </w:tc>
        <w:tc>
          <w:tcPr>
            <w:tcW w:w="3060" w:type="dxa"/>
            <w:hideMark/>
          </w:tcPr>
          <w:p w14:paraId="5A24B4D6" w14:textId="77777777" w:rsidR="00FA0506" w:rsidRPr="00F879E1" w:rsidRDefault="00FA0506" w:rsidP="004622EC">
            <w:pPr>
              <w:spacing w:before="60"/>
              <w:rPr>
                <w:rFonts w:ascii="Calibri" w:hAnsi="Calibri" w:cs="Arial"/>
                <w:color w:val="000000"/>
                <w:sz w:val="20"/>
                <w:szCs w:val="19"/>
                <w:lang w:val="en-GB"/>
              </w:rPr>
            </w:pPr>
            <w:r w:rsidRPr="00F879E1">
              <w:rPr>
                <w:rFonts w:ascii="Calibri" w:hAnsi="Calibri" w:cs="Arial"/>
                <w:color w:val="000000"/>
                <w:sz w:val="20"/>
                <w:szCs w:val="19"/>
                <w:lang w:val="en-GB"/>
              </w:rPr>
              <w:t>Risks arising from lack of awareness and resistance to renewable energy in communities and end-users</w:t>
            </w:r>
          </w:p>
        </w:tc>
        <w:tc>
          <w:tcPr>
            <w:tcW w:w="4790" w:type="dxa"/>
          </w:tcPr>
          <w:p w14:paraId="4D3A4D2F" w14:textId="54772350" w:rsidR="00FA0506" w:rsidRPr="00F879E1" w:rsidRDefault="00FA0506" w:rsidP="004622EC">
            <w:pPr>
              <w:rPr>
                <w:rFonts w:ascii="Calibri" w:hAnsi="Calibri" w:cs="Arial"/>
                <w:color w:val="000000"/>
                <w:sz w:val="20"/>
                <w:szCs w:val="19"/>
                <w:lang w:val="en-GB"/>
              </w:rPr>
            </w:pPr>
            <w:r w:rsidRPr="00F879E1">
              <w:rPr>
                <w:rFonts w:ascii="Calibri" w:hAnsi="Calibri" w:cs="Arial"/>
                <w:color w:val="000000"/>
                <w:sz w:val="20"/>
                <w:szCs w:val="19"/>
                <w:lang w:val="en-GB"/>
              </w:rPr>
              <w:t xml:space="preserve">Lack of awareness of renewable energy among key stakeholders including end-users, </w:t>
            </w:r>
            <w:r w:rsidR="00F17588" w:rsidRPr="00F879E1">
              <w:rPr>
                <w:rFonts w:ascii="Calibri" w:hAnsi="Calibri" w:cs="Arial"/>
                <w:color w:val="000000"/>
                <w:sz w:val="20"/>
                <w:szCs w:val="19"/>
                <w:lang w:val="en-GB"/>
              </w:rPr>
              <w:t>residents</w:t>
            </w:r>
            <w:r w:rsidRPr="00F879E1">
              <w:rPr>
                <w:rFonts w:ascii="Calibri" w:hAnsi="Calibri" w:cs="Arial"/>
                <w:color w:val="000000"/>
                <w:sz w:val="20"/>
                <w:szCs w:val="19"/>
                <w:lang w:val="en-GB"/>
              </w:rPr>
              <w:t xml:space="preserve"> and special interest groups (e.g. unions)</w:t>
            </w:r>
          </w:p>
          <w:p w14:paraId="50AFDCF0" w14:textId="77777777" w:rsidR="00FA0506" w:rsidRPr="00F879E1" w:rsidRDefault="00FA0506" w:rsidP="004622EC">
            <w:pPr>
              <w:rPr>
                <w:rFonts w:ascii="Calibri" w:hAnsi="Calibri" w:cs="Arial"/>
                <w:color w:val="000000"/>
                <w:sz w:val="20"/>
                <w:szCs w:val="19"/>
                <w:lang w:val="en-GB"/>
              </w:rPr>
            </w:pPr>
            <w:r w:rsidRPr="00F879E1">
              <w:rPr>
                <w:rFonts w:ascii="Calibri" w:hAnsi="Calibri" w:cs="Arial"/>
                <w:color w:val="000000"/>
                <w:sz w:val="20"/>
                <w:szCs w:val="19"/>
                <w:lang w:val="en-GB"/>
              </w:rPr>
              <w:t>Social and political resistance related to NIMBY concerns, special interest group</w:t>
            </w:r>
            <w:r w:rsidR="00652162" w:rsidRPr="00F879E1">
              <w:rPr>
                <w:rFonts w:ascii="Calibri" w:hAnsi="Calibri" w:cs="Arial"/>
                <w:color w:val="000000"/>
                <w:sz w:val="20"/>
                <w:szCs w:val="19"/>
                <w:lang w:val="en-GB"/>
              </w:rPr>
              <w:t>s</w:t>
            </w:r>
            <w:r w:rsidRPr="00F879E1">
              <w:rPr>
                <w:rFonts w:ascii="Calibri" w:hAnsi="Calibri" w:cs="Arial"/>
                <w:color w:val="000000"/>
                <w:sz w:val="20"/>
                <w:szCs w:val="19"/>
                <w:lang w:val="en-GB"/>
              </w:rPr>
              <w:t xml:space="preserve"> </w:t>
            </w:r>
          </w:p>
        </w:tc>
      </w:tr>
      <w:tr w:rsidR="00F17588" w:rsidRPr="00F879E1" w14:paraId="5D0CCF99" w14:textId="77777777" w:rsidTr="00F17588">
        <w:trPr>
          <w:trHeight w:val="406"/>
        </w:trPr>
        <w:tc>
          <w:tcPr>
            <w:tcW w:w="1607" w:type="dxa"/>
            <w:hideMark/>
          </w:tcPr>
          <w:p w14:paraId="10C22B06" w14:textId="205BD24B" w:rsidR="00FA0506" w:rsidRPr="00F879E1" w:rsidRDefault="00FA0506" w:rsidP="004622EC">
            <w:pPr>
              <w:spacing w:before="60"/>
              <w:rPr>
                <w:rFonts w:ascii="Calibri" w:hAnsi="Calibri" w:cs="Arial"/>
                <w:b/>
                <w:bCs/>
                <w:color w:val="000000"/>
                <w:sz w:val="20"/>
                <w:szCs w:val="19"/>
                <w:lang w:val="en-GB"/>
              </w:rPr>
            </w:pPr>
            <w:r w:rsidRPr="00F879E1">
              <w:rPr>
                <w:rFonts w:ascii="Calibri" w:hAnsi="Calibri" w:cs="Arial"/>
                <w:color w:val="000000"/>
                <w:sz w:val="20"/>
                <w:szCs w:val="19"/>
                <w:lang w:val="en-GB"/>
              </w:rPr>
              <w:t>4.</w:t>
            </w:r>
            <w:r w:rsidR="00604D53">
              <w:rPr>
                <w:rFonts w:ascii="Calibri" w:hAnsi="Calibri" w:cs="Arial"/>
                <w:color w:val="000000"/>
                <w:sz w:val="20"/>
                <w:szCs w:val="19"/>
                <w:lang w:val="en-GB"/>
              </w:rPr>
              <w:t xml:space="preserve"> </w:t>
            </w:r>
            <w:r w:rsidR="004954AE">
              <w:rPr>
                <w:rFonts w:ascii="Calibri" w:hAnsi="Calibri" w:cs="Arial"/>
                <w:color w:val="000000"/>
                <w:sz w:val="20"/>
                <w:szCs w:val="19"/>
                <w:lang w:val="en-GB"/>
              </w:rPr>
              <w:t xml:space="preserve">Developer </w:t>
            </w:r>
            <w:r w:rsidR="00A34DA5" w:rsidRPr="00F879E1">
              <w:rPr>
                <w:rFonts w:ascii="Calibri" w:hAnsi="Calibri" w:cs="Arial"/>
                <w:color w:val="000000"/>
                <w:sz w:val="20"/>
                <w:szCs w:val="19"/>
                <w:lang w:val="en-GB"/>
              </w:rPr>
              <w:t>risk</w:t>
            </w:r>
          </w:p>
        </w:tc>
        <w:tc>
          <w:tcPr>
            <w:tcW w:w="3060" w:type="dxa"/>
            <w:hideMark/>
          </w:tcPr>
          <w:p w14:paraId="03F94E8A" w14:textId="043B12ED" w:rsidR="00FA0506" w:rsidRPr="00F879E1" w:rsidRDefault="004954AE" w:rsidP="004954AE">
            <w:pPr>
              <w:spacing w:before="60"/>
              <w:rPr>
                <w:rFonts w:ascii="Calibri" w:hAnsi="Calibri" w:cs="Arial"/>
                <w:color w:val="000000"/>
                <w:sz w:val="20"/>
                <w:szCs w:val="19"/>
                <w:lang w:val="en-GB"/>
              </w:rPr>
            </w:pPr>
            <w:r w:rsidRPr="004954AE">
              <w:rPr>
                <w:rFonts w:ascii="Calibri" w:hAnsi="Calibri" w:cs="Arial"/>
                <w:color w:val="000000"/>
                <w:sz w:val="20"/>
                <w:szCs w:val="19"/>
                <w:lang w:val="en-GB"/>
              </w:rPr>
              <w:t>Risks arising from limitations in the developer's capability to efficiently and eff</w:t>
            </w:r>
            <w:r w:rsidR="0003253D">
              <w:rPr>
                <w:rFonts w:ascii="Calibri" w:hAnsi="Calibri" w:cs="Arial"/>
                <w:color w:val="000000"/>
                <w:sz w:val="20"/>
                <w:szCs w:val="19"/>
                <w:lang w:val="en-GB"/>
              </w:rPr>
              <w:t xml:space="preserve">ectively plan, design, install, </w:t>
            </w:r>
            <w:r w:rsidRPr="004954AE">
              <w:rPr>
                <w:rFonts w:ascii="Calibri" w:hAnsi="Calibri" w:cs="Arial"/>
                <w:color w:val="000000"/>
                <w:sz w:val="20"/>
                <w:szCs w:val="19"/>
                <w:lang w:val="en-GB"/>
              </w:rPr>
              <w:t>operate</w:t>
            </w:r>
            <w:r>
              <w:rPr>
                <w:rFonts w:ascii="Calibri" w:hAnsi="Calibri" w:cs="Arial"/>
                <w:color w:val="000000"/>
                <w:sz w:val="20"/>
                <w:szCs w:val="19"/>
                <w:lang w:val="en-GB"/>
              </w:rPr>
              <w:t xml:space="preserve"> </w:t>
            </w:r>
            <w:r w:rsidR="0003253D">
              <w:rPr>
                <w:rFonts w:ascii="Calibri" w:hAnsi="Calibri" w:cs="Arial"/>
                <w:color w:val="000000"/>
                <w:sz w:val="20"/>
                <w:szCs w:val="19"/>
                <w:lang w:val="en-GB"/>
              </w:rPr>
              <w:t xml:space="preserve">and maintain </w:t>
            </w:r>
            <w:r>
              <w:rPr>
                <w:rFonts w:ascii="Calibri" w:hAnsi="Calibri" w:cs="Arial"/>
                <w:color w:val="000000"/>
                <w:sz w:val="20"/>
                <w:szCs w:val="19"/>
                <w:lang w:val="en-GB"/>
              </w:rPr>
              <w:t>the renewable energy plant</w:t>
            </w:r>
          </w:p>
        </w:tc>
        <w:tc>
          <w:tcPr>
            <w:tcW w:w="4790" w:type="dxa"/>
          </w:tcPr>
          <w:p w14:paraId="0E46B0F1" w14:textId="7ED28936" w:rsidR="00FA0506" w:rsidRPr="00F879E1" w:rsidRDefault="00652162" w:rsidP="004622EC">
            <w:pPr>
              <w:rPr>
                <w:rFonts w:ascii="Calibri" w:hAnsi="Calibri" w:cs="Arial"/>
                <w:color w:val="000000"/>
                <w:sz w:val="20"/>
                <w:szCs w:val="19"/>
                <w:lang w:val="en-GB"/>
              </w:rPr>
            </w:pPr>
            <w:r w:rsidRPr="00F879E1">
              <w:rPr>
                <w:rFonts w:ascii="Calibri" w:hAnsi="Calibri" w:cs="Arial"/>
                <w:i/>
                <w:color w:val="000000"/>
                <w:sz w:val="20"/>
                <w:szCs w:val="19"/>
                <w:lang w:val="en-GB"/>
              </w:rPr>
              <w:t>R</w:t>
            </w:r>
            <w:r w:rsidR="00FA0506" w:rsidRPr="00F879E1">
              <w:rPr>
                <w:rFonts w:ascii="Calibri" w:hAnsi="Calibri" w:cs="Arial"/>
                <w:i/>
                <w:color w:val="000000"/>
                <w:sz w:val="20"/>
                <w:szCs w:val="19"/>
                <w:lang w:val="en-GB"/>
              </w:rPr>
              <w:t>esource assessment and supply:</w:t>
            </w:r>
            <w:r w:rsidR="00FA0506" w:rsidRPr="00F879E1">
              <w:rPr>
                <w:rFonts w:ascii="Calibri" w:hAnsi="Calibri" w:cs="Arial"/>
                <w:color w:val="000000"/>
                <w:sz w:val="20"/>
                <w:szCs w:val="19"/>
                <w:lang w:val="en-GB"/>
              </w:rPr>
              <w:t xml:space="preserve"> inaccuracies in early-stage assessment of renewable energy resource</w:t>
            </w:r>
          </w:p>
          <w:p w14:paraId="48FED8DA" w14:textId="77777777" w:rsidR="00FA0506" w:rsidRPr="00F879E1" w:rsidRDefault="00652162" w:rsidP="004622EC">
            <w:pPr>
              <w:rPr>
                <w:rFonts w:ascii="Calibri" w:hAnsi="Calibri" w:cs="Arial"/>
                <w:color w:val="000000"/>
                <w:sz w:val="20"/>
                <w:szCs w:val="19"/>
                <w:lang w:val="en-GB"/>
              </w:rPr>
            </w:pPr>
            <w:r w:rsidRPr="00F879E1">
              <w:rPr>
                <w:rFonts w:ascii="Calibri" w:hAnsi="Calibri" w:cs="Arial"/>
                <w:i/>
                <w:color w:val="000000"/>
                <w:sz w:val="20"/>
                <w:szCs w:val="19"/>
                <w:lang w:val="en-GB"/>
              </w:rPr>
              <w:t>P</w:t>
            </w:r>
            <w:r w:rsidR="00FA0506" w:rsidRPr="00F879E1">
              <w:rPr>
                <w:rFonts w:ascii="Calibri" w:hAnsi="Calibri" w:cs="Arial"/>
                <w:i/>
                <w:color w:val="000000"/>
                <w:sz w:val="20"/>
                <w:szCs w:val="19"/>
                <w:lang w:val="en-GB"/>
              </w:rPr>
              <w:t>lanning, construction, operations and maintenance:</w:t>
            </w:r>
            <w:r w:rsidR="00FA0506" w:rsidRPr="00F879E1">
              <w:rPr>
                <w:rFonts w:ascii="Calibri" w:hAnsi="Calibri" w:cs="Arial"/>
                <w:color w:val="000000"/>
                <w:sz w:val="20"/>
                <w:szCs w:val="19"/>
                <w:lang w:val="en-GB"/>
              </w:rPr>
              <w:t xml:space="preserve"> uncertainties related to securing land; sub-optimal plant design; lack of local firms offering construction, maintenance services; lack of skilled and experienced local staff; limitations in civil infrastructure (roads</w:t>
            </w:r>
            <w:r w:rsidRPr="00F879E1">
              <w:rPr>
                <w:rFonts w:ascii="Calibri" w:hAnsi="Calibri" w:cs="Arial"/>
                <w:color w:val="000000"/>
                <w:sz w:val="20"/>
                <w:szCs w:val="19"/>
                <w:lang w:val="en-GB"/>
              </w:rPr>
              <w:t>,</w:t>
            </w:r>
            <w:r w:rsidR="00FA0506" w:rsidRPr="00F879E1">
              <w:rPr>
                <w:rFonts w:ascii="Calibri" w:hAnsi="Calibri" w:cs="Arial"/>
                <w:color w:val="000000"/>
                <w:sz w:val="20"/>
                <w:szCs w:val="19"/>
                <w:lang w:val="en-GB"/>
              </w:rPr>
              <w:t xml:space="preserve"> etc.)</w:t>
            </w:r>
          </w:p>
          <w:p w14:paraId="73D21216" w14:textId="4C0B7D89" w:rsidR="00FA0506" w:rsidRPr="00F879E1" w:rsidRDefault="00652162" w:rsidP="004622EC">
            <w:pPr>
              <w:rPr>
                <w:rFonts w:ascii="Calibri" w:hAnsi="Calibri" w:cs="Arial"/>
                <w:color w:val="000000"/>
                <w:sz w:val="20"/>
                <w:szCs w:val="19"/>
                <w:lang w:val="en-GB"/>
              </w:rPr>
            </w:pPr>
            <w:r w:rsidRPr="00F879E1">
              <w:rPr>
                <w:rFonts w:ascii="Calibri" w:hAnsi="Calibri" w:cs="Arial"/>
                <w:i/>
                <w:color w:val="000000"/>
                <w:sz w:val="20"/>
                <w:szCs w:val="19"/>
                <w:lang w:val="en-GB"/>
              </w:rPr>
              <w:t>P</w:t>
            </w:r>
            <w:r w:rsidR="00FA0506" w:rsidRPr="00F879E1">
              <w:rPr>
                <w:rFonts w:ascii="Calibri" w:hAnsi="Calibri" w:cs="Arial"/>
                <w:i/>
                <w:color w:val="000000"/>
                <w:sz w:val="20"/>
                <w:szCs w:val="19"/>
                <w:lang w:val="en-GB"/>
              </w:rPr>
              <w:t>urchase of hardware:</w:t>
            </w:r>
            <w:r w:rsidR="00FA0506" w:rsidRPr="00F879E1">
              <w:rPr>
                <w:rFonts w:ascii="Calibri" w:hAnsi="Calibri" w:cs="Arial"/>
                <w:color w:val="000000"/>
                <w:sz w:val="20"/>
                <w:szCs w:val="19"/>
                <w:lang w:val="en-GB"/>
              </w:rPr>
              <w:t xml:space="preserve"> </w:t>
            </w:r>
            <w:r w:rsidR="0019295A">
              <w:rPr>
                <w:rFonts w:ascii="Calibri" w:hAnsi="Calibri" w:cs="Arial"/>
                <w:color w:val="000000"/>
                <w:sz w:val="20"/>
                <w:szCs w:val="19"/>
                <w:lang w:val="en-GB"/>
              </w:rPr>
              <w:t>developer</w:t>
            </w:r>
            <w:r w:rsidR="0019295A" w:rsidRPr="00F879E1">
              <w:rPr>
                <w:rFonts w:ascii="Calibri" w:hAnsi="Calibri" w:cs="Arial"/>
                <w:color w:val="000000"/>
                <w:sz w:val="20"/>
                <w:szCs w:val="19"/>
                <w:lang w:val="en-GB"/>
              </w:rPr>
              <w:t xml:space="preserve">'s </w:t>
            </w:r>
            <w:r w:rsidR="00FA0506" w:rsidRPr="00F879E1">
              <w:rPr>
                <w:rFonts w:ascii="Calibri" w:hAnsi="Calibri" w:cs="Arial"/>
                <w:color w:val="000000"/>
                <w:sz w:val="20"/>
                <w:szCs w:val="19"/>
                <w:lang w:val="en-GB"/>
              </w:rPr>
              <w:t>lack of information on quality, reliability and cost of hardware; lack of suitability of hardware to local climatic and physical conditions</w:t>
            </w:r>
          </w:p>
        </w:tc>
      </w:tr>
      <w:tr w:rsidR="00F17588" w:rsidRPr="00F879E1" w14:paraId="5B00D0E5" w14:textId="77777777" w:rsidTr="00F17588">
        <w:trPr>
          <w:trHeight w:val="1526"/>
        </w:trPr>
        <w:tc>
          <w:tcPr>
            <w:tcW w:w="1607" w:type="dxa"/>
          </w:tcPr>
          <w:p w14:paraId="4F85194A" w14:textId="77777777" w:rsidR="00FA0506" w:rsidRPr="00F879E1" w:rsidRDefault="00A80521" w:rsidP="004622EC">
            <w:pPr>
              <w:spacing w:before="60"/>
              <w:rPr>
                <w:rFonts w:ascii="Calibri" w:hAnsi="Calibri" w:cs="Arial"/>
                <w:b/>
                <w:bCs/>
                <w:color w:val="000000"/>
                <w:sz w:val="20"/>
                <w:szCs w:val="19"/>
                <w:lang w:val="en-GB"/>
              </w:rPr>
            </w:pPr>
            <w:r w:rsidRPr="00F879E1">
              <w:rPr>
                <w:rFonts w:ascii="Calibri" w:hAnsi="Calibri" w:cs="Arial"/>
                <w:color w:val="000000"/>
                <w:sz w:val="20"/>
                <w:szCs w:val="19"/>
                <w:lang w:val="en-GB"/>
              </w:rPr>
              <w:t>5.</w:t>
            </w:r>
            <w:r w:rsidR="00047121" w:rsidRPr="00F879E1">
              <w:rPr>
                <w:rFonts w:ascii="Calibri" w:hAnsi="Calibri" w:cs="Arial"/>
                <w:color w:val="000000"/>
                <w:sz w:val="20"/>
                <w:szCs w:val="19"/>
                <w:lang w:val="en-GB"/>
              </w:rPr>
              <w:t xml:space="preserve"> </w:t>
            </w:r>
            <w:r w:rsidR="00FA0506" w:rsidRPr="00F879E1">
              <w:rPr>
                <w:rFonts w:ascii="Calibri" w:hAnsi="Calibri" w:cs="Arial"/>
                <w:color w:val="000000"/>
                <w:sz w:val="20"/>
                <w:szCs w:val="19"/>
                <w:lang w:val="en-GB"/>
              </w:rPr>
              <w:t>Grid/</w:t>
            </w:r>
            <w:r w:rsidR="00FA0506" w:rsidRPr="00F879E1">
              <w:rPr>
                <w:rFonts w:ascii="Calibri" w:hAnsi="Calibri" w:cs="Arial"/>
                <w:color w:val="000000"/>
                <w:sz w:val="20"/>
                <w:szCs w:val="19"/>
                <w:lang w:val="en-GB"/>
              </w:rPr>
              <w:br/>
              <w:t>Transmission</w:t>
            </w:r>
            <w:r w:rsidR="00A34DA5" w:rsidRPr="00F879E1">
              <w:rPr>
                <w:rFonts w:ascii="Calibri" w:hAnsi="Calibri" w:cs="Arial"/>
                <w:color w:val="000000"/>
                <w:sz w:val="20"/>
                <w:szCs w:val="19"/>
                <w:lang w:val="en-GB"/>
              </w:rPr>
              <w:t xml:space="preserve"> risk</w:t>
            </w:r>
          </w:p>
        </w:tc>
        <w:tc>
          <w:tcPr>
            <w:tcW w:w="3060" w:type="dxa"/>
          </w:tcPr>
          <w:p w14:paraId="40281DA0" w14:textId="77777777" w:rsidR="00FA0506" w:rsidRPr="00F879E1" w:rsidRDefault="00FA0506" w:rsidP="004622EC">
            <w:pPr>
              <w:spacing w:before="60"/>
              <w:rPr>
                <w:rFonts w:ascii="Calibri" w:hAnsi="Calibri" w:cs="Arial"/>
                <w:color w:val="000000"/>
                <w:sz w:val="20"/>
                <w:szCs w:val="19"/>
                <w:lang w:val="en-GB"/>
              </w:rPr>
            </w:pPr>
            <w:r w:rsidRPr="00F879E1">
              <w:rPr>
                <w:rFonts w:ascii="Calibri" w:hAnsi="Calibri" w:cs="Arial"/>
                <w:color w:val="000000"/>
                <w:sz w:val="20"/>
                <w:szCs w:val="19"/>
                <w:lang w:val="en-GB"/>
              </w:rPr>
              <w:t>Risks arising from limitations in grid management and transmission infrastructure</w:t>
            </w:r>
          </w:p>
        </w:tc>
        <w:tc>
          <w:tcPr>
            <w:tcW w:w="4790" w:type="dxa"/>
          </w:tcPr>
          <w:p w14:paraId="5E05529F" w14:textId="77777777" w:rsidR="00FA0506" w:rsidRPr="00F879E1" w:rsidRDefault="00FA0506" w:rsidP="004622EC">
            <w:pPr>
              <w:rPr>
                <w:rFonts w:ascii="Calibri" w:hAnsi="Calibri" w:cs="Arial"/>
                <w:color w:val="000000"/>
                <w:sz w:val="20"/>
                <w:szCs w:val="19"/>
                <w:lang w:val="en-GB"/>
              </w:rPr>
            </w:pPr>
            <w:r w:rsidRPr="00F879E1">
              <w:rPr>
                <w:rFonts w:ascii="Calibri" w:hAnsi="Calibri" w:cs="Arial"/>
                <w:i/>
                <w:color w:val="000000"/>
                <w:sz w:val="20"/>
                <w:szCs w:val="19"/>
                <w:lang w:val="en-GB"/>
              </w:rPr>
              <w:t>Grid code and management:</w:t>
            </w:r>
            <w:r w:rsidRPr="00F879E1">
              <w:rPr>
                <w:rFonts w:ascii="Calibri" w:hAnsi="Calibri" w:cs="Arial"/>
                <w:color w:val="000000"/>
                <w:sz w:val="20"/>
                <w:szCs w:val="19"/>
                <w:lang w:val="en-GB"/>
              </w:rPr>
              <w:t xml:space="preserve"> Lack of standards for the integration of intermittent, renewable energy sources into the grid; limited experience or suboptimal track-record off-grid operator with intermittent sources (e.g., grid management and stability)</w:t>
            </w:r>
          </w:p>
          <w:p w14:paraId="0D3F9341" w14:textId="77777777" w:rsidR="00FA0506" w:rsidRPr="00F879E1" w:rsidRDefault="00FA0506" w:rsidP="004622EC">
            <w:pPr>
              <w:rPr>
                <w:rFonts w:ascii="Calibri" w:hAnsi="Calibri" w:cs="Arial"/>
                <w:color w:val="000000"/>
                <w:sz w:val="20"/>
                <w:szCs w:val="19"/>
                <w:lang w:val="en-GB"/>
              </w:rPr>
            </w:pPr>
            <w:r w:rsidRPr="00F879E1">
              <w:rPr>
                <w:rFonts w:ascii="Calibri" w:hAnsi="Calibri" w:cs="Arial"/>
                <w:i/>
                <w:color w:val="000000"/>
                <w:sz w:val="20"/>
                <w:szCs w:val="19"/>
                <w:lang w:val="en-GB"/>
              </w:rPr>
              <w:t>Transmission infrastructure:</w:t>
            </w:r>
            <w:r w:rsidRPr="00F879E1">
              <w:rPr>
                <w:rFonts w:ascii="Calibri" w:hAnsi="Calibri" w:cs="Arial"/>
                <w:color w:val="000000"/>
                <w:sz w:val="20"/>
                <w:szCs w:val="19"/>
                <w:lang w:val="en-GB"/>
              </w:rPr>
              <w:t xml:space="preserve"> inadequate or antiquated grid infrastructure, including lack of transmission lines from the renewable energy source to load centres; uncertainties </w:t>
            </w:r>
            <w:r w:rsidR="00652162" w:rsidRPr="00F879E1">
              <w:rPr>
                <w:rFonts w:ascii="Calibri" w:hAnsi="Calibri" w:cs="Arial"/>
                <w:color w:val="000000"/>
                <w:sz w:val="20"/>
                <w:szCs w:val="19"/>
                <w:lang w:val="en-GB"/>
              </w:rPr>
              <w:t xml:space="preserve">related to </w:t>
            </w:r>
            <w:r w:rsidRPr="00F879E1">
              <w:rPr>
                <w:rFonts w:ascii="Calibri" w:hAnsi="Calibri" w:cs="Arial"/>
                <w:color w:val="000000"/>
                <w:sz w:val="20"/>
                <w:szCs w:val="19"/>
                <w:lang w:val="en-GB"/>
              </w:rPr>
              <w:t>construction of new transmission infrastructure</w:t>
            </w:r>
          </w:p>
        </w:tc>
      </w:tr>
      <w:tr w:rsidR="00F17588" w:rsidRPr="00F879E1" w14:paraId="7D05370C" w14:textId="77777777" w:rsidTr="00F17588">
        <w:trPr>
          <w:trHeight w:val="1346"/>
        </w:trPr>
        <w:tc>
          <w:tcPr>
            <w:tcW w:w="1607" w:type="dxa"/>
          </w:tcPr>
          <w:p w14:paraId="495AC871" w14:textId="77777777" w:rsidR="00FA0506" w:rsidRPr="00F879E1" w:rsidRDefault="00A80521" w:rsidP="004622EC">
            <w:pPr>
              <w:spacing w:before="60"/>
              <w:rPr>
                <w:rFonts w:ascii="Calibri" w:hAnsi="Calibri" w:cs="Arial"/>
                <w:b/>
                <w:bCs/>
                <w:color w:val="000000"/>
                <w:sz w:val="20"/>
                <w:szCs w:val="19"/>
                <w:lang w:val="en-GB"/>
              </w:rPr>
            </w:pPr>
            <w:r w:rsidRPr="00F879E1">
              <w:rPr>
                <w:rFonts w:ascii="Calibri" w:hAnsi="Calibri" w:cs="Arial"/>
                <w:color w:val="000000"/>
                <w:sz w:val="20"/>
                <w:szCs w:val="19"/>
                <w:lang w:val="en-GB"/>
              </w:rPr>
              <w:t>6.</w:t>
            </w:r>
            <w:r w:rsidR="00047121" w:rsidRPr="00F879E1">
              <w:rPr>
                <w:rFonts w:ascii="Calibri" w:hAnsi="Calibri" w:cs="Arial"/>
                <w:color w:val="000000"/>
                <w:sz w:val="20"/>
                <w:szCs w:val="19"/>
                <w:lang w:val="en-GB"/>
              </w:rPr>
              <w:t xml:space="preserve"> </w:t>
            </w:r>
            <w:r w:rsidR="00FA0506" w:rsidRPr="00F879E1">
              <w:rPr>
                <w:rFonts w:ascii="Calibri" w:hAnsi="Calibri" w:cs="Arial"/>
                <w:color w:val="000000"/>
                <w:sz w:val="20"/>
                <w:szCs w:val="19"/>
                <w:lang w:val="en-GB"/>
              </w:rPr>
              <w:t>Counterparty</w:t>
            </w:r>
            <w:r w:rsidR="00A34DA5" w:rsidRPr="00F879E1">
              <w:rPr>
                <w:rFonts w:ascii="Calibri" w:hAnsi="Calibri" w:cs="Arial"/>
                <w:color w:val="000000"/>
                <w:sz w:val="20"/>
                <w:szCs w:val="19"/>
                <w:lang w:val="en-GB"/>
              </w:rPr>
              <w:t xml:space="preserve"> risk</w:t>
            </w:r>
          </w:p>
        </w:tc>
        <w:tc>
          <w:tcPr>
            <w:tcW w:w="3060" w:type="dxa"/>
          </w:tcPr>
          <w:p w14:paraId="3AC87C6E" w14:textId="77777777" w:rsidR="00FA0506" w:rsidRPr="00F879E1" w:rsidRDefault="00FA0506" w:rsidP="004622EC">
            <w:pPr>
              <w:spacing w:before="60"/>
              <w:rPr>
                <w:rFonts w:ascii="Calibri" w:hAnsi="Calibri" w:cs="Arial"/>
                <w:color w:val="000000"/>
                <w:sz w:val="20"/>
                <w:szCs w:val="19"/>
                <w:lang w:val="en-GB"/>
              </w:rPr>
            </w:pPr>
            <w:r w:rsidRPr="00F879E1">
              <w:rPr>
                <w:rFonts w:ascii="Calibri" w:hAnsi="Calibri" w:cs="Arial"/>
                <w:color w:val="000000"/>
                <w:sz w:val="20"/>
                <w:szCs w:val="19"/>
                <w:lang w:val="en-GB"/>
              </w:rPr>
              <w:t>Risks arising from limitations in the developer's ability to efficiently and effectively design, install, operate</w:t>
            </w:r>
            <w:r w:rsidR="00652162" w:rsidRPr="00F879E1">
              <w:rPr>
                <w:rFonts w:ascii="Calibri" w:hAnsi="Calibri" w:cs="Arial"/>
                <w:color w:val="000000"/>
                <w:sz w:val="20"/>
                <w:szCs w:val="19"/>
                <w:lang w:val="en-GB"/>
              </w:rPr>
              <w:t>,</w:t>
            </w:r>
            <w:r w:rsidRPr="00F879E1">
              <w:rPr>
                <w:rFonts w:ascii="Calibri" w:hAnsi="Calibri" w:cs="Arial"/>
                <w:color w:val="000000"/>
                <w:sz w:val="20"/>
                <w:szCs w:val="19"/>
                <w:lang w:val="en-GB"/>
              </w:rPr>
              <w:t xml:space="preserve"> maintain and monitor application</w:t>
            </w:r>
          </w:p>
        </w:tc>
        <w:tc>
          <w:tcPr>
            <w:tcW w:w="4790" w:type="dxa"/>
          </w:tcPr>
          <w:p w14:paraId="385A5896" w14:textId="77777777" w:rsidR="00FA0506" w:rsidRPr="00F879E1" w:rsidRDefault="00FA0506" w:rsidP="008A30D6">
            <w:pPr>
              <w:rPr>
                <w:rFonts w:ascii="Calibri" w:hAnsi="Calibri" w:cs="Arial"/>
                <w:color w:val="000000"/>
                <w:sz w:val="20"/>
                <w:szCs w:val="19"/>
                <w:lang w:val="en-GB"/>
              </w:rPr>
            </w:pPr>
            <w:r w:rsidRPr="00F879E1">
              <w:rPr>
                <w:rFonts w:ascii="Calibri" w:hAnsi="Calibri" w:cs="Arial"/>
                <w:color w:val="000000"/>
                <w:sz w:val="20"/>
                <w:szCs w:val="19"/>
                <w:lang w:val="en-GB"/>
              </w:rPr>
              <w:t xml:space="preserve">Limitations in the </w:t>
            </w:r>
            <w:r w:rsidR="000D09AB" w:rsidRPr="00F879E1">
              <w:rPr>
                <w:rFonts w:ascii="Calibri" w:hAnsi="Calibri" w:cs="Arial"/>
                <w:color w:val="000000"/>
                <w:sz w:val="20"/>
                <w:szCs w:val="19"/>
                <w:lang w:val="en-GB"/>
              </w:rPr>
              <w:t>settlement centre</w:t>
            </w:r>
            <w:r w:rsidRPr="00F879E1">
              <w:rPr>
                <w:rFonts w:ascii="Calibri" w:hAnsi="Calibri" w:cs="Arial"/>
                <w:color w:val="000000"/>
                <w:sz w:val="20"/>
                <w:szCs w:val="19"/>
                <w:lang w:val="en-GB"/>
              </w:rPr>
              <w:t xml:space="preserve">'s (electricity purchaser) credit quality, corporate </w:t>
            </w:r>
            <w:r w:rsidR="008A30D6" w:rsidRPr="00F879E1">
              <w:rPr>
                <w:rFonts w:ascii="Calibri" w:hAnsi="Calibri" w:cs="Arial"/>
                <w:color w:val="000000"/>
                <w:sz w:val="20"/>
                <w:szCs w:val="19"/>
                <w:lang w:val="en-GB"/>
              </w:rPr>
              <w:t>structure</w:t>
            </w:r>
            <w:r w:rsidR="00762F9A" w:rsidRPr="00F879E1">
              <w:rPr>
                <w:rFonts w:ascii="Calibri" w:hAnsi="Calibri" w:cs="Arial"/>
                <w:color w:val="000000"/>
                <w:sz w:val="20"/>
                <w:szCs w:val="19"/>
                <w:lang w:val="en-GB"/>
              </w:rPr>
              <w:t xml:space="preserve"> </w:t>
            </w:r>
            <w:r w:rsidRPr="00F879E1">
              <w:rPr>
                <w:rFonts w:ascii="Calibri" w:hAnsi="Calibri" w:cs="Arial"/>
                <w:color w:val="000000"/>
                <w:sz w:val="20"/>
                <w:szCs w:val="19"/>
                <w:lang w:val="en-GB"/>
              </w:rPr>
              <w:t>and operational track-record; unfavourable policies regarding cost-recovery arrangements</w:t>
            </w:r>
            <w:r w:rsidR="008A30D6" w:rsidRPr="00F879E1">
              <w:rPr>
                <w:rFonts w:ascii="Calibri" w:hAnsi="Calibri" w:cs="Arial"/>
                <w:color w:val="000000"/>
                <w:sz w:val="20"/>
                <w:szCs w:val="19"/>
                <w:lang w:val="en-GB"/>
              </w:rPr>
              <w:t xml:space="preserve"> of the traditional power producers</w:t>
            </w:r>
          </w:p>
        </w:tc>
      </w:tr>
      <w:tr w:rsidR="00F17588" w:rsidRPr="00F879E1" w14:paraId="2B3E72AD" w14:textId="77777777" w:rsidTr="00F17588">
        <w:trPr>
          <w:trHeight w:val="60"/>
        </w:trPr>
        <w:tc>
          <w:tcPr>
            <w:tcW w:w="1607" w:type="dxa"/>
          </w:tcPr>
          <w:p w14:paraId="4C1DCF47" w14:textId="77777777" w:rsidR="00FA0506" w:rsidRPr="00F879E1" w:rsidRDefault="00A80521" w:rsidP="004622EC">
            <w:pPr>
              <w:widowControl w:val="0"/>
              <w:autoSpaceDE w:val="0"/>
              <w:autoSpaceDN w:val="0"/>
              <w:adjustRightInd w:val="0"/>
              <w:spacing w:before="60"/>
              <w:rPr>
                <w:rFonts w:ascii="Calibri" w:hAnsi="Calibri" w:cs="Arial"/>
                <w:b/>
                <w:bCs/>
                <w:color w:val="000000"/>
                <w:sz w:val="20"/>
                <w:szCs w:val="19"/>
                <w:lang w:val="en-GB"/>
              </w:rPr>
            </w:pPr>
            <w:r w:rsidRPr="00F879E1">
              <w:rPr>
                <w:rFonts w:ascii="Calibri" w:hAnsi="Calibri" w:cs="Arial"/>
                <w:color w:val="000000"/>
                <w:sz w:val="20"/>
                <w:szCs w:val="19"/>
                <w:lang w:val="en-GB"/>
              </w:rPr>
              <w:t>7.</w:t>
            </w:r>
            <w:r w:rsidR="00047121" w:rsidRPr="00F879E1">
              <w:rPr>
                <w:rFonts w:ascii="Calibri" w:hAnsi="Calibri" w:cs="Arial"/>
                <w:color w:val="000000"/>
                <w:sz w:val="20"/>
                <w:szCs w:val="19"/>
                <w:lang w:val="en-GB"/>
              </w:rPr>
              <w:t xml:space="preserve"> </w:t>
            </w:r>
            <w:r w:rsidR="00FA0506" w:rsidRPr="00F879E1">
              <w:rPr>
                <w:rFonts w:ascii="Calibri" w:hAnsi="Calibri" w:cs="Arial"/>
                <w:color w:val="000000"/>
                <w:sz w:val="20"/>
                <w:szCs w:val="19"/>
                <w:lang w:val="en-GB"/>
              </w:rPr>
              <w:t>Financial Sector</w:t>
            </w:r>
            <w:r w:rsidR="00A34DA5" w:rsidRPr="00F879E1">
              <w:rPr>
                <w:rFonts w:ascii="Calibri" w:hAnsi="Calibri" w:cs="Arial"/>
                <w:color w:val="000000"/>
                <w:sz w:val="20"/>
                <w:szCs w:val="19"/>
                <w:lang w:val="en-GB"/>
              </w:rPr>
              <w:t xml:space="preserve"> risk</w:t>
            </w:r>
          </w:p>
        </w:tc>
        <w:tc>
          <w:tcPr>
            <w:tcW w:w="3060" w:type="dxa"/>
          </w:tcPr>
          <w:p w14:paraId="2EA5C3D1" w14:textId="77777777" w:rsidR="00FA0506" w:rsidRPr="00F879E1" w:rsidRDefault="00FA0506" w:rsidP="004622EC">
            <w:pPr>
              <w:spacing w:before="60"/>
              <w:rPr>
                <w:rFonts w:ascii="Calibri" w:hAnsi="Calibri" w:cs="Arial"/>
                <w:color w:val="000000"/>
                <w:sz w:val="20"/>
                <w:szCs w:val="19"/>
                <w:lang w:val="en-GB"/>
              </w:rPr>
            </w:pPr>
            <w:r w:rsidRPr="00F879E1">
              <w:rPr>
                <w:rFonts w:ascii="Calibri" w:hAnsi="Calibri" w:cs="Arial"/>
                <w:color w:val="000000"/>
                <w:sz w:val="20"/>
                <w:szCs w:val="19"/>
                <w:lang w:val="en-GB"/>
              </w:rPr>
              <w:t xml:space="preserve">Risks arising from the lack of information and track record on financial aspects of renewable energy, and general scarcity of investor capital (debt and equity), in the </w:t>
            </w:r>
            <w:r w:rsidR="00762F9A" w:rsidRPr="00F879E1">
              <w:rPr>
                <w:rFonts w:ascii="Calibri" w:hAnsi="Calibri" w:cs="Arial"/>
                <w:color w:val="000000"/>
                <w:sz w:val="20"/>
                <w:szCs w:val="19"/>
                <w:lang w:val="en-GB"/>
              </w:rPr>
              <w:t>country</w:t>
            </w:r>
            <w:r w:rsidRPr="00F879E1">
              <w:rPr>
                <w:rFonts w:ascii="Calibri" w:hAnsi="Calibri" w:cs="Arial"/>
                <w:color w:val="000000"/>
                <w:sz w:val="20"/>
                <w:szCs w:val="19"/>
                <w:lang w:val="en-GB"/>
              </w:rPr>
              <w:t xml:space="preserve"> </w:t>
            </w:r>
          </w:p>
        </w:tc>
        <w:tc>
          <w:tcPr>
            <w:tcW w:w="4790" w:type="dxa"/>
          </w:tcPr>
          <w:p w14:paraId="2855E76B" w14:textId="77777777" w:rsidR="00FA0506" w:rsidRPr="00F879E1" w:rsidRDefault="00FA0506" w:rsidP="004622EC">
            <w:pPr>
              <w:rPr>
                <w:rFonts w:ascii="Calibri" w:hAnsi="Calibri" w:cs="Arial"/>
                <w:color w:val="000000"/>
                <w:sz w:val="20"/>
                <w:szCs w:val="19"/>
                <w:lang w:val="en-GB"/>
              </w:rPr>
            </w:pPr>
            <w:r w:rsidRPr="00F879E1">
              <w:rPr>
                <w:rFonts w:ascii="Calibri" w:hAnsi="Calibri" w:cs="Arial"/>
                <w:i/>
                <w:color w:val="000000"/>
                <w:sz w:val="20"/>
                <w:szCs w:val="19"/>
                <w:lang w:val="en-GB"/>
              </w:rPr>
              <w:t>Capital scarcity:</w:t>
            </w:r>
            <w:r w:rsidRPr="00F879E1">
              <w:rPr>
                <w:rFonts w:ascii="Calibri" w:hAnsi="Calibri" w:cs="Arial"/>
                <w:color w:val="000000"/>
                <w:sz w:val="20"/>
                <w:szCs w:val="19"/>
                <w:lang w:val="en-GB"/>
              </w:rPr>
              <w:t xml:space="preserve"> Limited availability of local or international capital (equity/and or debt) for green infrastructure due to, for example: under-developed local financial sector</w:t>
            </w:r>
            <w:r w:rsidR="00652162" w:rsidRPr="00F879E1">
              <w:rPr>
                <w:rFonts w:ascii="Calibri" w:hAnsi="Calibri" w:cs="Arial"/>
                <w:color w:val="000000"/>
                <w:sz w:val="20"/>
                <w:szCs w:val="19"/>
                <w:lang w:val="en-GB"/>
              </w:rPr>
              <w:t>,</w:t>
            </w:r>
            <w:r w:rsidRPr="00F879E1">
              <w:rPr>
                <w:rFonts w:ascii="Calibri" w:hAnsi="Calibri" w:cs="Arial"/>
                <w:color w:val="000000"/>
                <w:sz w:val="20"/>
                <w:szCs w:val="19"/>
                <w:lang w:val="en-GB"/>
              </w:rPr>
              <w:t xml:space="preserve"> policy bias against investors in green energy</w:t>
            </w:r>
          </w:p>
          <w:p w14:paraId="029BBA15" w14:textId="77777777" w:rsidR="00FA0506" w:rsidRPr="00F879E1" w:rsidRDefault="00FA0506" w:rsidP="004622EC">
            <w:pPr>
              <w:rPr>
                <w:rFonts w:ascii="Calibri" w:hAnsi="Calibri" w:cs="Arial"/>
                <w:color w:val="000000"/>
                <w:sz w:val="20"/>
                <w:szCs w:val="19"/>
                <w:lang w:val="en-GB"/>
              </w:rPr>
            </w:pPr>
            <w:r w:rsidRPr="00F879E1">
              <w:rPr>
                <w:rFonts w:ascii="Calibri" w:hAnsi="Calibri" w:cs="Arial"/>
                <w:i/>
                <w:color w:val="000000"/>
                <w:sz w:val="20"/>
                <w:szCs w:val="19"/>
                <w:lang w:val="en-GB"/>
              </w:rPr>
              <w:t>Limited experience with renewable energy:</w:t>
            </w:r>
            <w:r w:rsidRPr="00F879E1">
              <w:rPr>
                <w:rFonts w:ascii="Calibri" w:hAnsi="Calibri" w:cs="Arial"/>
                <w:color w:val="000000"/>
                <w:sz w:val="20"/>
                <w:szCs w:val="19"/>
                <w:lang w:val="en-GB"/>
              </w:rPr>
              <w:t xml:space="preserve"> Lack of information, assessment skills and track-record for renewable energy projects amongst investor community; lack of network effects (investors, investment opportunities) found in established markets; lack of familiarity and skills with project finance structures</w:t>
            </w:r>
          </w:p>
        </w:tc>
      </w:tr>
      <w:tr w:rsidR="00F17588" w:rsidRPr="00F879E1" w14:paraId="470A83C4" w14:textId="77777777" w:rsidTr="00F17588">
        <w:trPr>
          <w:trHeight w:val="43"/>
        </w:trPr>
        <w:tc>
          <w:tcPr>
            <w:tcW w:w="1607" w:type="dxa"/>
          </w:tcPr>
          <w:p w14:paraId="15C20F6C" w14:textId="77777777" w:rsidR="00FA0506" w:rsidRPr="00F879E1" w:rsidRDefault="00FA0506" w:rsidP="004622EC">
            <w:pPr>
              <w:spacing w:before="60"/>
              <w:rPr>
                <w:rFonts w:ascii="Calibri" w:hAnsi="Calibri" w:cs="Arial"/>
                <w:b/>
                <w:bCs/>
                <w:color w:val="000000"/>
                <w:sz w:val="20"/>
                <w:szCs w:val="19"/>
                <w:lang w:val="en-GB"/>
              </w:rPr>
            </w:pPr>
            <w:r w:rsidRPr="00F879E1">
              <w:rPr>
                <w:rFonts w:ascii="Calibri" w:hAnsi="Calibri" w:cs="Arial"/>
                <w:color w:val="000000"/>
                <w:sz w:val="20"/>
                <w:szCs w:val="19"/>
                <w:lang w:val="en-GB"/>
              </w:rPr>
              <w:t>8.</w:t>
            </w:r>
            <w:r w:rsidR="00047121" w:rsidRPr="00F879E1">
              <w:rPr>
                <w:rFonts w:ascii="Calibri" w:hAnsi="Calibri" w:cs="Arial"/>
                <w:color w:val="000000"/>
                <w:sz w:val="20"/>
                <w:szCs w:val="19"/>
                <w:lang w:val="en-GB"/>
              </w:rPr>
              <w:t xml:space="preserve"> </w:t>
            </w:r>
            <w:r w:rsidRPr="00F879E1">
              <w:rPr>
                <w:rFonts w:ascii="Calibri" w:hAnsi="Calibri" w:cs="Arial"/>
                <w:color w:val="000000"/>
                <w:sz w:val="20"/>
                <w:szCs w:val="19"/>
                <w:lang w:val="en-GB"/>
              </w:rPr>
              <w:t>Political</w:t>
            </w:r>
            <w:r w:rsidR="00A34DA5" w:rsidRPr="00F879E1">
              <w:rPr>
                <w:rFonts w:ascii="Calibri" w:hAnsi="Calibri" w:cs="Arial"/>
                <w:color w:val="000000"/>
                <w:sz w:val="20"/>
                <w:szCs w:val="19"/>
                <w:lang w:val="en-GB"/>
              </w:rPr>
              <w:t xml:space="preserve"> risk</w:t>
            </w:r>
          </w:p>
        </w:tc>
        <w:tc>
          <w:tcPr>
            <w:tcW w:w="3060" w:type="dxa"/>
          </w:tcPr>
          <w:p w14:paraId="50D67208" w14:textId="77777777" w:rsidR="00FA0506" w:rsidRPr="00F879E1" w:rsidRDefault="00FA0506" w:rsidP="004622EC">
            <w:pPr>
              <w:spacing w:before="60"/>
              <w:rPr>
                <w:rFonts w:ascii="Calibri" w:hAnsi="Calibri" w:cs="Arial"/>
                <w:color w:val="000000"/>
                <w:sz w:val="20"/>
                <w:szCs w:val="19"/>
                <w:lang w:val="en-GB"/>
              </w:rPr>
            </w:pPr>
            <w:r w:rsidRPr="00F879E1">
              <w:rPr>
                <w:rFonts w:ascii="Calibri" w:hAnsi="Calibri" w:cs="Arial"/>
                <w:color w:val="000000"/>
                <w:sz w:val="20"/>
                <w:szCs w:val="19"/>
                <w:lang w:val="en-GB"/>
              </w:rPr>
              <w:t>Risks arising from country specific governance and legal characteristics</w:t>
            </w:r>
          </w:p>
        </w:tc>
        <w:tc>
          <w:tcPr>
            <w:tcW w:w="4790" w:type="dxa"/>
          </w:tcPr>
          <w:p w14:paraId="4DE187E7" w14:textId="77777777" w:rsidR="00FA0506" w:rsidRPr="00F879E1" w:rsidRDefault="00FA0506" w:rsidP="004622EC">
            <w:pPr>
              <w:rPr>
                <w:rFonts w:ascii="Calibri" w:hAnsi="Calibri" w:cs="Arial"/>
                <w:color w:val="000000"/>
                <w:sz w:val="20"/>
                <w:szCs w:val="19"/>
                <w:lang w:val="en-GB"/>
              </w:rPr>
            </w:pPr>
            <w:r w:rsidRPr="00F879E1">
              <w:rPr>
                <w:rFonts w:ascii="Calibri" w:hAnsi="Calibri" w:cs="Arial"/>
                <w:color w:val="000000"/>
                <w:sz w:val="20"/>
                <w:szCs w:val="19"/>
                <w:lang w:val="en-GB"/>
              </w:rPr>
              <w:t>Uncertainty or impediments due to war, terrorism, and/or civil disturbance</w:t>
            </w:r>
          </w:p>
          <w:p w14:paraId="60279171" w14:textId="77777777" w:rsidR="00FA0506" w:rsidRPr="00F879E1" w:rsidRDefault="00FA0506" w:rsidP="004622EC">
            <w:pPr>
              <w:rPr>
                <w:rFonts w:ascii="Calibri" w:hAnsi="Calibri" w:cs="Arial"/>
                <w:color w:val="000000"/>
                <w:sz w:val="20"/>
                <w:szCs w:val="19"/>
                <w:lang w:val="en-GB"/>
              </w:rPr>
            </w:pPr>
            <w:r w:rsidRPr="00F879E1">
              <w:rPr>
                <w:rFonts w:ascii="Calibri" w:hAnsi="Calibri" w:cs="Arial"/>
                <w:color w:val="000000"/>
                <w:sz w:val="20"/>
                <w:szCs w:val="19"/>
                <w:lang w:val="en-GB"/>
              </w:rPr>
              <w:t>Uncertainty due to high political instability; poor governance; poor rule of law and institutions</w:t>
            </w:r>
          </w:p>
          <w:p w14:paraId="690384CC" w14:textId="77777777" w:rsidR="00FA0506" w:rsidRPr="00F879E1" w:rsidRDefault="00FA0506" w:rsidP="004622EC">
            <w:pPr>
              <w:rPr>
                <w:rFonts w:ascii="Calibri" w:hAnsi="Calibri" w:cs="Arial"/>
                <w:color w:val="000000"/>
                <w:sz w:val="20"/>
                <w:szCs w:val="19"/>
                <w:lang w:val="en-GB"/>
              </w:rPr>
            </w:pPr>
            <w:r w:rsidRPr="00F879E1">
              <w:rPr>
                <w:rFonts w:ascii="Calibri" w:hAnsi="Calibri" w:cs="Arial"/>
                <w:color w:val="000000"/>
                <w:sz w:val="20"/>
                <w:szCs w:val="19"/>
                <w:lang w:val="en-GB"/>
              </w:rPr>
              <w:t>Uncertainty or impediments due to government policy (currency restrictions, corporate taxes)</w:t>
            </w:r>
          </w:p>
        </w:tc>
      </w:tr>
      <w:tr w:rsidR="00F17588" w:rsidRPr="00F879E1" w14:paraId="47CEAB37" w14:textId="77777777" w:rsidTr="00F17588">
        <w:trPr>
          <w:trHeight w:val="115"/>
        </w:trPr>
        <w:tc>
          <w:tcPr>
            <w:tcW w:w="1607" w:type="dxa"/>
          </w:tcPr>
          <w:p w14:paraId="796DC121" w14:textId="77777777" w:rsidR="00FA0506" w:rsidRPr="00F879E1" w:rsidRDefault="00FA0506" w:rsidP="004622EC">
            <w:pPr>
              <w:keepNext/>
              <w:keepLines/>
              <w:spacing w:before="60"/>
              <w:rPr>
                <w:rFonts w:ascii="Calibri" w:hAnsi="Calibri" w:cs="Arial"/>
                <w:b/>
                <w:bCs/>
                <w:color w:val="000000"/>
                <w:sz w:val="20"/>
                <w:szCs w:val="19"/>
                <w:lang w:val="en-GB"/>
              </w:rPr>
            </w:pPr>
            <w:r w:rsidRPr="00F879E1">
              <w:rPr>
                <w:rFonts w:ascii="Calibri" w:hAnsi="Calibri" w:cs="Arial"/>
                <w:color w:val="000000"/>
                <w:sz w:val="20"/>
                <w:szCs w:val="19"/>
                <w:lang w:val="en-GB"/>
              </w:rPr>
              <w:t>9.</w:t>
            </w:r>
            <w:r w:rsidR="00047121" w:rsidRPr="00F879E1">
              <w:rPr>
                <w:rFonts w:ascii="Calibri" w:hAnsi="Calibri" w:cs="Arial"/>
                <w:color w:val="000000"/>
                <w:sz w:val="20"/>
                <w:szCs w:val="19"/>
                <w:lang w:val="en-GB"/>
              </w:rPr>
              <w:t xml:space="preserve"> </w:t>
            </w:r>
            <w:r w:rsidRPr="00F879E1">
              <w:rPr>
                <w:rFonts w:ascii="Calibri" w:hAnsi="Calibri" w:cs="Arial"/>
                <w:color w:val="000000"/>
                <w:sz w:val="20"/>
                <w:szCs w:val="19"/>
                <w:lang w:val="en-GB"/>
              </w:rPr>
              <w:t>Currency/ Macro-economic</w:t>
            </w:r>
            <w:r w:rsidR="00A34DA5" w:rsidRPr="00F879E1">
              <w:rPr>
                <w:rFonts w:ascii="Calibri" w:hAnsi="Calibri" w:cs="Arial"/>
                <w:color w:val="000000"/>
                <w:sz w:val="20"/>
                <w:szCs w:val="19"/>
                <w:lang w:val="en-GB"/>
              </w:rPr>
              <w:t xml:space="preserve"> risk</w:t>
            </w:r>
          </w:p>
        </w:tc>
        <w:tc>
          <w:tcPr>
            <w:tcW w:w="3060" w:type="dxa"/>
          </w:tcPr>
          <w:p w14:paraId="02970168" w14:textId="77777777" w:rsidR="00FA0506" w:rsidRPr="00F879E1" w:rsidRDefault="00FA0506" w:rsidP="004622EC">
            <w:pPr>
              <w:keepNext/>
              <w:keepLines/>
              <w:spacing w:before="60"/>
              <w:rPr>
                <w:rFonts w:ascii="Calibri" w:hAnsi="Calibri" w:cs="Arial"/>
                <w:color w:val="000000"/>
                <w:sz w:val="20"/>
                <w:szCs w:val="19"/>
                <w:lang w:val="en-GB"/>
              </w:rPr>
            </w:pPr>
            <w:r w:rsidRPr="00F879E1">
              <w:rPr>
                <w:rFonts w:ascii="Calibri" w:hAnsi="Calibri" w:cs="Arial"/>
                <w:color w:val="000000"/>
                <w:sz w:val="20"/>
                <w:szCs w:val="19"/>
                <w:lang w:val="en-GB"/>
              </w:rPr>
              <w:t xml:space="preserve">Risks arising from the broader macroeconomic environment and market dynamics </w:t>
            </w:r>
          </w:p>
        </w:tc>
        <w:tc>
          <w:tcPr>
            <w:tcW w:w="4790" w:type="dxa"/>
          </w:tcPr>
          <w:p w14:paraId="761DB457" w14:textId="77777777" w:rsidR="00FA0506" w:rsidRPr="00F879E1" w:rsidRDefault="00FA0506" w:rsidP="004622EC">
            <w:pPr>
              <w:keepNext/>
              <w:keepLines/>
              <w:rPr>
                <w:rFonts w:ascii="Calibri" w:hAnsi="Calibri" w:cs="Arial"/>
                <w:color w:val="000000"/>
                <w:sz w:val="20"/>
                <w:szCs w:val="19"/>
                <w:lang w:val="en-GB"/>
              </w:rPr>
            </w:pPr>
            <w:r w:rsidRPr="00F879E1">
              <w:rPr>
                <w:rFonts w:ascii="Calibri" w:hAnsi="Calibri" w:cs="Arial"/>
                <w:color w:val="000000"/>
                <w:sz w:val="20"/>
                <w:szCs w:val="19"/>
                <w:lang w:val="en-GB"/>
              </w:rPr>
              <w:t>Uncertainty due to volatile local currency; unfavourable currency exchange rate movements</w:t>
            </w:r>
          </w:p>
          <w:p w14:paraId="6C9C6B56" w14:textId="77777777" w:rsidR="00FA0506" w:rsidRPr="00F879E1" w:rsidRDefault="00FA0506" w:rsidP="004622EC">
            <w:pPr>
              <w:keepNext/>
              <w:keepLines/>
              <w:rPr>
                <w:rFonts w:ascii="Calibri" w:hAnsi="Calibri" w:cs="Arial"/>
                <w:color w:val="000000"/>
                <w:sz w:val="20"/>
                <w:szCs w:val="19"/>
                <w:lang w:val="en-GB"/>
              </w:rPr>
            </w:pPr>
            <w:r w:rsidRPr="00F879E1">
              <w:rPr>
                <w:rFonts w:ascii="Calibri" w:hAnsi="Calibri" w:cs="Arial"/>
                <w:color w:val="000000"/>
                <w:sz w:val="20"/>
                <w:szCs w:val="19"/>
                <w:lang w:val="en-GB"/>
              </w:rPr>
              <w:t>Uncertainty around inflation, interest rate outlook due to an unstable macroeconomic environment</w:t>
            </w:r>
          </w:p>
        </w:tc>
      </w:tr>
    </w:tbl>
    <w:p w14:paraId="47B62F50" w14:textId="77777777" w:rsidR="00F7219E" w:rsidRDefault="00F7219E" w:rsidP="004622EC">
      <w:pPr>
        <w:pStyle w:val="a7"/>
        <w:tabs>
          <w:tab w:val="clear" w:pos="4153"/>
          <w:tab w:val="clear" w:pos="8306"/>
          <w:tab w:val="left" w:pos="426"/>
        </w:tabs>
        <w:spacing w:before="240" w:after="120"/>
        <w:ind w:right="288"/>
        <w:rPr>
          <w:rFonts w:cs="Arial"/>
          <w:b/>
          <w:i/>
          <w:szCs w:val="22"/>
          <w:lang w:val="en-GB"/>
        </w:rPr>
      </w:pPr>
    </w:p>
    <w:p w14:paraId="3341F1B2" w14:textId="77777777" w:rsidR="00F7219E" w:rsidRDefault="00F7219E" w:rsidP="004622EC">
      <w:pPr>
        <w:pStyle w:val="a7"/>
        <w:tabs>
          <w:tab w:val="clear" w:pos="4153"/>
          <w:tab w:val="clear" w:pos="8306"/>
          <w:tab w:val="left" w:pos="426"/>
        </w:tabs>
        <w:spacing w:before="240" w:after="120"/>
        <w:ind w:right="288"/>
        <w:rPr>
          <w:rFonts w:cs="Arial"/>
          <w:b/>
          <w:i/>
          <w:szCs w:val="22"/>
          <w:lang w:val="en-GB"/>
        </w:rPr>
      </w:pPr>
    </w:p>
    <w:p w14:paraId="5E8B4940" w14:textId="77777777" w:rsidR="00FA0506" w:rsidRPr="00E91952" w:rsidRDefault="008257B7" w:rsidP="004622EC">
      <w:pPr>
        <w:pStyle w:val="a7"/>
        <w:tabs>
          <w:tab w:val="clear" w:pos="4153"/>
          <w:tab w:val="clear" w:pos="8306"/>
          <w:tab w:val="left" w:pos="426"/>
        </w:tabs>
        <w:spacing w:before="240" w:after="120"/>
        <w:ind w:right="288"/>
        <w:rPr>
          <w:rFonts w:cs="Arial"/>
          <w:b/>
          <w:i/>
          <w:szCs w:val="22"/>
          <w:lang w:val="en-GB"/>
        </w:rPr>
      </w:pPr>
      <w:r w:rsidRPr="00E91952">
        <w:rPr>
          <w:rFonts w:cs="Arial"/>
          <w:b/>
          <w:i/>
          <w:szCs w:val="22"/>
          <w:lang w:val="en-GB"/>
        </w:rPr>
        <w:t xml:space="preserve">Preliminary </w:t>
      </w:r>
      <w:r w:rsidR="00FA0506" w:rsidRPr="00E91952">
        <w:rPr>
          <w:rFonts w:cs="Arial"/>
          <w:b/>
          <w:i/>
          <w:szCs w:val="22"/>
          <w:lang w:val="en-GB"/>
        </w:rPr>
        <w:t>Modelling Results</w:t>
      </w:r>
    </w:p>
    <w:p w14:paraId="20860826" w14:textId="0B1B165E" w:rsidR="00D5480A" w:rsidRDefault="00EA0C8B" w:rsidP="0020322F">
      <w:pPr>
        <w:pStyle w:val="a7"/>
        <w:numPr>
          <w:ilvl w:val="0"/>
          <w:numId w:val="9"/>
        </w:numPr>
        <w:tabs>
          <w:tab w:val="clear" w:pos="4153"/>
          <w:tab w:val="clear" w:pos="8306"/>
          <w:tab w:val="left" w:pos="426"/>
        </w:tabs>
        <w:spacing w:after="120"/>
        <w:ind w:left="0" w:right="17" w:firstLine="0"/>
        <w:rPr>
          <w:rFonts w:cs="Arial"/>
          <w:szCs w:val="22"/>
          <w:lang w:val="en-GB"/>
        </w:rPr>
      </w:pPr>
      <w:r w:rsidRPr="004622EC">
        <w:rPr>
          <w:rFonts w:cs="Arial"/>
          <w:b/>
          <w:szCs w:val="22"/>
          <w:lang w:val="en-GB"/>
        </w:rPr>
        <w:t>Risk Environment</w:t>
      </w:r>
      <w:r w:rsidR="00A34DA5">
        <w:rPr>
          <w:rFonts w:cs="Arial"/>
          <w:b/>
          <w:szCs w:val="22"/>
          <w:lang w:val="en-GB"/>
        </w:rPr>
        <w:t xml:space="preserve"> (Stage 1)</w:t>
      </w:r>
      <w:r w:rsidRPr="004622EC">
        <w:rPr>
          <w:rFonts w:cs="Arial"/>
          <w:b/>
          <w:szCs w:val="22"/>
          <w:lang w:val="en-GB"/>
        </w:rPr>
        <w:t>:</w:t>
      </w:r>
      <w:r>
        <w:rPr>
          <w:rFonts w:cs="Arial"/>
          <w:szCs w:val="22"/>
          <w:lang w:val="en-GB"/>
        </w:rPr>
        <w:t xml:space="preserve"> </w:t>
      </w:r>
      <w:r w:rsidR="00FA0506" w:rsidRPr="00EA0C8B">
        <w:rPr>
          <w:rFonts w:cs="Arial"/>
          <w:szCs w:val="22"/>
          <w:lang w:val="en-GB"/>
        </w:rPr>
        <w:t xml:space="preserve">Data </w:t>
      </w:r>
      <w:r w:rsidR="0019295A">
        <w:rPr>
          <w:rFonts w:cs="Arial"/>
          <w:szCs w:val="22"/>
          <w:lang w:val="en-GB"/>
        </w:rPr>
        <w:t xml:space="preserve">on </w:t>
      </w:r>
      <w:r w:rsidR="00FA0506" w:rsidRPr="00EA0C8B">
        <w:rPr>
          <w:rFonts w:cs="Arial"/>
          <w:szCs w:val="22"/>
          <w:lang w:val="en-GB"/>
        </w:rPr>
        <w:t xml:space="preserve">the </w:t>
      </w:r>
      <w:r w:rsidR="0019295A">
        <w:rPr>
          <w:rFonts w:cs="Arial"/>
          <w:szCs w:val="22"/>
          <w:lang w:val="en-GB"/>
        </w:rPr>
        <w:t>r</w:t>
      </w:r>
      <w:r w:rsidR="00FA0506" w:rsidRPr="00EA0C8B">
        <w:rPr>
          <w:rFonts w:cs="Arial"/>
          <w:szCs w:val="22"/>
          <w:lang w:val="en-GB"/>
        </w:rPr>
        <w:t xml:space="preserve">isk </w:t>
      </w:r>
      <w:r w:rsidR="0019295A">
        <w:rPr>
          <w:rFonts w:cs="Arial"/>
          <w:szCs w:val="22"/>
          <w:lang w:val="en-GB"/>
        </w:rPr>
        <w:t>e</w:t>
      </w:r>
      <w:r w:rsidR="00FA0506" w:rsidRPr="00EA0C8B">
        <w:rPr>
          <w:rFonts w:cs="Arial"/>
          <w:szCs w:val="22"/>
          <w:lang w:val="en-GB"/>
        </w:rPr>
        <w:t>nvironment were gathered from interviews held with 12 domestic and international project developers and investors who are considering, or are actively involved in, large-scale wind and solar PV investment opportunities in Kazakhstan.</w:t>
      </w:r>
      <w:r w:rsidRPr="00EA0C8B">
        <w:rPr>
          <w:rFonts w:cs="Arial"/>
          <w:szCs w:val="22"/>
          <w:lang w:val="en-GB"/>
        </w:rPr>
        <w:t xml:space="preserve"> </w:t>
      </w:r>
      <w:r w:rsidR="00FA0506" w:rsidRPr="00EA0C8B">
        <w:rPr>
          <w:rFonts w:cs="Arial"/>
          <w:szCs w:val="22"/>
          <w:lang w:val="en-GB"/>
        </w:rPr>
        <w:t xml:space="preserve">The results estimate the business-as-usual cost of financing in Kazakhstan today for wind energy and solar PV to be </w:t>
      </w:r>
      <w:r w:rsidR="0019295A">
        <w:rPr>
          <w:rFonts w:cs="Arial"/>
          <w:szCs w:val="22"/>
          <w:lang w:val="en-GB"/>
        </w:rPr>
        <w:t>16.0</w:t>
      </w:r>
      <w:r w:rsidR="00FA0506" w:rsidRPr="00EA0C8B">
        <w:rPr>
          <w:rFonts w:cs="Arial"/>
          <w:szCs w:val="22"/>
          <w:lang w:val="en-GB"/>
        </w:rPr>
        <w:t xml:space="preserve">% for the cost of equity (USD) and </w:t>
      </w:r>
      <w:r w:rsidR="00ED2E74">
        <w:rPr>
          <w:rFonts w:cs="Arial"/>
          <w:szCs w:val="22"/>
          <w:lang w:val="en-GB"/>
        </w:rPr>
        <w:t>7</w:t>
      </w:r>
      <w:r w:rsidR="0019295A">
        <w:rPr>
          <w:rFonts w:cs="Arial"/>
          <w:szCs w:val="22"/>
          <w:lang w:val="en-GB"/>
        </w:rPr>
        <w:t>.0</w:t>
      </w:r>
      <w:r w:rsidR="00FA0506" w:rsidRPr="00EA0C8B">
        <w:rPr>
          <w:rFonts w:cs="Arial"/>
          <w:szCs w:val="22"/>
          <w:lang w:val="en-GB"/>
        </w:rPr>
        <w:t xml:space="preserve">% for the cost of debt (USD). These are substantially higher than in the best-in-class country, Germany, which is estimated as </w:t>
      </w:r>
      <w:r w:rsidR="0019295A">
        <w:rPr>
          <w:rFonts w:cs="Arial"/>
          <w:szCs w:val="22"/>
          <w:lang w:val="en-GB"/>
        </w:rPr>
        <w:t>7</w:t>
      </w:r>
      <w:r w:rsidR="00FA0506" w:rsidRPr="00EA0C8B">
        <w:rPr>
          <w:rFonts w:cs="Arial"/>
          <w:szCs w:val="22"/>
          <w:lang w:val="en-GB"/>
        </w:rPr>
        <w:t xml:space="preserve">.0% for the cost of equity and </w:t>
      </w:r>
      <w:r w:rsidR="0019295A">
        <w:rPr>
          <w:rFonts w:cs="Arial"/>
          <w:szCs w:val="22"/>
          <w:lang w:val="en-GB"/>
        </w:rPr>
        <w:t>3</w:t>
      </w:r>
      <w:r w:rsidR="00FA0506" w:rsidRPr="00EA0C8B">
        <w:rPr>
          <w:rFonts w:cs="Arial"/>
          <w:szCs w:val="22"/>
          <w:lang w:val="en-GB"/>
        </w:rPr>
        <w:t xml:space="preserve">.0% for the cost of debt. </w:t>
      </w:r>
    </w:p>
    <w:p w14:paraId="50F362DC" w14:textId="2935BAE3" w:rsidR="00EA0C8B" w:rsidRPr="00944F24" w:rsidRDefault="00FA0506" w:rsidP="0020322F">
      <w:pPr>
        <w:pStyle w:val="a7"/>
        <w:numPr>
          <w:ilvl w:val="0"/>
          <w:numId w:val="9"/>
        </w:numPr>
        <w:tabs>
          <w:tab w:val="clear" w:pos="4153"/>
          <w:tab w:val="clear" w:pos="8306"/>
          <w:tab w:val="left" w:pos="426"/>
        </w:tabs>
        <w:spacing w:after="120"/>
        <w:ind w:left="0" w:right="17" w:firstLine="0"/>
        <w:rPr>
          <w:rFonts w:cs="Arial"/>
          <w:szCs w:val="22"/>
          <w:lang w:val="en-GB"/>
        </w:rPr>
      </w:pPr>
      <w:r w:rsidRPr="00EA0C8B">
        <w:rPr>
          <w:rFonts w:cs="Arial"/>
          <w:szCs w:val="22"/>
          <w:lang w:val="en-GB"/>
        </w:rPr>
        <w:t xml:space="preserve">As shown in later results, over the long lifetime of energy investments, the impact of Kazakhstan’s higher financing costs on the competitiveness of renewable energy is significant. </w:t>
      </w:r>
      <w:r w:rsidRPr="0037536F">
        <w:rPr>
          <w:rFonts w:cs="Arial"/>
          <w:szCs w:val="22"/>
          <w:lang w:val="en-GB"/>
        </w:rPr>
        <w:fldChar w:fldCharType="begin"/>
      </w:r>
      <w:r w:rsidRPr="00BA0D46">
        <w:rPr>
          <w:rFonts w:cs="Arial"/>
          <w:szCs w:val="22"/>
          <w:lang w:val="en-GB"/>
        </w:rPr>
        <w:instrText xml:space="preserve"> REF _Ref463452694 \h </w:instrText>
      </w:r>
      <w:r w:rsidR="0037536F">
        <w:rPr>
          <w:rFonts w:cs="Arial"/>
          <w:szCs w:val="22"/>
          <w:lang w:val="en-GB"/>
        </w:rPr>
        <w:instrText xml:space="preserve"> \* MERGEFORMAT </w:instrText>
      </w:r>
      <w:r w:rsidRPr="0037536F">
        <w:rPr>
          <w:rFonts w:cs="Arial"/>
          <w:szCs w:val="22"/>
          <w:lang w:val="en-GB"/>
        </w:rPr>
      </w:r>
      <w:r w:rsidRPr="0037536F">
        <w:rPr>
          <w:rFonts w:cs="Arial"/>
          <w:szCs w:val="22"/>
          <w:lang w:val="en-GB"/>
        </w:rPr>
        <w:fldChar w:fldCharType="separate"/>
      </w:r>
      <w:r w:rsidR="00921873" w:rsidRPr="00921873">
        <w:rPr>
          <w:szCs w:val="22"/>
        </w:rPr>
        <w:t xml:space="preserve">Figure </w:t>
      </w:r>
      <w:r w:rsidR="00921873" w:rsidRPr="00921873">
        <w:rPr>
          <w:noProof/>
          <w:szCs w:val="22"/>
        </w:rPr>
        <w:t>5</w:t>
      </w:r>
      <w:r w:rsidRPr="0037536F">
        <w:rPr>
          <w:rFonts w:cs="Arial"/>
          <w:szCs w:val="22"/>
          <w:lang w:val="en-GB"/>
        </w:rPr>
        <w:fldChar w:fldCharType="end"/>
      </w:r>
      <w:r w:rsidRPr="0037536F">
        <w:rPr>
          <w:rFonts w:cs="Arial"/>
          <w:szCs w:val="22"/>
          <w:lang w:val="en-GB"/>
        </w:rPr>
        <w:t xml:space="preserve"> shows</w:t>
      </w:r>
      <w:r w:rsidRPr="00944F24">
        <w:rPr>
          <w:rFonts w:cs="Arial"/>
          <w:szCs w:val="22"/>
          <w:lang w:val="en-GB"/>
        </w:rPr>
        <w:t xml:space="preserve"> how a range of investment risks currently contribute to these higher financing costs for wind energy and solar PV in Kazakhstan</w:t>
      </w:r>
      <w:r w:rsidR="00F30B51">
        <w:rPr>
          <w:rStyle w:val="afa"/>
          <w:szCs w:val="22"/>
          <w:lang w:val="en-GB"/>
        </w:rPr>
        <w:footnoteReference w:id="5"/>
      </w:r>
      <w:r w:rsidRPr="00944F24">
        <w:rPr>
          <w:rFonts w:cs="Arial"/>
          <w:szCs w:val="22"/>
          <w:lang w:val="en-GB"/>
        </w:rPr>
        <w:t xml:space="preserve">. The risk categories with the largest impact on elevated financing costs are </w:t>
      </w:r>
      <w:r w:rsidR="0019295A">
        <w:rPr>
          <w:rFonts w:cs="Arial"/>
          <w:szCs w:val="22"/>
          <w:lang w:val="en-GB"/>
        </w:rPr>
        <w:t xml:space="preserve">power market risk, </w:t>
      </w:r>
      <w:r w:rsidRPr="00944F24">
        <w:rPr>
          <w:rFonts w:cs="Arial"/>
          <w:szCs w:val="22"/>
          <w:lang w:val="en-GB"/>
        </w:rPr>
        <w:t>counterparty risk</w:t>
      </w:r>
      <w:r w:rsidR="00DB0DBD">
        <w:rPr>
          <w:rFonts w:cs="Arial"/>
          <w:szCs w:val="22"/>
          <w:lang w:val="en-GB"/>
        </w:rPr>
        <w:t xml:space="preserve">, financial sector risk and </w:t>
      </w:r>
      <w:r w:rsidR="0019295A">
        <w:rPr>
          <w:rFonts w:cs="Arial"/>
          <w:szCs w:val="22"/>
          <w:lang w:val="en-GB"/>
        </w:rPr>
        <w:t>currency risk</w:t>
      </w:r>
      <w:r w:rsidRPr="00944F24">
        <w:rPr>
          <w:rFonts w:cs="Arial"/>
          <w:szCs w:val="22"/>
          <w:lang w:val="en-GB"/>
        </w:rPr>
        <w:t xml:space="preserve">. </w:t>
      </w:r>
      <w:r w:rsidR="0019295A">
        <w:rPr>
          <w:rFonts w:cs="Arial"/>
          <w:szCs w:val="22"/>
          <w:lang w:val="en-GB"/>
        </w:rPr>
        <w:t>Power market risk relates to uncertainty around market access and prices, and limitations in the regulatory environment and legislation for power markets.  C</w:t>
      </w:r>
      <w:r w:rsidR="00733A62" w:rsidRPr="00944F24">
        <w:rPr>
          <w:rFonts w:cs="Arial"/>
          <w:szCs w:val="22"/>
          <w:lang w:val="en-GB"/>
        </w:rPr>
        <w:t xml:space="preserve">ounterparty risk is associated with uncertainty about the credit worthiness of the Settlement Centre. </w:t>
      </w:r>
      <w:r w:rsidR="0019295A">
        <w:rPr>
          <w:rFonts w:cs="Arial"/>
          <w:szCs w:val="22"/>
          <w:lang w:val="en-GB"/>
        </w:rPr>
        <w:t>Financial sector risk relates to the scarcity of capital from international and domestic markets. C</w:t>
      </w:r>
      <w:r w:rsidR="0019295A" w:rsidRPr="00944F24">
        <w:rPr>
          <w:rFonts w:cs="Arial"/>
          <w:szCs w:val="22"/>
          <w:lang w:val="en-GB"/>
        </w:rPr>
        <w:t xml:space="preserve">urrency risk relates to </w:t>
      </w:r>
      <w:r w:rsidR="0019295A">
        <w:rPr>
          <w:rFonts w:cs="Arial"/>
          <w:szCs w:val="22"/>
          <w:lang w:val="en-GB"/>
        </w:rPr>
        <w:t xml:space="preserve">the fluctuations in the Tenge vis-a-vis the currency in which financing costs are denominated. </w:t>
      </w:r>
      <w:r w:rsidR="00733A62" w:rsidRPr="00944F24">
        <w:rPr>
          <w:rFonts w:cs="Arial"/>
          <w:szCs w:val="22"/>
          <w:lang w:val="en-GB"/>
        </w:rPr>
        <w:t>The other significant risk categories include financial sector risk</w:t>
      </w:r>
      <w:r w:rsidR="00733A62">
        <w:rPr>
          <w:rFonts w:cs="Arial"/>
          <w:szCs w:val="22"/>
          <w:lang w:val="en-GB"/>
        </w:rPr>
        <w:t xml:space="preserve"> </w:t>
      </w:r>
      <w:r w:rsidR="00733A62" w:rsidRPr="00944F24">
        <w:rPr>
          <w:rFonts w:cs="Arial"/>
          <w:szCs w:val="22"/>
          <w:lang w:val="en-GB"/>
        </w:rPr>
        <w:t>and grid</w:t>
      </w:r>
      <w:r w:rsidR="00733A62">
        <w:rPr>
          <w:rFonts w:cs="Arial"/>
          <w:szCs w:val="22"/>
          <w:lang w:val="en-GB"/>
        </w:rPr>
        <w:t xml:space="preserve"> </w:t>
      </w:r>
      <w:r w:rsidR="00733A62" w:rsidRPr="00944F24">
        <w:rPr>
          <w:rFonts w:cs="Arial"/>
          <w:szCs w:val="22"/>
          <w:lang w:val="en-GB"/>
        </w:rPr>
        <w:t>/</w:t>
      </w:r>
      <w:r w:rsidR="00733A62">
        <w:rPr>
          <w:rFonts w:cs="Arial"/>
          <w:szCs w:val="22"/>
          <w:lang w:val="en-GB"/>
        </w:rPr>
        <w:t xml:space="preserve"> </w:t>
      </w:r>
      <w:r w:rsidR="00733A62" w:rsidRPr="00944F24">
        <w:rPr>
          <w:rFonts w:cs="Arial"/>
          <w:szCs w:val="22"/>
          <w:lang w:val="en-GB"/>
        </w:rPr>
        <w:t>transmission risk.</w:t>
      </w:r>
    </w:p>
    <w:p w14:paraId="24D982EB" w14:textId="77777777" w:rsidR="000D477B" w:rsidRDefault="0012042E" w:rsidP="00F879E1">
      <w:pPr>
        <w:keepNext/>
        <w:keepLines/>
        <w:widowControl w:val="0"/>
        <w:autoSpaceDE w:val="0"/>
        <w:autoSpaceDN w:val="0"/>
        <w:adjustRightInd w:val="0"/>
        <w:jc w:val="center"/>
        <w:rPr>
          <w:noProof/>
        </w:rPr>
      </w:pPr>
      <w:r>
        <w:rPr>
          <w:noProof/>
        </w:rPr>
        <w:drawing>
          <wp:inline distT="0" distB="0" distL="0" distR="0" wp14:anchorId="0B25DD3F" wp14:editId="46A58185">
            <wp:extent cx="5934075" cy="20048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910" cy="2007545"/>
                    </a:xfrm>
                    <a:prstGeom prst="rect">
                      <a:avLst/>
                    </a:prstGeom>
                    <a:noFill/>
                  </pic:spPr>
                </pic:pic>
              </a:graphicData>
            </a:graphic>
          </wp:inline>
        </w:drawing>
      </w:r>
      <w:r w:rsidR="000D477B" w:rsidDel="000D477B">
        <w:rPr>
          <w:noProof/>
        </w:rPr>
        <w:t xml:space="preserve"> </w:t>
      </w:r>
    </w:p>
    <w:p w14:paraId="1D00A8C1" w14:textId="77777777" w:rsidR="00944F24" w:rsidRPr="00F80BA7" w:rsidRDefault="00944F24" w:rsidP="00863DD5">
      <w:pPr>
        <w:pStyle w:val="aff3"/>
      </w:pPr>
      <w:bookmarkStart w:id="30" w:name="_Ref463452694"/>
      <w:bookmarkStart w:id="31" w:name="_Ref334179699"/>
      <w:bookmarkStart w:id="32" w:name="_Toc463552421"/>
      <w:bookmarkStart w:id="33" w:name="_Toc479693925"/>
      <w:r w:rsidRPr="00F80BA7">
        <w:t xml:space="preserve">Figure </w:t>
      </w:r>
      <w:r w:rsidR="00AA15A7">
        <w:fldChar w:fldCharType="begin"/>
      </w:r>
      <w:r w:rsidR="00AA15A7">
        <w:instrText xml:space="preserve"> SEQ Figure \* ARABIC </w:instrText>
      </w:r>
      <w:r w:rsidR="00AA15A7">
        <w:fldChar w:fldCharType="separate"/>
      </w:r>
      <w:r w:rsidR="00921873">
        <w:rPr>
          <w:noProof/>
        </w:rPr>
        <w:t>5</w:t>
      </w:r>
      <w:r w:rsidR="00AA15A7">
        <w:rPr>
          <w:noProof/>
        </w:rPr>
        <w:fldChar w:fldCharType="end"/>
      </w:r>
      <w:bookmarkEnd w:id="30"/>
      <w:r w:rsidRPr="00F80BA7">
        <w:t>: Impact of risk categories on financing costs for wind energy and solar PV investments in Kazakhstan, business-as-usual scenario</w:t>
      </w:r>
      <w:bookmarkEnd w:id="31"/>
      <w:bookmarkEnd w:id="32"/>
      <w:r w:rsidR="00782307">
        <w:t xml:space="preserve"> (preliminary findings)</w:t>
      </w:r>
      <w:bookmarkEnd w:id="33"/>
    </w:p>
    <w:p w14:paraId="5121555C" w14:textId="77777777" w:rsidR="00F30B51" w:rsidRDefault="00944F24" w:rsidP="00C368DC">
      <w:pPr>
        <w:ind w:left="360"/>
        <w:rPr>
          <w:sz w:val="21"/>
        </w:rPr>
      </w:pPr>
      <w:r w:rsidRPr="00C368DC">
        <w:rPr>
          <w:sz w:val="21"/>
        </w:rPr>
        <w:t xml:space="preserve">Source: interviews with wind energy and solar PV investors and developers; modelling; best-in-class country is assumed to be Germany. </w:t>
      </w:r>
    </w:p>
    <w:p w14:paraId="23559F55" w14:textId="77777777" w:rsidR="00F30B51" w:rsidRDefault="00F30B51" w:rsidP="00C368DC">
      <w:pPr>
        <w:ind w:left="360"/>
        <w:rPr>
          <w:sz w:val="21"/>
        </w:rPr>
      </w:pPr>
    </w:p>
    <w:p w14:paraId="0263B66C" w14:textId="7BA6A11C" w:rsidR="00F30B51" w:rsidRDefault="00F30B51" w:rsidP="00F30B51">
      <w:pPr>
        <w:pStyle w:val="a7"/>
        <w:numPr>
          <w:ilvl w:val="0"/>
          <w:numId w:val="9"/>
        </w:numPr>
        <w:tabs>
          <w:tab w:val="clear" w:pos="4153"/>
          <w:tab w:val="clear" w:pos="8306"/>
          <w:tab w:val="left" w:pos="426"/>
        </w:tabs>
        <w:spacing w:after="120"/>
        <w:ind w:left="0" w:right="17" w:firstLine="4"/>
        <w:rPr>
          <w:rFonts w:cs="Arial"/>
          <w:szCs w:val="22"/>
          <w:lang w:val="en-GB"/>
        </w:rPr>
      </w:pPr>
      <w:r w:rsidRPr="00F30B51">
        <w:rPr>
          <w:rFonts w:cs="Arial"/>
          <w:b/>
          <w:szCs w:val="22"/>
          <w:lang w:val="en-GB"/>
        </w:rPr>
        <w:t xml:space="preserve"> </w:t>
      </w:r>
      <w:r w:rsidRPr="004622EC">
        <w:rPr>
          <w:rFonts w:cs="Arial"/>
          <w:b/>
          <w:szCs w:val="22"/>
          <w:lang w:val="en-GB"/>
        </w:rPr>
        <w:t>Public Instrument Selection</w:t>
      </w:r>
      <w:r>
        <w:rPr>
          <w:rFonts w:cs="Arial"/>
          <w:b/>
          <w:szCs w:val="22"/>
          <w:lang w:val="en-GB"/>
        </w:rPr>
        <w:t xml:space="preserve"> (Stage 2)</w:t>
      </w:r>
      <w:r w:rsidRPr="004622EC">
        <w:rPr>
          <w:rFonts w:cs="Arial"/>
          <w:b/>
          <w:szCs w:val="22"/>
          <w:lang w:val="en-GB"/>
        </w:rPr>
        <w:t>:</w:t>
      </w:r>
      <w:r w:rsidRPr="00944F24">
        <w:rPr>
          <w:rFonts w:cs="Arial"/>
          <w:szCs w:val="22"/>
          <w:lang w:val="en-GB"/>
        </w:rPr>
        <w:t xml:space="preserve"> </w:t>
      </w:r>
      <w:r>
        <w:rPr>
          <w:rFonts w:cs="Arial"/>
          <w:szCs w:val="22"/>
          <w:lang w:val="en-GB"/>
        </w:rPr>
        <w:t>The modelling then analyses the implementation of a package of public instruments, containing both policy and financial derisking instruments, to promote investment to achieve the analysis’ 2021 (5 year) targets. T</w:t>
      </w:r>
      <w:r w:rsidRPr="00944F24">
        <w:rPr>
          <w:rFonts w:cs="Arial"/>
          <w:szCs w:val="22"/>
          <w:lang w:val="en-GB"/>
        </w:rPr>
        <w:t>he instruments are selected to target the risk categories identified for Kazakhstan</w:t>
      </w:r>
      <w:r>
        <w:rPr>
          <w:rFonts w:cs="Arial"/>
          <w:szCs w:val="22"/>
          <w:lang w:val="en-GB"/>
        </w:rPr>
        <w:t xml:space="preserve"> specifically in the financial cost waterfalls. A list of these public derisking instruments is shown in </w:t>
      </w:r>
      <w:r w:rsidRPr="00CA6A37">
        <w:rPr>
          <w:rFonts w:cs="Arial"/>
          <w:sz w:val="21"/>
          <w:szCs w:val="22"/>
          <w:lang w:val="en-GB"/>
        </w:rPr>
        <w:fldChar w:fldCharType="begin"/>
      </w:r>
      <w:r w:rsidRPr="00CA6A37">
        <w:rPr>
          <w:rFonts w:cs="Arial"/>
          <w:sz w:val="21"/>
          <w:szCs w:val="22"/>
          <w:lang w:val="en-GB"/>
        </w:rPr>
        <w:instrText xml:space="preserve"> REF _Ref464050517 \h </w:instrText>
      </w:r>
      <w:r>
        <w:rPr>
          <w:rFonts w:cs="Arial"/>
          <w:sz w:val="21"/>
          <w:szCs w:val="22"/>
          <w:lang w:val="en-GB"/>
        </w:rPr>
        <w:instrText xml:space="preserve"> \* MERGEFORMAT </w:instrText>
      </w:r>
      <w:r w:rsidRPr="00CA6A37">
        <w:rPr>
          <w:rFonts w:cs="Arial"/>
          <w:sz w:val="21"/>
          <w:szCs w:val="22"/>
          <w:lang w:val="en-GB"/>
        </w:rPr>
      </w:r>
      <w:r w:rsidRPr="00CA6A37">
        <w:rPr>
          <w:rFonts w:cs="Arial"/>
          <w:sz w:val="21"/>
          <w:szCs w:val="22"/>
          <w:lang w:val="en-GB"/>
        </w:rPr>
        <w:fldChar w:fldCharType="separate"/>
      </w:r>
      <w:r w:rsidRPr="00F80BA7">
        <w:t xml:space="preserve">Table </w:t>
      </w:r>
      <w:r>
        <w:rPr>
          <w:noProof/>
        </w:rPr>
        <w:t>3</w:t>
      </w:r>
      <w:r w:rsidRPr="00CA6A37">
        <w:rPr>
          <w:rFonts w:cs="Arial"/>
          <w:sz w:val="21"/>
          <w:szCs w:val="22"/>
          <w:lang w:val="en-GB"/>
        </w:rPr>
        <w:fldChar w:fldCharType="end"/>
      </w:r>
      <w:r w:rsidRPr="00CA6A37">
        <w:rPr>
          <w:rFonts w:cs="Arial"/>
          <w:sz w:val="21"/>
          <w:szCs w:val="22"/>
          <w:lang w:val="en-GB"/>
        </w:rPr>
        <w:t>.</w:t>
      </w:r>
      <w:r>
        <w:rPr>
          <w:rFonts w:cs="Arial"/>
          <w:szCs w:val="22"/>
          <w:lang w:val="en-GB"/>
        </w:rPr>
        <w:t xml:space="preserve"> For wind energy</w:t>
      </w:r>
      <w:r>
        <w:rPr>
          <w:rStyle w:val="afa"/>
          <w:szCs w:val="22"/>
          <w:lang w:val="en-GB"/>
        </w:rPr>
        <w:footnoteReference w:id="6"/>
      </w:r>
      <w:r>
        <w:rPr>
          <w:rFonts w:cs="Arial"/>
          <w:szCs w:val="22"/>
          <w:lang w:val="en-GB"/>
        </w:rPr>
        <w:t xml:space="preserve">, the costs until 2030 for policy derisking instruments are estimated as </w:t>
      </w:r>
      <w:r w:rsidRPr="00782307">
        <w:rPr>
          <w:rFonts w:cs="Arial"/>
          <w:szCs w:val="22"/>
          <w:lang w:val="en-GB"/>
        </w:rPr>
        <w:t xml:space="preserve">being US$ </w:t>
      </w:r>
      <w:r>
        <w:rPr>
          <w:rFonts w:cs="Arial"/>
          <w:szCs w:val="22"/>
          <w:lang w:val="en-GB"/>
        </w:rPr>
        <w:t xml:space="preserve">6.3 </w:t>
      </w:r>
      <w:r w:rsidRPr="00782307">
        <w:rPr>
          <w:rFonts w:cs="Arial"/>
          <w:szCs w:val="22"/>
          <w:lang w:val="en-GB"/>
        </w:rPr>
        <w:t xml:space="preserve">million, and for financial derisking instruments US$ </w:t>
      </w:r>
      <w:r>
        <w:rPr>
          <w:rFonts w:cs="Arial"/>
          <w:szCs w:val="22"/>
          <w:lang w:val="en-GB"/>
        </w:rPr>
        <w:t xml:space="preserve">269.3 </w:t>
      </w:r>
      <w:r w:rsidRPr="00782307">
        <w:rPr>
          <w:rFonts w:cs="Arial"/>
          <w:szCs w:val="22"/>
          <w:lang w:val="en-GB"/>
        </w:rPr>
        <w:t>million. For solar PV</w:t>
      </w:r>
      <w:r>
        <w:rPr>
          <w:rStyle w:val="afa"/>
          <w:szCs w:val="22"/>
          <w:lang w:val="en-GB"/>
        </w:rPr>
        <w:footnoteReference w:id="7"/>
      </w:r>
      <w:r w:rsidRPr="00782307">
        <w:rPr>
          <w:rFonts w:cs="Arial"/>
          <w:szCs w:val="22"/>
          <w:lang w:val="en-GB"/>
        </w:rPr>
        <w:t xml:space="preserve">, the policy derisking instruments are estimated as costing US$ </w:t>
      </w:r>
      <w:r>
        <w:rPr>
          <w:rFonts w:cs="Arial"/>
          <w:szCs w:val="22"/>
          <w:lang w:val="en-GB"/>
        </w:rPr>
        <w:t xml:space="preserve">0.9 </w:t>
      </w:r>
      <w:r w:rsidRPr="00782307">
        <w:rPr>
          <w:rFonts w:cs="Arial"/>
          <w:szCs w:val="22"/>
          <w:lang w:val="en-GB"/>
        </w:rPr>
        <w:t xml:space="preserve">million, and the financial derisking instruments US$ </w:t>
      </w:r>
      <w:r>
        <w:rPr>
          <w:rFonts w:cs="Arial"/>
          <w:szCs w:val="22"/>
          <w:lang w:val="en-GB"/>
        </w:rPr>
        <w:t xml:space="preserve">53.2 </w:t>
      </w:r>
      <w:r w:rsidRPr="00782307">
        <w:rPr>
          <w:rFonts w:cs="Arial"/>
          <w:szCs w:val="22"/>
          <w:lang w:val="en-GB"/>
        </w:rPr>
        <w:t>million.</w:t>
      </w:r>
    </w:p>
    <w:p w14:paraId="402040C3" w14:textId="77777777" w:rsidR="00FA0506" w:rsidRPr="00F80BA7" w:rsidRDefault="00CF51BA" w:rsidP="00863DD5">
      <w:pPr>
        <w:pStyle w:val="aff3"/>
      </w:pPr>
      <w:bookmarkStart w:id="34" w:name="_Ref464050517"/>
      <w:bookmarkStart w:id="35" w:name="_Ref334187966"/>
      <w:bookmarkStart w:id="36" w:name="_Toc463552439"/>
      <w:bookmarkStart w:id="37" w:name="_Toc337722216"/>
      <w:bookmarkStart w:id="38" w:name="_Toc464138778"/>
      <w:bookmarkStart w:id="39" w:name="_Toc479693910"/>
      <w:r w:rsidRPr="00F80BA7">
        <w:t xml:space="preserve">Table </w:t>
      </w:r>
      <w:r w:rsidR="00AA15A7">
        <w:fldChar w:fldCharType="begin"/>
      </w:r>
      <w:r w:rsidR="00AA15A7">
        <w:instrText xml:space="preserve"> SEQ Table \* ARABIC </w:instrText>
      </w:r>
      <w:r w:rsidR="00AA15A7">
        <w:fldChar w:fldCharType="separate"/>
      </w:r>
      <w:r w:rsidR="00921873">
        <w:rPr>
          <w:noProof/>
        </w:rPr>
        <w:t>3</w:t>
      </w:r>
      <w:r w:rsidR="00AA15A7">
        <w:rPr>
          <w:noProof/>
        </w:rPr>
        <w:fldChar w:fldCharType="end"/>
      </w:r>
      <w:bookmarkEnd w:id="34"/>
      <w:r w:rsidR="00FA0506" w:rsidRPr="00F80BA7">
        <w:t>: Selection of public instruments to achieve the investment targets for wind energy and solar PV</w:t>
      </w:r>
      <w:bookmarkEnd w:id="35"/>
      <w:bookmarkEnd w:id="36"/>
      <w:bookmarkEnd w:id="37"/>
      <w:bookmarkEnd w:id="38"/>
      <w:bookmarkEnd w:id="39"/>
    </w:p>
    <w:tbl>
      <w:tblPr>
        <w:tblStyle w:val="TableGrid4"/>
        <w:tblW w:w="0" w:type="auto"/>
        <w:tblLook w:val="04A0" w:firstRow="1" w:lastRow="0" w:firstColumn="1" w:lastColumn="0" w:noHBand="0" w:noVBand="1"/>
      </w:tblPr>
      <w:tblGrid>
        <w:gridCol w:w="1888"/>
        <w:gridCol w:w="4694"/>
        <w:gridCol w:w="2875"/>
      </w:tblGrid>
      <w:tr w:rsidR="000944AD" w:rsidRPr="00336D99" w14:paraId="774D7722" w14:textId="77777777" w:rsidTr="005C3A3D">
        <w:trPr>
          <w:tblHeader/>
        </w:trPr>
        <w:tc>
          <w:tcPr>
            <w:tcW w:w="0" w:type="auto"/>
            <w:shd w:val="clear" w:color="auto" w:fill="D9D9D9" w:themeFill="background1" w:themeFillShade="D9"/>
          </w:tcPr>
          <w:p w14:paraId="3061462B" w14:textId="77777777" w:rsidR="000944AD" w:rsidRPr="00336D99" w:rsidRDefault="000944AD" w:rsidP="00C4443D">
            <w:pPr>
              <w:rPr>
                <w:rFonts w:ascii="Calibri" w:hAnsi="Calibri" w:cstheme="minorHAnsi"/>
                <w:b/>
                <w:sz w:val="20"/>
                <w:szCs w:val="18"/>
                <w:lang w:val="en-GB"/>
              </w:rPr>
            </w:pPr>
            <w:r w:rsidRPr="00336D99">
              <w:rPr>
                <w:rFonts w:ascii="Calibri" w:hAnsi="Calibri" w:cstheme="minorHAnsi"/>
                <w:b/>
                <w:sz w:val="20"/>
                <w:szCs w:val="18"/>
                <w:lang w:val="en-GB"/>
              </w:rPr>
              <w:t>Risk Category</w:t>
            </w:r>
          </w:p>
        </w:tc>
        <w:tc>
          <w:tcPr>
            <w:tcW w:w="0" w:type="auto"/>
            <w:shd w:val="clear" w:color="auto" w:fill="D9D9D9" w:themeFill="background1" w:themeFillShade="D9"/>
          </w:tcPr>
          <w:p w14:paraId="1ECDA47C" w14:textId="77777777" w:rsidR="000944AD" w:rsidRPr="00336D99" w:rsidRDefault="000944AD" w:rsidP="00C4443D">
            <w:pPr>
              <w:rPr>
                <w:rFonts w:ascii="Calibri" w:hAnsi="Calibri" w:cstheme="minorHAnsi"/>
                <w:b/>
                <w:sz w:val="20"/>
                <w:szCs w:val="18"/>
                <w:lang w:val="en-GB"/>
              </w:rPr>
            </w:pPr>
            <w:r w:rsidRPr="00336D99">
              <w:rPr>
                <w:rFonts w:ascii="Calibri" w:hAnsi="Calibri" w:cstheme="minorHAnsi"/>
                <w:b/>
                <w:sz w:val="20"/>
                <w:szCs w:val="18"/>
                <w:lang w:val="en-GB"/>
              </w:rPr>
              <w:t>Policy Derisking Instruments</w:t>
            </w:r>
          </w:p>
        </w:tc>
        <w:tc>
          <w:tcPr>
            <w:tcW w:w="0" w:type="auto"/>
            <w:shd w:val="clear" w:color="auto" w:fill="D9D9D9" w:themeFill="background1" w:themeFillShade="D9"/>
          </w:tcPr>
          <w:p w14:paraId="522BD9C0" w14:textId="77777777" w:rsidR="000944AD" w:rsidRPr="00336D99" w:rsidRDefault="000944AD" w:rsidP="00F52106">
            <w:pPr>
              <w:rPr>
                <w:rFonts w:ascii="Calibri" w:hAnsi="Calibri" w:cstheme="minorHAnsi"/>
                <w:b/>
                <w:sz w:val="20"/>
                <w:szCs w:val="18"/>
                <w:lang w:val="en-GB"/>
              </w:rPr>
            </w:pPr>
            <w:r w:rsidRPr="00336D99">
              <w:rPr>
                <w:rFonts w:ascii="Calibri" w:hAnsi="Calibri" w:cstheme="minorHAnsi"/>
                <w:b/>
                <w:sz w:val="20"/>
                <w:szCs w:val="18"/>
                <w:lang w:val="en-GB"/>
              </w:rPr>
              <w:t>Financial Derisking</w:t>
            </w:r>
            <w:r w:rsidR="00F52106" w:rsidRPr="00336D99">
              <w:rPr>
                <w:rFonts w:ascii="Calibri" w:hAnsi="Calibri" w:cstheme="minorHAnsi"/>
                <w:b/>
                <w:sz w:val="20"/>
                <w:szCs w:val="18"/>
                <w:lang w:val="en-GB"/>
              </w:rPr>
              <w:t xml:space="preserve"> </w:t>
            </w:r>
            <w:r w:rsidRPr="00336D99">
              <w:rPr>
                <w:rFonts w:ascii="Calibri" w:hAnsi="Calibri" w:cstheme="minorHAnsi"/>
                <w:b/>
                <w:sz w:val="20"/>
                <w:szCs w:val="18"/>
                <w:lang w:val="en-GB"/>
              </w:rPr>
              <w:t>Instruments</w:t>
            </w:r>
          </w:p>
        </w:tc>
      </w:tr>
      <w:tr w:rsidR="000944AD" w:rsidRPr="00336D99" w14:paraId="039EF073" w14:textId="77777777" w:rsidTr="005C3A3D">
        <w:trPr>
          <w:trHeight w:val="944"/>
        </w:trPr>
        <w:tc>
          <w:tcPr>
            <w:tcW w:w="0" w:type="auto"/>
          </w:tcPr>
          <w:p w14:paraId="71E05221" w14:textId="77777777" w:rsidR="000944AD" w:rsidRPr="00336D99" w:rsidRDefault="000944AD" w:rsidP="00C4443D">
            <w:pPr>
              <w:rPr>
                <w:rFonts w:ascii="Calibri" w:hAnsi="Calibri" w:cstheme="minorHAnsi"/>
                <w:sz w:val="20"/>
                <w:szCs w:val="18"/>
                <w:lang w:val="en-GB"/>
              </w:rPr>
            </w:pPr>
            <w:r w:rsidRPr="00336D99">
              <w:rPr>
                <w:rFonts w:ascii="Calibri" w:hAnsi="Calibri" w:cstheme="minorHAnsi"/>
                <w:sz w:val="20"/>
                <w:szCs w:val="18"/>
                <w:lang w:val="en-GB"/>
              </w:rPr>
              <w:t xml:space="preserve">Power Market </w:t>
            </w:r>
            <w:r w:rsidRPr="00336D99">
              <w:rPr>
                <w:rFonts w:ascii="Calibri" w:hAnsi="Calibri" w:cstheme="minorHAnsi"/>
                <w:sz w:val="20"/>
                <w:szCs w:val="18"/>
                <w:lang w:val="en-GB"/>
              </w:rPr>
              <w:br/>
              <w:t>Risk</w:t>
            </w:r>
          </w:p>
        </w:tc>
        <w:tc>
          <w:tcPr>
            <w:tcW w:w="0" w:type="auto"/>
          </w:tcPr>
          <w:p w14:paraId="45BBA2B7" w14:textId="77777777" w:rsidR="000944AD" w:rsidRPr="00336D99" w:rsidRDefault="000944AD" w:rsidP="0020322F">
            <w:pPr>
              <w:pStyle w:val="afb"/>
              <w:numPr>
                <w:ilvl w:val="0"/>
                <w:numId w:val="43"/>
              </w:numPr>
              <w:tabs>
                <w:tab w:val="left" w:pos="316"/>
              </w:tabs>
              <w:ind w:left="316" w:hanging="270"/>
              <w:contextualSpacing/>
              <w:rPr>
                <w:rFonts w:ascii="Calibri" w:hAnsi="Calibri" w:cstheme="minorHAnsi"/>
                <w:sz w:val="20"/>
                <w:szCs w:val="18"/>
                <w:lang w:val="en-GB"/>
              </w:rPr>
            </w:pPr>
            <w:r w:rsidRPr="00336D99">
              <w:rPr>
                <w:rFonts w:ascii="Calibri" w:hAnsi="Calibri" w:cstheme="minorHAnsi"/>
                <w:sz w:val="20"/>
                <w:szCs w:val="18"/>
                <w:lang w:val="en-GB"/>
              </w:rPr>
              <w:t xml:space="preserve">Update transparent, long-term national renewable energy strategy </w:t>
            </w:r>
          </w:p>
          <w:p w14:paraId="4A5E2185" w14:textId="77777777" w:rsidR="000944AD" w:rsidRDefault="000944AD" w:rsidP="0020322F">
            <w:pPr>
              <w:pStyle w:val="afb"/>
              <w:numPr>
                <w:ilvl w:val="0"/>
                <w:numId w:val="43"/>
              </w:numPr>
              <w:tabs>
                <w:tab w:val="left" w:pos="316"/>
              </w:tabs>
              <w:ind w:left="316" w:hanging="270"/>
              <w:contextualSpacing/>
              <w:rPr>
                <w:rFonts w:ascii="Calibri" w:hAnsi="Calibri" w:cstheme="minorHAnsi"/>
                <w:sz w:val="20"/>
                <w:szCs w:val="18"/>
                <w:lang w:val="en-GB"/>
              </w:rPr>
            </w:pPr>
            <w:r w:rsidRPr="00336D99">
              <w:rPr>
                <w:rFonts w:ascii="Calibri" w:hAnsi="Calibri" w:cstheme="minorHAnsi"/>
                <w:sz w:val="20"/>
                <w:szCs w:val="18"/>
                <w:lang w:val="en-GB"/>
              </w:rPr>
              <w:t>Establish and run IPP bidding process, with standardized PPA</w:t>
            </w:r>
          </w:p>
          <w:p w14:paraId="1838B965" w14:textId="77777777" w:rsidR="00B040FA" w:rsidRPr="00336D99" w:rsidRDefault="00B040FA" w:rsidP="0020322F">
            <w:pPr>
              <w:pStyle w:val="afb"/>
              <w:numPr>
                <w:ilvl w:val="0"/>
                <w:numId w:val="43"/>
              </w:numPr>
              <w:tabs>
                <w:tab w:val="left" w:pos="316"/>
              </w:tabs>
              <w:ind w:left="316" w:hanging="270"/>
              <w:contextualSpacing/>
              <w:rPr>
                <w:rFonts w:ascii="Calibri" w:hAnsi="Calibri" w:cstheme="minorHAnsi"/>
                <w:sz w:val="20"/>
                <w:szCs w:val="18"/>
                <w:lang w:val="en-GB"/>
              </w:rPr>
            </w:pPr>
            <w:r>
              <w:rPr>
                <w:rFonts w:ascii="Calibri" w:hAnsi="Calibri" w:cstheme="minorHAnsi"/>
                <w:sz w:val="20"/>
                <w:szCs w:val="18"/>
                <w:lang w:val="en-GB"/>
              </w:rPr>
              <w:t>Establish a renewable energy office in the regulator</w:t>
            </w:r>
          </w:p>
        </w:tc>
        <w:tc>
          <w:tcPr>
            <w:tcW w:w="0" w:type="auto"/>
          </w:tcPr>
          <w:p w14:paraId="532D1582" w14:textId="77777777" w:rsidR="000944AD" w:rsidRPr="00336D99" w:rsidRDefault="000944AD" w:rsidP="005C3A3D">
            <w:pPr>
              <w:ind w:left="240"/>
              <w:rPr>
                <w:rFonts w:ascii="Calibri" w:hAnsi="Calibri" w:cstheme="minorHAnsi"/>
                <w:sz w:val="20"/>
                <w:szCs w:val="18"/>
                <w:lang w:val="en-GB"/>
              </w:rPr>
            </w:pPr>
            <w:r w:rsidRPr="00336D99">
              <w:rPr>
                <w:rFonts w:ascii="Calibri" w:hAnsi="Calibri" w:cstheme="minorHAnsi"/>
                <w:sz w:val="20"/>
                <w:szCs w:val="18"/>
                <w:lang w:val="en-GB"/>
              </w:rPr>
              <w:t>NA</w:t>
            </w:r>
          </w:p>
        </w:tc>
      </w:tr>
      <w:tr w:rsidR="000944AD" w:rsidRPr="00336D99" w14:paraId="4ED2A4C2" w14:textId="77777777" w:rsidTr="005C3A3D">
        <w:tc>
          <w:tcPr>
            <w:tcW w:w="0" w:type="auto"/>
          </w:tcPr>
          <w:p w14:paraId="037B258D" w14:textId="77777777" w:rsidR="000944AD" w:rsidRPr="00336D99" w:rsidRDefault="000944AD" w:rsidP="00C4443D">
            <w:pPr>
              <w:rPr>
                <w:rFonts w:ascii="Calibri" w:hAnsi="Calibri" w:cstheme="minorHAnsi"/>
                <w:sz w:val="20"/>
                <w:szCs w:val="18"/>
                <w:lang w:val="en-GB"/>
              </w:rPr>
            </w:pPr>
            <w:r w:rsidRPr="00336D99">
              <w:rPr>
                <w:rFonts w:ascii="Calibri" w:hAnsi="Calibri" w:cstheme="minorHAnsi"/>
                <w:sz w:val="20"/>
                <w:szCs w:val="18"/>
                <w:lang w:val="en-GB"/>
              </w:rPr>
              <w:t>Permits Risk</w:t>
            </w:r>
          </w:p>
        </w:tc>
        <w:tc>
          <w:tcPr>
            <w:tcW w:w="0" w:type="auto"/>
          </w:tcPr>
          <w:p w14:paraId="265C476C" w14:textId="77777777" w:rsidR="000944AD" w:rsidRPr="00336D99" w:rsidRDefault="000944AD" w:rsidP="0020322F">
            <w:pPr>
              <w:pStyle w:val="afb"/>
              <w:numPr>
                <w:ilvl w:val="0"/>
                <w:numId w:val="44"/>
              </w:numPr>
              <w:tabs>
                <w:tab w:val="left" w:pos="316"/>
              </w:tabs>
              <w:ind w:left="316" w:hanging="270"/>
              <w:contextualSpacing/>
              <w:rPr>
                <w:rFonts w:ascii="Calibri" w:hAnsi="Calibri" w:cstheme="minorHAnsi"/>
                <w:sz w:val="20"/>
                <w:szCs w:val="18"/>
                <w:lang w:val="en-GB"/>
              </w:rPr>
            </w:pPr>
            <w:r w:rsidRPr="00336D99">
              <w:rPr>
                <w:rFonts w:ascii="Calibri" w:hAnsi="Calibri" w:cstheme="minorHAnsi"/>
                <w:sz w:val="20"/>
                <w:szCs w:val="18"/>
                <w:lang w:val="en-GB"/>
              </w:rPr>
              <w:t>Streamlined process for RE permits (dedicated one-stop shop)</w:t>
            </w:r>
          </w:p>
          <w:p w14:paraId="3D2CD2BA" w14:textId="77777777" w:rsidR="000944AD" w:rsidRPr="00336D99" w:rsidRDefault="000944AD" w:rsidP="0020322F">
            <w:pPr>
              <w:pStyle w:val="afb"/>
              <w:numPr>
                <w:ilvl w:val="0"/>
                <w:numId w:val="44"/>
              </w:numPr>
              <w:tabs>
                <w:tab w:val="left" w:pos="316"/>
              </w:tabs>
              <w:ind w:left="316" w:hanging="270"/>
              <w:contextualSpacing/>
              <w:rPr>
                <w:rFonts w:ascii="Calibri" w:hAnsi="Calibri" w:cstheme="minorHAnsi"/>
                <w:sz w:val="20"/>
                <w:szCs w:val="18"/>
                <w:lang w:val="en-GB"/>
              </w:rPr>
            </w:pPr>
            <w:r w:rsidRPr="00336D99">
              <w:rPr>
                <w:rFonts w:ascii="Calibri" w:hAnsi="Calibri" w:cstheme="minorHAnsi"/>
                <w:sz w:val="20"/>
                <w:szCs w:val="18"/>
                <w:lang w:val="en-GB"/>
              </w:rPr>
              <w:t>Contract enforcement and recourse mechanisms</w:t>
            </w:r>
          </w:p>
        </w:tc>
        <w:tc>
          <w:tcPr>
            <w:tcW w:w="0" w:type="auto"/>
          </w:tcPr>
          <w:p w14:paraId="7B9CF0E6" w14:textId="77777777" w:rsidR="000944AD" w:rsidRPr="00336D99" w:rsidRDefault="000944AD" w:rsidP="005C3A3D">
            <w:pPr>
              <w:ind w:left="240"/>
              <w:rPr>
                <w:rFonts w:ascii="Calibri" w:hAnsi="Calibri" w:cstheme="minorHAnsi"/>
                <w:sz w:val="20"/>
                <w:szCs w:val="18"/>
                <w:lang w:val="en-GB"/>
              </w:rPr>
            </w:pPr>
            <w:r w:rsidRPr="00336D99">
              <w:rPr>
                <w:rFonts w:ascii="Calibri" w:hAnsi="Calibri" w:cstheme="minorHAnsi"/>
                <w:sz w:val="20"/>
                <w:szCs w:val="18"/>
                <w:lang w:val="en-GB"/>
              </w:rPr>
              <w:t>NA</w:t>
            </w:r>
          </w:p>
        </w:tc>
      </w:tr>
      <w:tr w:rsidR="000944AD" w:rsidRPr="00336D99" w14:paraId="3F391287" w14:textId="77777777" w:rsidTr="005C3A3D">
        <w:tc>
          <w:tcPr>
            <w:tcW w:w="0" w:type="auto"/>
          </w:tcPr>
          <w:p w14:paraId="02079467" w14:textId="77777777" w:rsidR="000944AD" w:rsidRPr="00336D99" w:rsidRDefault="000944AD" w:rsidP="00C4443D">
            <w:pPr>
              <w:rPr>
                <w:rFonts w:ascii="Calibri" w:hAnsi="Calibri" w:cstheme="minorHAnsi"/>
                <w:sz w:val="20"/>
                <w:szCs w:val="18"/>
                <w:lang w:val="en-GB"/>
              </w:rPr>
            </w:pPr>
            <w:r w:rsidRPr="00336D99">
              <w:rPr>
                <w:rFonts w:ascii="Calibri" w:hAnsi="Calibri" w:cstheme="minorHAnsi"/>
                <w:sz w:val="20"/>
                <w:szCs w:val="18"/>
                <w:lang w:val="en-GB"/>
              </w:rPr>
              <w:t>Social Acceptance Risk</w:t>
            </w:r>
          </w:p>
        </w:tc>
        <w:tc>
          <w:tcPr>
            <w:tcW w:w="0" w:type="auto"/>
          </w:tcPr>
          <w:p w14:paraId="77D4D26F" w14:textId="77777777" w:rsidR="000944AD" w:rsidRPr="00336D99" w:rsidRDefault="000944AD" w:rsidP="0020322F">
            <w:pPr>
              <w:pStyle w:val="afb"/>
              <w:numPr>
                <w:ilvl w:val="0"/>
                <w:numId w:val="44"/>
              </w:numPr>
              <w:tabs>
                <w:tab w:val="left" w:pos="316"/>
              </w:tabs>
              <w:ind w:left="316" w:hanging="270"/>
              <w:contextualSpacing/>
              <w:rPr>
                <w:rFonts w:ascii="Calibri" w:hAnsi="Calibri" w:cstheme="minorHAnsi"/>
                <w:sz w:val="20"/>
                <w:szCs w:val="18"/>
                <w:lang w:val="en-GB"/>
              </w:rPr>
            </w:pPr>
            <w:r w:rsidRPr="00336D99">
              <w:rPr>
                <w:rFonts w:ascii="Calibri" w:hAnsi="Calibri" w:cstheme="minorHAnsi"/>
                <w:sz w:val="20"/>
                <w:szCs w:val="18"/>
                <w:lang w:val="en-GB"/>
              </w:rPr>
              <w:t>Awareness-raising campaigns</w:t>
            </w:r>
          </w:p>
        </w:tc>
        <w:tc>
          <w:tcPr>
            <w:tcW w:w="0" w:type="auto"/>
          </w:tcPr>
          <w:p w14:paraId="3A99F42C" w14:textId="77777777" w:rsidR="000944AD" w:rsidRPr="00336D99" w:rsidRDefault="000944AD" w:rsidP="005C3A3D">
            <w:pPr>
              <w:ind w:left="240"/>
              <w:rPr>
                <w:rFonts w:ascii="Calibri" w:hAnsi="Calibri" w:cstheme="minorHAnsi"/>
                <w:sz w:val="20"/>
                <w:szCs w:val="18"/>
                <w:lang w:val="en-GB"/>
              </w:rPr>
            </w:pPr>
            <w:r w:rsidRPr="00336D99">
              <w:rPr>
                <w:rFonts w:ascii="Calibri" w:hAnsi="Calibri" w:cstheme="minorHAnsi"/>
                <w:sz w:val="20"/>
                <w:szCs w:val="18"/>
                <w:lang w:val="en-GB"/>
              </w:rPr>
              <w:t>NA</w:t>
            </w:r>
          </w:p>
        </w:tc>
      </w:tr>
      <w:tr w:rsidR="000944AD" w:rsidRPr="00336D99" w14:paraId="48129D89" w14:textId="77777777" w:rsidTr="005C3A3D">
        <w:tc>
          <w:tcPr>
            <w:tcW w:w="0" w:type="auto"/>
          </w:tcPr>
          <w:p w14:paraId="0B889705" w14:textId="77777777" w:rsidR="000944AD" w:rsidRPr="00336D99" w:rsidRDefault="000944AD" w:rsidP="00C4443D">
            <w:pPr>
              <w:rPr>
                <w:rFonts w:ascii="Calibri" w:hAnsi="Calibri" w:cstheme="minorHAnsi"/>
                <w:sz w:val="20"/>
                <w:szCs w:val="18"/>
                <w:lang w:val="en-GB"/>
              </w:rPr>
            </w:pPr>
            <w:r w:rsidRPr="00336D99">
              <w:rPr>
                <w:rFonts w:ascii="Calibri" w:hAnsi="Calibri" w:cstheme="minorHAnsi"/>
                <w:sz w:val="20"/>
                <w:szCs w:val="18"/>
                <w:lang w:val="en-GB"/>
              </w:rPr>
              <w:t>Developer Risk</w:t>
            </w:r>
          </w:p>
        </w:tc>
        <w:tc>
          <w:tcPr>
            <w:tcW w:w="0" w:type="auto"/>
          </w:tcPr>
          <w:p w14:paraId="1216435B" w14:textId="77777777" w:rsidR="000944AD" w:rsidRPr="00336D99" w:rsidRDefault="000944AD" w:rsidP="0020322F">
            <w:pPr>
              <w:pStyle w:val="afb"/>
              <w:numPr>
                <w:ilvl w:val="0"/>
                <w:numId w:val="45"/>
              </w:numPr>
              <w:tabs>
                <w:tab w:val="left" w:pos="316"/>
              </w:tabs>
              <w:ind w:left="316" w:hanging="270"/>
              <w:contextualSpacing/>
              <w:rPr>
                <w:rFonts w:ascii="Calibri" w:hAnsi="Calibri" w:cstheme="minorHAnsi"/>
                <w:sz w:val="20"/>
                <w:szCs w:val="18"/>
                <w:lang w:val="en-GB"/>
              </w:rPr>
            </w:pPr>
            <w:r w:rsidRPr="00336D99">
              <w:rPr>
                <w:rFonts w:ascii="Calibri" w:hAnsi="Calibri" w:cstheme="minorHAnsi"/>
                <w:sz w:val="20"/>
                <w:szCs w:val="18"/>
                <w:lang w:val="en-GB"/>
              </w:rPr>
              <w:t>Technology R&amp;D</w:t>
            </w:r>
          </w:p>
          <w:p w14:paraId="7B22B7CC" w14:textId="77777777" w:rsidR="000944AD" w:rsidRPr="00336D99" w:rsidRDefault="000944AD" w:rsidP="0020322F">
            <w:pPr>
              <w:pStyle w:val="afb"/>
              <w:numPr>
                <w:ilvl w:val="0"/>
                <w:numId w:val="45"/>
              </w:numPr>
              <w:tabs>
                <w:tab w:val="left" w:pos="316"/>
              </w:tabs>
              <w:ind w:left="316" w:hanging="270"/>
              <w:contextualSpacing/>
              <w:rPr>
                <w:rFonts w:ascii="Calibri" w:hAnsi="Calibri" w:cstheme="minorHAnsi"/>
                <w:sz w:val="20"/>
                <w:szCs w:val="18"/>
                <w:lang w:val="en-GB"/>
              </w:rPr>
            </w:pPr>
            <w:r w:rsidRPr="00336D99">
              <w:rPr>
                <w:rFonts w:ascii="Calibri" w:hAnsi="Calibri" w:cstheme="minorHAnsi"/>
                <w:sz w:val="20"/>
                <w:szCs w:val="18"/>
                <w:lang w:val="en-GB"/>
              </w:rPr>
              <w:t>Support for industry associations</w:t>
            </w:r>
          </w:p>
        </w:tc>
        <w:tc>
          <w:tcPr>
            <w:tcW w:w="0" w:type="auto"/>
          </w:tcPr>
          <w:p w14:paraId="7DF200B8" w14:textId="77777777" w:rsidR="000944AD" w:rsidRPr="00336D99" w:rsidRDefault="000944AD" w:rsidP="005C3A3D">
            <w:pPr>
              <w:ind w:left="240"/>
              <w:rPr>
                <w:rFonts w:ascii="Calibri" w:hAnsi="Calibri" w:cstheme="minorHAnsi"/>
                <w:sz w:val="20"/>
                <w:szCs w:val="18"/>
                <w:lang w:val="en-GB"/>
              </w:rPr>
            </w:pPr>
            <w:r w:rsidRPr="00336D99">
              <w:rPr>
                <w:rFonts w:ascii="Calibri" w:hAnsi="Calibri" w:cstheme="minorHAnsi"/>
                <w:sz w:val="20"/>
                <w:szCs w:val="18"/>
                <w:lang w:val="en-GB"/>
              </w:rPr>
              <w:t>NA</w:t>
            </w:r>
          </w:p>
        </w:tc>
      </w:tr>
      <w:tr w:rsidR="000944AD" w:rsidRPr="00336D99" w14:paraId="5A187CF2" w14:textId="77777777" w:rsidTr="005C3A3D">
        <w:tc>
          <w:tcPr>
            <w:tcW w:w="0" w:type="auto"/>
          </w:tcPr>
          <w:p w14:paraId="0D327301" w14:textId="77777777" w:rsidR="000944AD" w:rsidRPr="00336D99" w:rsidRDefault="000944AD" w:rsidP="00C4443D">
            <w:pPr>
              <w:rPr>
                <w:rFonts w:ascii="Calibri" w:hAnsi="Calibri" w:cstheme="minorHAnsi"/>
                <w:sz w:val="20"/>
                <w:szCs w:val="18"/>
                <w:lang w:val="en-GB"/>
              </w:rPr>
            </w:pPr>
            <w:r w:rsidRPr="00336D99">
              <w:rPr>
                <w:rFonts w:ascii="Calibri" w:hAnsi="Calibri" w:cstheme="minorHAnsi"/>
                <w:sz w:val="20"/>
                <w:szCs w:val="18"/>
                <w:lang w:val="en-GB"/>
              </w:rPr>
              <w:t xml:space="preserve">Grid/Transmission Risk </w:t>
            </w:r>
          </w:p>
        </w:tc>
        <w:tc>
          <w:tcPr>
            <w:tcW w:w="0" w:type="auto"/>
          </w:tcPr>
          <w:p w14:paraId="6372A5DB" w14:textId="77777777" w:rsidR="000944AD" w:rsidRPr="00336D99" w:rsidRDefault="000944AD" w:rsidP="0020322F">
            <w:pPr>
              <w:pStyle w:val="afb"/>
              <w:numPr>
                <w:ilvl w:val="0"/>
                <w:numId w:val="46"/>
              </w:numPr>
              <w:tabs>
                <w:tab w:val="left" w:pos="316"/>
              </w:tabs>
              <w:ind w:left="316" w:hanging="270"/>
              <w:contextualSpacing/>
              <w:rPr>
                <w:rFonts w:ascii="Calibri" w:hAnsi="Calibri" w:cstheme="minorHAnsi"/>
                <w:sz w:val="20"/>
                <w:szCs w:val="18"/>
                <w:lang w:val="en-GB"/>
              </w:rPr>
            </w:pPr>
            <w:r w:rsidRPr="00336D99">
              <w:rPr>
                <w:rFonts w:ascii="Calibri" w:hAnsi="Calibri" w:cstheme="minorHAnsi"/>
                <w:sz w:val="20"/>
                <w:szCs w:val="18"/>
                <w:lang w:val="en-GB"/>
              </w:rPr>
              <w:t xml:space="preserve">Strengthen KEGOC’s grid management capacity </w:t>
            </w:r>
          </w:p>
          <w:p w14:paraId="4051C11D" w14:textId="77777777" w:rsidR="000944AD" w:rsidRPr="00336D99" w:rsidRDefault="000944AD" w:rsidP="0020322F">
            <w:pPr>
              <w:pStyle w:val="afb"/>
              <w:numPr>
                <w:ilvl w:val="0"/>
                <w:numId w:val="46"/>
              </w:numPr>
              <w:tabs>
                <w:tab w:val="left" w:pos="316"/>
              </w:tabs>
              <w:ind w:left="316" w:hanging="270"/>
              <w:contextualSpacing/>
              <w:rPr>
                <w:rFonts w:ascii="Calibri" w:hAnsi="Calibri" w:cstheme="minorHAnsi"/>
                <w:sz w:val="20"/>
                <w:szCs w:val="18"/>
                <w:lang w:val="en-GB"/>
              </w:rPr>
            </w:pPr>
            <w:r w:rsidRPr="00336D99">
              <w:rPr>
                <w:rFonts w:ascii="Calibri" w:hAnsi="Calibri" w:cstheme="minorHAnsi"/>
                <w:sz w:val="20"/>
                <w:szCs w:val="18"/>
                <w:lang w:val="en-GB"/>
              </w:rPr>
              <w:t>Transparent, up-to-date grid code</w:t>
            </w:r>
          </w:p>
          <w:p w14:paraId="1B6A475C" w14:textId="77777777" w:rsidR="000944AD" w:rsidRPr="00336D99" w:rsidRDefault="000944AD" w:rsidP="0020322F">
            <w:pPr>
              <w:pStyle w:val="afb"/>
              <w:numPr>
                <w:ilvl w:val="0"/>
                <w:numId w:val="46"/>
              </w:numPr>
              <w:tabs>
                <w:tab w:val="left" w:pos="316"/>
              </w:tabs>
              <w:ind w:left="316" w:hanging="270"/>
              <w:contextualSpacing/>
              <w:rPr>
                <w:rFonts w:ascii="Calibri" w:hAnsi="Calibri" w:cstheme="minorHAnsi"/>
                <w:sz w:val="20"/>
                <w:szCs w:val="18"/>
                <w:lang w:val="en-GB"/>
              </w:rPr>
            </w:pPr>
            <w:r w:rsidRPr="00336D99">
              <w:rPr>
                <w:rFonts w:ascii="Calibri" w:hAnsi="Calibri" w:cstheme="minorHAnsi"/>
                <w:sz w:val="20"/>
                <w:szCs w:val="18"/>
                <w:lang w:val="en-GB"/>
              </w:rPr>
              <w:t xml:space="preserve">Policy support for long-term national transmission/grid road-map </w:t>
            </w:r>
          </w:p>
        </w:tc>
        <w:tc>
          <w:tcPr>
            <w:tcW w:w="0" w:type="auto"/>
          </w:tcPr>
          <w:p w14:paraId="57405562" w14:textId="77777777" w:rsidR="000944AD" w:rsidRPr="00336D99" w:rsidRDefault="000944AD" w:rsidP="0020322F">
            <w:pPr>
              <w:pStyle w:val="afb"/>
              <w:numPr>
                <w:ilvl w:val="0"/>
                <w:numId w:val="46"/>
              </w:numPr>
              <w:ind w:left="459"/>
              <w:contextualSpacing/>
              <w:rPr>
                <w:rFonts w:ascii="Calibri" w:hAnsi="Calibri" w:cstheme="minorHAnsi"/>
                <w:sz w:val="20"/>
                <w:szCs w:val="18"/>
                <w:lang w:val="en-GB"/>
              </w:rPr>
            </w:pPr>
            <w:r w:rsidRPr="00336D99">
              <w:rPr>
                <w:rFonts w:ascii="Calibri" w:hAnsi="Calibri" w:cstheme="minorHAnsi"/>
                <w:sz w:val="20"/>
                <w:szCs w:val="18"/>
                <w:lang w:val="en-GB"/>
              </w:rPr>
              <w:t>Take-or-pay clause in PPA</w:t>
            </w:r>
            <w:r w:rsidRPr="00336D99">
              <w:rPr>
                <w:rStyle w:val="afa"/>
                <w:rFonts w:ascii="Calibri" w:hAnsi="Calibri" w:cstheme="minorHAnsi"/>
                <w:sz w:val="20"/>
                <w:szCs w:val="18"/>
              </w:rPr>
              <w:footnoteReference w:id="8"/>
            </w:r>
          </w:p>
        </w:tc>
      </w:tr>
      <w:tr w:rsidR="000944AD" w:rsidRPr="00336D99" w14:paraId="189A0983" w14:textId="77777777" w:rsidTr="005C3A3D">
        <w:tc>
          <w:tcPr>
            <w:tcW w:w="0" w:type="auto"/>
          </w:tcPr>
          <w:p w14:paraId="787E42C7" w14:textId="77777777" w:rsidR="000944AD" w:rsidRPr="00336D99" w:rsidRDefault="000944AD" w:rsidP="00C4443D">
            <w:pPr>
              <w:rPr>
                <w:rFonts w:ascii="Calibri" w:hAnsi="Calibri" w:cstheme="minorHAnsi"/>
                <w:sz w:val="20"/>
                <w:szCs w:val="18"/>
                <w:lang w:val="en-GB"/>
              </w:rPr>
            </w:pPr>
            <w:r w:rsidRPr="00336D99">
              <w:rPr>
                <w:rFonts w:ascii="Calibri" w:hAnsi="Calibri" w:cstheme="minorHAnsi"/>
                <w:sz w:val="20"/>
                <w:szCs w:val="18"/>
                <w:lang w:val="en-GB"/>
              </w:rPr>
              <w:t>Counterparty Risk</w:t>
            </w:r>
          </w:p>
        </w:tc>
        <w:tc>
          <w:tcPr>
            <w:tcW w:w="0" w:type="auto"/>
          </w:tcPr>
          <w:p w14:paraId="1ED4B798" w14:textId="77777777" w:rsidR="000944AD" w:rsidRPr="00336D99" w:rsidRDefault="000944AD" w:rsidP="0020322F">
            <w:pPr>
              <w:pStyle w:val="afb"/>
              <w:numPr>
                <w:ilvl w:val="0"/>
                <w:numId w:val="47"/>
              </w:numPr>
              <w:tabs>
                <w:tab w:val="left" w:pos="316"/>
              </w:tabs>
              <w:ind w:left="316" w:hanging="270"/>
              <w:contextualSpacing/>
              <w:rPr>
                <w:rFonts w:ascii="Calibri" w:hAnsi="Calibri" w:cstheme="minorHAnsi"/>
                <w:sz w:val="20"/>
                <w:szCs w:val="18"/>
                <w:lang w:val="en-GB"/>
              </w:rPr>
            </w:pPr>
            <w:r w:rsidRPr="00336D99">
              <w:rPr>
                <w:rFonts w:ascii="Calibri" w:hAnsi="Calibri" w:cstheme="minorHAnsi"/>
                <w:sz w:val="20"/>
                <w:szCs w:val="18"/>
                <w:lang w:val="en-GB"/>
              </w:rPr>
              <w:t xml:space="preserve">Reform and maintain creditworthy Settlement Centre structure </w:t>
            </w:r>
          </w:p>
        </w:tc>
        <w:tc>
          <w:tcPr>
            <w:tcW w:w="0" w:type="auto"/>
          </w:tcPr>
          <w:p w14:paraId="6193F9E4" w14:textId="77777777" w:rsidR="000944AD" w:rsidRPr="00336D99" w:rsidRDefault="000944AD" w:rsidP="0020322F">
            <w:pPr>
              <w:pStyle w:val="afb"/>
              <w:numPr>
                <w:ilvl w:val="0"/>
                <w:numId w:val="47"/>
              </w:numPr>
              <w:ind w:left="459"/>
              <w:contextualSpacing/>
              <w:rPr>
                <w:rFonts w:ascii="Calibri" w:hAnsi="Calibri" w:cstheme="minorHAnsi"/>
                <w:sz w:val="20"/>
                <w:szCs w:val="18"/>
                <w:lang w:val="en-GB"/>
              </w:rPr>
            </w:pPr>
            <w:r w:rsidRPr="00336D99">
              <w:rPr>
                <w:rFonts w:ascii="Calibri" w:hAnsi="Calibri" w:cstheme="minorHAnsi"/>
                <w:sz w:val="20"/>
                <w:szCs w:val="18"/>
                <w:lang w:val="en-GB"/>
              </w:rPr>
              <w:t>Government guarantee for PPA payments</w:t>
            </w:r>
          </w:p>
          <w:p w14:paraId="04E67819" w14:textId="77777777" w:rsidR="000944AD" w:rsidRPr="00336D99" w:rsidRDefault="000944AD" w:rsidP="0020322F">
            <w:pPr>
              <w:pStyle w:val="afb"/>
              <w:numPr>
                <w:ilvl w:val="0"/>
                <w:numId w:val="47"/>
              </w:numPr>
              <w:ind w:left="459"/>
              <w:contextualSpacing/>
              <w:rPr>
                <w:rFonts w:ascii="Calibri" w:hAnsi="Calibri" w:cstheme="minorHAnsi"/>
                <w:sz w:val="20"/>
                <w:szCs w:val="18"/>
                <w:lang w:val="en-GB"/>
              </w:rPr>
            </w:pPr>
            <w:r w:rsidRPr="00336D99">
              <w:rPr>
                <w:rFonts w:ascii="Calibri" w:hAnsi="Calibri" w:cstheme="minorHAnsi"/>
                <w:sz w:val="20"/>
                <w:szCs w:val="18"/>
                <w:lang w:val="en-GB"/>
              </w:rPr>
              <w:t>Public loans to IPPs</w:t>
            </w:r>
          </w:p>
        </w:tc>
      </w:tr>
      <w:tr w:rsidR="000944AD" w:rsidRPr="00336D99" w14:paraId="4A5316B3" w14:textId="77777777" w:rsidTr="005C3A3D">
        <w:tc>
          <w:tcPr>
            <w:tcW w:w="0" w:type="auto"/>
          </w:tcPr>
          <w:p w14:paraId="686BA36E" w14:textId="77777777" w:rsidR="000944AD" w:rsidRPr="00336D99" w:rsidRDefault="000944AD" w:rsidP="00C4443D">
            <w:pPr>
              <w:rPr>
                <w:rFonts w:ascii="Calibri" w:hAnsi="Calibri" w:cstheme="minorHAnsi"/>
                <w:sz w:val="20"/>
                <w:szCs w:val="18"/>
                <w:lang w:val="en-GB"/>
              </w:rPr>
            </w:pPr>
            <w:r w:rsidRPr="00336D99">
              <w:rPr>
                <w:rFonts w:ascii="Calibri" w:hAnsi="Calibri" w:cstheme="minorHAnsi"/>
                <w:sz w:val="20"/>
                <w:szCs w:val="18"/>
                <w:lang w:val="en-GB"/>
              </w:rPr>
              <w:t>Financial Sector Risk</w:t>
            </w:r>
          </w:p>
        </w:tc>
        <w:tc>
          <w:tcPr>
            <w:tcW w:w="0" w:type="auto"/>
          </w:tcPr>
          <w:p w14:paraId="04699FB0" w14:textId="77777777" w:rsidR="000944AD" w:rsidRPr="00336D99" w:rsidRDefault="000944AD" w:rsidP="0020322F">
            <w:pPr>
              <w:pStyle w:val="afb"/>
              <w:numPr>
                <w:ilvl w:val="0"/>
                <w:numId w:val="48"/>
              </w:numPr>
              <w:tabs>
                <w:tab w:val="left" w:pos="316"/>
              </w:tabs>
              <w:ind w:left="316" w:hanging="270"/>
              <w:contextualSpacing/>
              <w:rPr>
                <w:rFonts w:ascii="Calibri" w:hAnsi="Calibri" w:cstheme="minorHAnsi"/>
                <w:sz w:val="20"/>
                <w:szCs w:val="18"/>
                <w:lang w:val="en-GB"/>
              </w:rPr>
            </w:pPr>
            <w:r w:rsidRPr="00336D99">
              <w:rPr>
                <w:rFonts w:ascii="Calibri" w:hAnsi="Calibri" w:cstheme="minorHAnsi"/>
                <w:sz w:val="20"/>
                <w:szCs w:val="18"/>
                <w:lang w:val="en-GB"/>
              </w:rPr>
              <w:t>Fostering financial sector reform towards green infrastructure investment</w:t>
            </w:r>
          </w:p>
          <w:p w14:paraId="631FC58D" w14:textId="77777777" w:rsidR="000944AD" w:rsidRPr="00336D99" w:rsidRDefault="000944AD" w:rsidP="0020322F">
            <w:pPr>
              <w:pStyle w:val="afb"/>
              <w:numPr>
                <w:ilvl w:val="0"/>
                <w:numId w:val="48"/>
              </w:numPr>
              <w:tabs>
                <w:tab w:val="left" w:pos="316"/>
              </w:tabs>
              <w:ind w:left="316" w:hanging="270"/>
              <w:contextualSpacing/>
              <w:rPr>
                <w:rFonts w:ascii="Calibri" w:hAnsi="Calibri" w:cstheme="minorHAnsi"/>
                <w:sz w:val="20"/>
                <w:szCs w:val="18"/>
                <w:lang w:val="en-GB"/>
              </w:rPr>
            </w:pPr>
            <w:r w:rsidRPr="00336D99">
              <w:rPr>
                <w:rFonts w:ascii="Calibri" w:hAnsi="Calibri" w:cstheme="minorHAnsi"/>
                <w:sz w:val="20"/>
                <w:szCs w:val="18"/>
                <w:lang w:val="en-GB"/>
              </w:rPr>
              <w:t xml:space="preserve">Strengthening financial sector’s familiarity with renewable energy and project finance </w:t>
            </w:r>
          </w:p>
        </w:tc>
        <w:tc>
          <w:tcPr>
            <w:tcW w:w="0" w:type="auto"/>
          </w:tcPr>
          <w:p w14:paraId="54EAAF47" w14:textId="77777777" w:rsidR="000944AD" w:rsidRPr="00336D99" w:rsidRDefault="000944AD" w:rsidP="0020322F">
            <w:pPr>
              <w:pStyle w:val="afb"/>
              <w:numPr>
                <w:ilvl w:val="0"/>
                <w:numId w:val="48"/>
              </w:numPr>
              <w:ind w:left="459"/>
              <w:contextualSpacing/>
              <w:rPr>
                <w:rFonts w:ascii="Calibri" w:hAnsi="Calibri" w:cstheme="minorHAnsi"/>
                <w:sz w:val="20"/>
                <w:szCs w:val="18"/>
                <w:lang w:val="en-GB"/>
              </w:rPr>
            </w:pPr>
            <w:r w:rsidRPr="00336D99">
              <w:rPr>
                <w:rFonts w:ascii="Calibri" w:hAnsi="Calibri" w:cstheme="minorHAnsi"/>
                <w:sz w:val="20"/>
                <w:szCs w:val="18"/>
                <w:lang w:val="en-GB"/>
              </w:rPr>
              <w:t>Public loans to IPPs</w:t>
            </w:r>
          </w:p>
        </w:tc>
      </w:tr>
      <w:tr w:rsidR="000944AD" w:rsidRPr="00336D99" w14:paraId="67FFF5A9" w14:textId="77777777" w:rsidTr="005C3A3D">
        <w:tc>
          <w:tcPr>
            <w:tcW w:w="0" w:type="auto"/>
          </w:tcPr>
          <w:p w14:paraId="709ABE0C" w14:textId="77777777" w:rsidR="000944AD" w:rsidRPr="00336D99" w:rsidRDefault="000944AD" w:rsidP="00C4443D">
            <w:pPr>
              <w:rPr>
                <w:rFonts w:ascii="Calibri" w:hAnsi="Calibri" w:cstheme="minorHAnsi"/>
                <w:sz w:val="20"/>
                <w:szCs w:val="18"/>
                <w:lang w:val="en-GB"/>
              </w:rPr>
            </w:pPr>
            <w:r w:rsidRPr="00336D99">
              <w:rPr>
                <w:rFonts w:ascii="Calibri" w:hAnsi="Calibri" w:cstheme="minorHAnsi"/>
                <w:sz w:val="20"/>
                <w:szCs w:val="18"/>
                <w:lang w:val="en-GB"/>
              </w:rPr>
              <w:t>Political Risk</w:t>
            </w:r>
          </w:p>
        </w:tc>
        <w:tc>
          <w:tcPr>
            <w:tcW w:w="0" w:type="auto"/>
          </w:tcPr>
          <w:p w14:paraId="7B79B736" w14:textId="77777777" w:rsidR="000944AD" w:rsidRPr="00336D99" w:rsidRDefault="000944AD" w:rsidP="00C4443D">
            <w:pPr>
              <w:ind w:left="14"/>
              <w:rPr>
                <w:rFonts w:ascii="Calibri" w:hAnsi="Calibri" w:cstheme="minorHAnsi"/>
                <w:sz w:val="20"/>
                <w:szCs w:val="18"/>
                <w:lang w:val="en-GB"/>
              </w:rPr>
            </w:pPr>
            <w:r w:rsidRPr="00336D99">
              <w:rPr>
                <w:rFonts w:ascii="Calibri" w:hAnsi="Calibri" w:cstheme="minorHAnsi"/>
                <w:sz w:val="20"/>
                <w:szCs w:val="18"/>
                <w:lang w:val="en-GB"/>
              </w:rPr>
              <w:t>NA</w:t>
            </w:r>
          </w:p>
        </w:tc>
        <w:tc>
          <w:tcPr>
            <w:tcW w:w="0" w:type="auto"/>
          </w:tcPr>
          <w:p w14:paraId="07767F58" w14:textId="77777777" w:rsidR="000944AD" w:rsidRPr="00336D99" w:rsidRDefault="000944AD" w:rsidP="003E4B00">
            <w:pPr>
              <w:pStyle w:val="afb"/>
              <w:ind w:left="459"/>
              <w:rPr>
                <w:rFonts w:ascii="Calibri" w:hAnsi="Calibri" w:cstheme="minorHAnsi"/>
                <w:sz w:val="20"/>
                <w:szCs w:val="18"/>
                <w:lang w:val="en-GB"/>
              </w:rPr>
            </w:pPr>
            <w:r w:rsidRPr="00336D99">
              <w:rPr>
                <w:rFonts w:ascii="Calibri" w:hAnsi="Calibri" w:cstheme="minorHAnsi"/>
                <w:sz w:val="20"/>
                <w:szCs w:val="18"/>
                <w:lang w:val="en-GB"/>
              </w:rPr>
              <w:t>NA</w:t>
            </w:r>
          </w:p>
        </w:tc>
      </w:tr>
      <w:tr w:rsidR="000944AD" w:rsidRPr="00336D99" w14:paraId="7574FD1C" w14:textId="77777777" w:rsidTr="005C3A3D">
        <w:tc>
          <w:tcPr>
            <w:tcW w:w="0" w:type="auto"/>
          </w:tcPr>
          <w:p w14:paraId="6180320E" w14:textId="77777777" w:rsidR="000944AD" w:rsidRPr="00336D99" w:rsidRDefault="000944AD" w:rsidP="00C4443D">
            <w:pPr>
              <w:rPr>
                <w:rFonts w:ascii="Calibri" w:hAnsi="Calibri" w:cstheme="minorHAnsi"/>
                <w:sz w:val="20"/>
                <w:szCs w:val="18"/>
                <w:lang w:val="en-GB"/>
              </w:rPr>
            </w:pPr>
            <w:r w:rsidRPr="00336D99">
              <w:rPr>
                <w:rFonts w:ascii="Calibri" w:hAnsi="Calibri" w:cstheme="minorHAnsi"/>
                <w:sz w:val="20"/>
                <w:szCs w:val="18"/>
                <w:lang w:val="en-GB"/>
              </w:rPr>
              <w:t>Currency/</w:t>
            </w:r>
            <w:r w:rsidRPr="00336D99">
              <w:rPr>
                <w:rFonts w:ascii="Calibri" w:hAnsi="Calibri" w:cstheme="minorHAnsi"/>
                <w:sz w:val="20"/>
                <w:szCs w:val="18"/>
                <w:lang w:val="en-GB"/>
              </w:rPr>
              <w:br/>
              <w:t>Macroeconomic Risk</w:t>
            </w:r>
          </w:p>
        </w:tc>
        <w:tc>
          <w:tcPr>
            <w:tcW w:w="0" w:type="auto"/>
          </w:tcPr>
          <w:p w14:paraId="0E0D1EE0" w14:textId="77777777" w:rsidR="000944AD" w:rsidRPr="00336D99" w:rsidRDefault="000944AD" w:rsidP="00C4443D">
            <w:pPr>
              <w:ind w:left="14"/>
              <w:rPr>
                <w:rFonts w:ascii="Calibri" w:hAnsi="Calibri" w:cstheme="minorHAnsi"/>
                <w:sz w:val="20"/>
                <w:szCs w:val="18"/>
                <w:lang w:val="en-GB"/>
              </w:rPr>
            </w:pPr>
            <w:r w:rsidRPr="00336D99">
              <w:rPr>
                <w:rFonts w:ascii="Calibri" w:hAnsi="Calibri" w:cstheme="minorHAnsi"/>
                <w:sz w:val="20"/>
                <w:szCs w:val="18"/>
                <w:lang w:val="en-GB"/>
              </w:rPr>
              <w:t>NA</w:t>
            </w:r>
          </w:p>
        </w:tc>
        <w:tc>
          <w:tcPr>
            <w:tcW w:w="0" w:type="auto"/>
          </w:tcPr>
          <w:p w14:paraId="28663E69" w14:textId="4711FADA" w:rsidR="000944AD" w:rsidRPr="00336D99" w:rsidRDefault="000944AD" w:rsidP="0020322F">
            <w:pPr>
              <w:pStyle w:val="afb"/>
              <w:numPr>
                <w:ilvl w:val="0"/>
                <w:numId w:val="49"/>
              </w:numPr>
              <w:ind w:left="468"/>
              <w:contextualSpacing/>
              <w:rPr>
                <w:rFonts w:ascii="Calibri" w:hAnsi="Calibri" w:cstheme="minorHAnsi"/>
                <w:sz w:val="20"/>
                <w:szCs w:val="18"/>
                <w:lang w:val="en-GB"/>
              </w:rPr>
            </w:pPr>
            <w:r w:rsidRPr="00336D99">
              <w:rPr>
                <w:rFonts w:ascii="Calibri" w:hAnsi="Calibri" w:cstheme="minorHAnsi"/>
                <w:sz w:val="20"/>
                <w:szCs w:val="18"/>
                <w:lang w:val="en-GB"/>
              </w:rPr>
              <w:t xml:space="preserve">Partial indexing of PPA </w:t>
            </w:r>
            <w:r w:rsidR="004244E0">
              <w:rPr>
                <w:rFonts w:ascii="Calibri" w:hAnsi="Calibri" w:cstheme="minorHAnsi"/>
                <w:sz w:val="20"/>
                <w:szCs w:val="18"/>
                <w:lang w:val="en-GB"/>
              </w:rPr>
              <w:t>tariff</w:t>
            </w:r>
            <w:r w:rsidR="00D67652">
              <w:rPr>
                <w:rStyle w:val="afa"/>
                <w:szCs w:val="18"/>
                <w:lang w:val="en-GB"/>
              </w:rPr>
              <w:footnoteReference w:id="9"/>
            </w:r>
          </w:p>
        </w:tc>
      </w:tr>
    </w:tbl>
    <w:p w14:paraId="241F1981" w14:textId="77777777" w:rsidR="002152B2" w:rsidRDefault="002152B2"/>
    <w:p w14:paraId="582226EE" w14:textId="34D331CB" w:rsidR="00FA0506" w:rsidRPr="00AA6B60" w:rsidRDefault="00FA0506" w:rsidP="0020322F">
      <w:pPr>
        <w:pStyle w:val="a7"/>
        <w:numPr>
          <w:ilvl w:val="0"/>
          <w:numId w:val="9"/>
        </w:numPr>
        <w:tabs>
          <w:tab w:val="clear" w:pos="4153"/>
          <w:tab w:val="clear" w:pos="8306"/>
          <w:tab w:val="left" w:pos="426"/>
        </w:tabs>
        <w:spacing w:after="120"/>
        <w:ind w:left="0" w:right="17" w:firstLine="0"/>
        <w:rPr>
          <w:rFonts w:cs="Arial"/>
          <w:sz w:val="21"/>
          <w:szCs w:val="22"/>
        </w:rPr>
      </w:pPr>
      <w:r w:rsidRPr="00944F24">
        <w:rPr>
          <w:rFonts w:cs="Arial"/>
          <w:szCs w:val="22"/>
          <w:lang w:val="en-GB"/>
        </w:rPr>
        <w:t xml:space="preserve">The impact of the public instruments on reducing financing cost for wind energy and solar PV in Kazakhstan is shown </w:t>
      </w:r>
      <w:r w:rsidRPr="00257B08">
        <w:rPr>
          <w:rFonts w:cs="Arial"/>
          <w:szCs w:val="22"/>
          <w:lang w:val="en-GB"/>
        </w:rPr>
        <w:t xml:space="preserve">in </w:t>
      </w:r>
      <w:r w:rsidRPr="00257B08">
        <w:rPr>
          <w:rFonts w:cs="Arial"/>
          <w:szCs w:val="22"/>
          <w:lang w:val="en-GB"/>
        </w:rPr>
        <w:fldChar w:fldCharType="begin"/>
      </w:r>
      <w:r w:rsidRPr="00BA0D46">
        <w:rPr>
          <w:rFonts w:cs="Arial"/>
          <w:szCs w:val="22"/>
          <w:lang w:val="en-GB"/>
        </w:rPr>
        <w:instrText xml:space="preserve"> REF _Ref463451650 \h </w:instrText>
      </w:r>
      <w:r w:rsidR="00E93F0E">
        <w:rPr>
          <w:rFonts w:cs="Arial"/>
          <w:szCs w:val="22"/>
          <w:lang w:val="en-GB"/>
        </w:rPr>
        <w:instrText xml:space="preserve"> \* MERGEFORMAT </w:instrText>
      </w:r>
      <w:r w:rsidRPr="00257B08">
        <w:rPr>
          <w:rFonts w:cs="Arial"/>
          <w:szCs w:val="22"/>
          <w:lang w:val="en-GB"/>
        </w:rPr>
      </w:r>
      <w:r w:rsidRPr="00257B08">
        <w:rPr>
          <w:rFonts w:cs="Arial"/>
          <w:szCs w:val="22"/>
          <w:lang w:val="en-GB"/>
        </w:rPr>
        <w:fldChar w:fldCharType="separate"/>
      </w:r>
      <w:r w:rsidR="00921873" w:rsidRPr="00921873">
        <w:rPr>
          <w:szCs w:val="22"/>
        </w:rPr>
        <w:t xml:space="preserve">Figure </w:t>
      </w:r>
      <w:r w:rsidR="00921873" w:rsidRPr="00921873">
        <w:rPr>
          <w:noProof/>
          <w:szCs w:val="22"/>
        </w:rPr>
        <w:t>6</w:t>
      </w:r>
      <w:r w:rsidRPr="00257B08">
        <w:rPr>
          <w:rFonts w:cs="Arial"/>
          <w:szCs w:val="22"/>
          <w:lang w:val="en-GB"/>
        </w:rPr>
        <w:fldChar w:fldCharType="end"/>
      </w:r>
      <w:r w:rsidRPr="00944F24">
        <w:rPr>
          <w:rFonts w:cs="Arial"/>
          <w:szCs w:val="22"/>
          <w:lang w:val="en-GB"/>
        </w:rPr>
        <w:t xml:space="preserve">. Based on the modelling analysis, the selected package of derisking instruments is anticipated to reduce the average cost of equity </w:t>
      </w:r>
      <w:r w:rsidR="00E93F0E">
        <w:rPr>
          <w:rFonts w:cs="Arial"/>
          <w:szCs w:val="22"/>
          <w:lang w:val="en-GB"/>
        </w:rPr>
        <w:t>by</w:t>
      </w:r>
      <w:r w:rsidR="00E93F0E" w:rsidRPr="00944F24">
        <w:rPr>
          <w:rFonts w:cs="Arial"/>
          <w:szCs w:val="22"/>
          <w:lang w:val="en-GB"/>
        </w:rPr>
        <w:t xml:space="preserve"> </w:t>
      </w:r>
      <w:r w:rsidR="0012042E">
        <w:rPr>
          <w:rFonts w:cs="Arial"/>
          <w:szCs w:val="22"/>
          <w:lang w:val="en-GB"/>
        </w:rPr>
        <w:t>2021</w:t>
      </w:r>
      <w:r w:rsidR="0012042E" w:rsidRPr="00944F24">
        <w:rPr>
          <w:rFonts w:cs="Arial"/>
          <w:szCs w:val="22"/>
          <w:lang w:val="en-GB"/>
        </w:rPr>
        <w:t xml:space="preserve"> </w:t>
      </w:r>
      <w:r w:rsidRPr="00944F24">
        <w:rPr>
          <w:rFonts w:cs="Arial"/>
          <w:szCs w:val="22"/>
          <w:lang w:val="en-GB"/>
        </w:rPr>
        <w:t xml:space="preserve">to </w:t>
      </w:r>
      <w:r w:rsidR="0012042E">
        <w:rPr>
          <w:rFonts w:cs="Arial"/>
          <w:szCs w:val="22"/>
          <w:lang w:val="en-GB"/>
        </w:rPr>
        <w:t>13.2</w:t>
      </w:r>
      <w:r w:rsidRPr="00944F24">
        <w:rPr>
          <w:rFonts w:cs="Arial"/>
          <w:szCs w:val="22"/>
          <w:lang w:val="en-GB"/>
        </w:rPr>
        <w:t xml:space="preserve">%, and the cost of debt to </w:t>
      </w:r>
      <w:r w:rsidR="0012042E">
        <w:rPr>
          <w:rFonts w:cs="Arial"/>
          <w:szCs w:val="22"/>
          <w:lang w:val="en-GB"/>
        </w:rPr>
        <w:t>5.5</w:t>
      </w:r>
      <w:r w:rsidRPr="00944F24">
        <w:rPr>
          <w:rFonts w:cs="Arial"/>
          <w:szCs w:val="22"/>
          <w:lang w:val="en-GB"/>
        </w:rPr>
        <w:t>%.</w:t>
      </w:r>
    </w:p>
    <w:p w14:paraId="7264C32F" w14:textId="77777777" w:rsidR="005E26EB" w:rsidRDefault="0012042E" w:rsidP="00FA0506">
      <w:pPr>
        <w:keepNext/>
        <w:spacing w:line="360" w:lineRule="auto"/>
        <w:rPr>
          <w:noProof/>
        </w:rPr>
      </w:pPr>
      <w:r>
        <w:rPr>
          <w:noProof/>
        </w:rPr>
        <w:drawing>
          <wp:inline distT="0" distB="0" distL="0" distR="0" wp14:anchorId="566697AB" wp14:editId="38D5587C">
            <wp:extent cx="6096000" cy="2066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3740" cy="2065904"/>
                    </a:xfrm>
                    <a:prstGeom prst="rect">
                      <a:avLst/>
                    </a:prstGeom>
                    <a:noFill/>
                  </pic:spPr>
                </pic:pic>
              </a:graphicData>
            </a:graphic>
          </wp:inline>
        </w:drawing>
      </w:r>
    </w:p>
    <w:p w14:paraId="1EA0E041" w14:textId="77777777" w:rsidR="00FA0506" w:rsidRDefault="00FA0506" w:rsidP="00863DD5">
      <w:pPr>
        <w:pStyle w:val="aff3"/>
      </w:pPr>
      <w:bookmarkStart w:id="40" w:name="_Ref463451650"/>
      <w:bookmarkStart w:id="41" w:name="_Ref334180707"/>
      <w:bookmarkStart w:id="42" w:name="_Toc463552422"/>
      <w:bookmarkStart w:id="43" w:name="_Toc479693926"/>
      <w:r w:rsidRPr="00F80BA7">
        <w:t xml:space="preserve">Figure </w:t>
      </w:r>
      <w:r w:rsidR="00AA15A7">
        <w:fldChar w:fldCharType="begin"/>
      </w:r>
      <w:r w:rsidR="00AA15A7">
        <w:instrText xml:space="preserve"> SEQ Figure \* ARABIC </w:instrText>
      </w:r>
      <w:r w:rsidR="00AA15A7">
        <w:fldChar w:fldCharType="separate"/>
      </w:r>
      <w:r w:rsidR="00921873">
        <w:rPr>
          <w:noProof/>
        </w:rPr>
        <w:t>6</w:t>
      </w:r>
      <w:r w:rsidR="00AA15A7">
        <w:rPr>
          <w:noProof/>
        </w:rPr>
        <w:fldChar w:fldCharType="end"/>
      </w:r>
      <w:bookmarkEnd w:id="40"/>
      <w:r w:rsidRPr="00F80BA7">
        <w:t>: Impact of public derisking instruments on reducing financing costs for wind energy and solar PV in Kazakhstan post-derisking scenario</w:t>
      </w:r>
      <w:bookmarkEnd w:id="41"/>
      <w:bookmarkEnd w:id="42"/>
      <w:r w:rsidR="00782307">
        <w:t xml:space="preserve"> (preliminary findings)</w:t>
      </w:r>
      <w:bookmarkEnd w:id="43"/>
    </w:p>
    <w:p w14:paraId="1CC7F2F6" w14:textId="77777777" w:rsidR="00065D3D" w:rsidRPr="00065D3D" w:rsidRDefault="00065D3D" w:rsidP="00065D3D">
      <w:pPr>
        <w:ind w:firstLine="360"/>
        <w:rPr>
          <w:lang w:eastAsia="ja-JP"/>
        </w:rPr>
      </w:pPr>
      <w:r>
        <w:rPr>
          <w:lang w:eastAsia="ja-JP"/>
        </w:rPr>
        <w:t>Source: interviews; DREI modelling</w:t>
      </w:r>
    </w:p>
    <w:p w14:paraId="3DC07693" w14:textId="77777777" w:rsidR="00E93F0E" w:rsidRPr="00257B08" w:rsidRDefault="00E93F0E" w:rsidP="004622EC"/>
    <w:p w14:paraId="1B91A984" w14:textId="5C98F537" w:rsidR="005714AB" w:rsidRPr="00944F24" w:rsidRDefault="005714AB" w:rsidP="0020322F">
      <w:pPr>
        <w:pStyle w:val="a7"/>
        <w:numPr>
          <w:ilvl w:val="0"/>
          <w:numId w:val="9"/>
        </w:numPr>
        <w:tabs>
          <w:tab w:val="clear" w:pos="4153"/>
          <w:tab w:val="clear" w:pos="8306"/>
          <w:tab w:val="left" w:pos="426"/>
        </w:tabs>
        <w:spacing w:after="120"/>
        <w:ind w:left="0" w:right="107" w:firstLine="0"/>
        <w:rPr>
          <w:rFonts w:cs="Arial"/>
          <w:szCs w:val="22"/>
          <w:lang w:val="en-GB"/>
        </w:rPr>
      </w:pPr>
      <w:r w:rsidRPr="004622EC">
        <w:rPr>
          <w:rFonts w:cs="Arial"/>
          <w:b/>
          <w:szCs w:val="22"/>
          <w:lang w:val="en-GB"/>
        </w:rPr>
        <w:t>Levelised costs</w:t>
      </w:r>
      <w:r w:rsidR="00D67652">
        <w:rPr>
          <w:rFonts w:cs="Arial"/>
          <w:b/>
          <w:szCs w:val="22"/>
          <w:lang w:val="en-GB"/>
        </w:rPr>
        <w:t xml:space="preserve"> (Stage 3)</w:t>
      </w:r>
      <w:r w:rsidRPr="004622EC">
        <w:rPr>
          <w:rFonts w:cs="Arial"/>
          <w:b/>
          <w:szCs w:val="22"/>
          <w:lang w:val="en-GB"/>
        </w:rPr>
        <w:t>:</w:t>
      </w:r>
      <w:r w:rsidRPr="00944F24">
        <w:rPr>
          <w:rFonts w:cs="Arial"/>
          <w:szCs w:val="22"/>
          <w:lang w:val="en-GB"/>
        </w:rPr>
        <w:t xml:space="preserve"> The modelling outputs in terms of LCOEs for wind energy and solar PV </w:t>
      </w:r>
      <w:r w:rsidR="00DB5BF9" w:rsidRPr="00DB5BF9">
        <w:rPr>
          <w:rFonts w:cs="Arial"/>
          <w:szCs w:val="22"/>
          <w:lang w:val="en-GB"/>
        </w:rPr>
        <w:t>relative to the baseline</w:t>
      </w:r>
      <w:r w:rsidR="00DB5BF9">
        <w:rPr>
          <w:rStyle w:val="afa"/>
          <w:szCs w:val="22"/>
          <w:lang w:val="en-GB"/>
        </w:rPr>
        <w:footnoteReference w:id="10"/>
      </w:r>
      <w:r w:rsidR="00DB5BF9">
        <w:rPr>
          <w:rFonts w:eastAsia="Times New Roman"/>
          <w:color w:val="FF0000"/>
          <w:szCs w:val="22"/>
        </w:rPr>
        <w:t xml:space="preserve"> </w:t>
      </w:r>
      <w:r w:rsidRPr="00944F24">
        <w:rPr>
          <w:rFonts w:cs="Arial"/>
          <w:szCs w:val="22"/>
          <w:lang w:val="en-GB"/>
        </w:rPr>
        <w:t xml:space="preserve">are shown </w:t>
      </w:r>
      <w:r w:rsidRPr="00257B08">
        <w:rPr>
          <w:rFonts w:cs="Arial"/>
          <w:szCs w:val="22"/>
          <w:lang w:val="en-GB"/>
        </w:rPr>
        <w:t xml:space="preserve">in </w:t>
      </w:r>
      <w:r w:rsidRPr="0012084C">
        <w:rPr>
          <w:rFonts w:cs="Arial"/>
          <w:szCs w:val="22"/>
          <w:lang w:val="en-GB"/>
        </w:rPr>
        <w:fldChar w:fldCharType="begin"/>
      </w:r>
      <w:r w:rsidRPr="00BA0D46">
        <w:rPr>
          <w:rFonts w:cs="Arial"/>
          <w:szCs w:val="22"/>
          <w:lang w:val="en-GB"/>
        </w:rPr>
        <w:instrText xml:space="preserve"> REF _Ref463452734 \h </w:instrText>
      </w:r>
      <w:r w:rsidR="002D244C">
        <w:rPr>
          <w:rFonts w:cs="Arial"/>
          <w:szCs w:val="22"/>
          <w:lang w:val="en-GB"/>
        </w:rPr>
        <w:instrText xml:space="preserve"> \* MERGEFORMAT </w:instrText>
      </w:r>
      <w:r w:rsidRPr="0012084C">
        <w:rPr>
          <w:rFonts w:cs="Arial"/>
          <w:szCs w:val="22"/>
          <w:lang w:val="en-GB"/>
        </w:rPr>
      </w:r>
      <w:r w:rsidRPr="0012084C">
        <w:rPr>
          <w:rFonts w:cs="Arial"/>
          <w:szCs w:val="22"/>
          <w:lang w:val="en-GB"/>
        </w:rPr>
        <w:fldChar w:fldCharType="separate"/>
      </w:r>
      <w:r w:rsidR="00921873" w:rsidRPr="00921873">
        <w:rPr>
          <w:szCs w:val="22"/>
        </w:rPr>
        <w:t xml:space="preserve">Figure </w:t>
      </w:r>
      <w:r w:rsidR="00921873" w:rsidRPr="00921873">
        <w:rPr>
          <w:noProof/>
          <w:szCs w:val="22"/>
        </w:rPr>
        <w:t>7</w:t>
      </w:r>
      <w:r w:rsidRPr="0012084C">
        <w:rPr>
          <w:rFonts w:cs="Arial"/>
          <w:szCs w:val="22"/>
          <w:lang w:val="en-GB"/>
        </w:rPr>
        <w:fldChar w:fldCharType="end"/>
      </w:r>
      <w:r w:rsidRPr="0012084C">
        <w:rPr>
          <w:rFonts w:cs="Arial"/>
          <w:szCs w:val="22"/>
          <w:lang w:val="en-GB"/>
        </w:rPr>
        <w:t xml:space="preserve"> and </w:t>
      </w:r>
      <w:r w:rsidRPr="003F1D67">
        <w:rPr>
          <w:rFonts w:cs="Arial"/>
          <w:szCs w:val="22"/>
          <w:lang w:val="en-GB"/>
        </w:rPr>
        <w:fldChar w:fldCharType="begin"/>
      </w:r>
      <w:r w:rsidRPr="00BA0D46">
        <w:rPr>
          <w:rFonts w:cs="Arial"/>
          <w:szCs w:val="22"/>
          <w:lang w:val="en-GB"/>
        </w:rPr>
        <w:instrText xml:space="preserve"> REF _Ref463452744 \h </w:instrText>
      </w:r>
      <w:r w:rsidR="002D244C">
        <w:rPr>
          <w:rFonts w:cs="Arial"/>
          <w:szCs w:val="22"/>
          <w:lang w:val="en-GB"/>
        </w:rPr>
        <w:instrText xml:space="preserve"> \* MERGEFORMAT </w:instrText>
      </w:r>
      <w:r w:rsidRPr="003F1D67">
        <w:rPr>
          <w:rFonts w:cs="Arial"/>
          <w:szCs w:val="22"/>
          <w:lang w:val="en-GB"/>
        </w:rPr>
      </w:r>
      <w:r w:rsidRPr="003F1D67">
        <w:rPr>
          <w:rFonts w:cs="Arial"/>
          <w:szCs w:val="22"/>
          <w:lang w:val="en-GB"/>
        </w:rPr>
        <w:fldChar w:fldCharType="separate"/>
      </w:r>
      <w:r w:rsidR="00921873" w:rsidRPr="00921873">
        <w:rPr>
          <w:szCs w:val="22"/>
        </w:rPr>
        <w:t xml:space="preserve">Figure </w:t>
      </w:r>
      <w:r w:rsidR="00921873" w:rsidRPr="00921873">
        <w:rPr>
          <w:noProof/>
          <w:szCs w:val="22"/>
        </w:rPr>
        <w:t>8</w:t>
      </w:r>
      <w:r w:rsidRPr="003F1D67">
        <w:rPr>
          <w:rFonts w:cs="Arial"/>
          <w:szCs w:val="22"/>
          <w:lang w:val="en-GB"/>
        </w:rPr>
        <w:fldChar w:fldCharType="end"/>
      </w:r>
      <w:r w:rsidRPr="00197B58">
        <w:rPr>
          <w:rFonts w:cs="Arial"/>
          <w:szCs w:val="22"/>
          <w:lang w:val="en-GB"/>
        </w:rPr>
        <w:t>,</w:t>
      </w:r>
      <w:r w:rsidRPr="00944F24">
        <w:rPr>
          <w:rFonts w:cs="Arial"/>
          <w:szCs w:val="22"/>
          <w:lang w:val="en-GB"/>
        </w:rPr>
        <w:t xml:space="preserve"> respectively. </w:t>
      </w:r>
      <w:r w:rsidR="00782307">
        <w:rPr>
          <w:rFonts w:cs="Arial"/>
          <w:szCs w:val="22"/>
          <w:lang w:val="en-GB"/>
        </w:rPr>
        <w:t>According to the preliminary findings, w</w:t>
      </w:r>
      <w:r w:rsidRPr="00944F24">
        <w:rPr>
          <w:rFonts w:cs="Arial"/>
          <w:szCs w:val="22"/>
          <w:lang w:val="en-GB"/>
        </w:rPr>
        <w:t xml:space="preserve">ind energy is shown to be more expensive than the baseline technology cost today, where wind energy’s LCOE (business-as-usual scenario) is estimated </w:t>
      </w:r>
      <w:r w:rsidR="00C953AA" w:rsidRPr="00944F24">
        <w:rPr>
          <w:rFonts w:cs="Arial"/>
          <w:szCs w:val="22"/>
          <w:lang w:val="en-GB"/>
        </w:rPr>
        <w:t>at</w:t>
      </w:r>
      <w:r w:rsidRPr="00944F24">
        <w:rPr>
          <w:rFonts w:cs="Arial"/>
          <w:szCs w:val="22"/>
          <w:lang w:val="en-GB"/>
        </w:rPr>
        <w:t xml:space="preserve"> US$</w:t>
      </w:r>
      <w:r w:rsidR="00106A63">
        <w:rPr>
          <w:rFonts w:cs="Arial"/>
          <w:szCs w:val="22"/>
          <w:lang w:val="en-GB"/>
        </w:rPr>
        <w:t xml:space="preserve"> 9.2 </w:t>
      </w:r>
      <w:r w:rsidRPr="00944F24">
        <w:rPr>
          <w:rFonts w:cs="Arial"/>
          <w:szCs w:val="22"/>
          <w:lang w:val="en-GB"/>
        </w:rPr>
        <w:t>cents per kWh. In the post-derisking scenario, the package of selected public instruments reduces the LCOE for wind energy to US$</w:t>
      </w:r>
      <w:r w:rsidR="00106A63">
        <w:rPr>
          <w:rFonts w:cs="Arial"/>
          <w:szCs w:val="22"/>
          <w:lang w:val="en-GB"/>
        </w:rPr>
        <w:t xml:space="preserve">7.1 </w:t>
      </w:r>
      <w:r w:rsidRPr="00944F24">
        <w:rPr>
          <w:rFonts w:cs="Arial"/>
          <w:szCs w:val="22"/>
          <w:lang w:val="en-GB"/>
        </w:rPr>
        <w:t xml:space="preserve"> cents per kWh</w:t>
      </w:r>
      <w:r w:rsidR="00BF79D2">
        <w:rPr>
          <w:rFonts w:cs="Arial"/>
          <w:szCs w:val="22"/>
          <w:lang w:val="en-GB"/>
        </w:rPr>
        <w:t xml:space="preserve">, reducing the price premium from US$ </w:t>
      </w:r>
      <w:r w:rsidR="00106A63">
        <w:rPr>
          <w:rFonts w:cs="Arial"/>
          <w:szCs w:val="22"/>
          <w:lang w:val="en-GB"/>
        </w:rPr>
        <w:t xml:space="preserve">3.5 </w:t>
      </w:r>
      <w:r w:rsidR="00BF79D2">
        <w:rPr>
          <w:rFonts w:cs="Arial"/>
          <w:szCs w:val="22"/>
          <w:lang w:val="en-GB"/>
        </w:rPr>
        <w:t xml:space="preserve"> cents to US$ </w:t>
      </w:r>
      <w:r w:rsidR="00106A63">
        <w:rPr>
          <w:rFonts w:cs="Arial"/>
          <w:szCs w:val="22"/>
          <w:lang w:val="en-GB"/>
        </w:rPr>
        <w:t>1.4</w:t>
      </w:r>
      <w:r w:rsidR="00BF79D2">
        <w:rPr>
          <w:rFonts w:cs="Arial"/>
          <w:szCs w:val="22"/>
          <w:lang w:val="en-GB"/>
        </w:rPr>
        <w:t xml:space="preserve"> cents</w:t>
      </w:r>
      <w:r w:rsidR="00106A63">
        <w:rPr>
          <w:rFonts w:cs="Arial"/>
          <w:szCs w:val="22"/>
          <w:lang w:val="en-GB"/>
        </w:rPr>
        <w:t xml:space="preserve"> per kWh</w:t>
      </w:r>
      <w:r w:rsidRPr="00944F24">
        <w:rPr>
          <w:rFonts w:cs="Arial"/>
          <w:szCs w:val="22"/>
          <w:lang w:val="en-GB"/>
        </w:rPr>
        <w:t>. Solar PV is also shown to be more expensive than the baseline cost in both the business-as-usual and the post-derisking scenarios. In this case the public instrument package reduces the LCOE for solar PV from US$</w:t>
      </w:r>
      <w:r w:rsidR="00106A63">
        <w:rPr>
          <w:rFonts w:cs="Arial"/>
          <w:szCs w:val="22"/>
          <w:lang w:val="en-GB"/>
        </w:rPr>
        <w:t xml:space="preserve">16.9 </w:t>
      </w:r>
      <w:r w:rsidRPr="00944F24">
        <w:rPr>
          <w:rFonts w:cs="Arial"/>
          <w:szCs w:val="22"/>
          <w:lang w:val="en-GB"/>
        </w:rPr>
        <w:t>cents per kWh (business-as-usual scenario) to US$</w:t>
      </w:r>
      <w:r w:rsidR="00106A63">
        <w:rPr>
          <w:rFonts w:cs="Arial"/>
          <w:szCs w:val="22"/>
          <w:lang w:val="en-GB"/>
        </w:rPr>
        <w:t xml:space="preserve">13.0 </w:t>
      </w:r>
      <w:r w:rsidRPr="00944F24">
        <w:rPr>
          <w:rFonts w:cs="Arial"/>
          <w:szCs w:val="22"/>
          <w:lang w:val="en-GB"/>
        </w:rPr>
        <w:t>cents per kWh (post-derisking scenario), reducing the price premium from US$</w:t>
      </w:r>
      <w:r w:rsidR="00106A63">
        <w:rPr>
          <w:rFonts w:cs="Arial"/>
          <w:szCs w:val="22"/>
          <w:lang w:val="en-GB"/>
        </w:rPr>
        <w:t>11.2</w:t>
      </w:r>
      <w:r w:rsidRPr="00944F24">
        <w:rPr>
          <w:rFonts w:cs="Arial"/>
          <w:szCs w:val="22"/>
          <w:lang w:val="en-GB"/>
        </w:rPr>
        <w:t xml:space="preserve"> cents per kWh to US$</w:t>
      </w:r>
      <w:r w:rsidR="00106A63">
        <w:rPr>
          <w:rFonts w:cs="Arial"/>
          <w:szCs w:val="22"/>
          <w:lang w:val="en-GB"/>
        </w:rPr>
        <w:t>7.3</w:t>
      </w:r>
      <w:r w:rsidRPr="00944F24">
        <w:rPr>
          <w:rFonts w:cs="Arial"/>
          <w:szCs w:val="22"/>
          <w:lang w:val="en-GB"/>
        </w:rPr>
        <w:t xml:space="preserve"> cents per kWh.</w:t>
      </w:r>
    </w:p>
    <w:tbl>
      <w:tblPr>
        <w:tblStyle w:val="af7"/>
        <w:tblW w:w="10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1"/>
        <w:gridCol w:w="5647"/>
      </w:tblGrid>
      <w:tr w:rsidR="00476785" w14:paraId="1C271BCB" w14:textId="77777777" w:rsidTr="00372E6E">
        <w:tc>
          <w:tcPr>
            <w:tcW w:w="5131" w:type="dxa"/>
          </w:tcPr>
          <w:p w14:paraId="3E20E4B3" w14:textId="77777777" w:rsidR="00476785" w:rsidRDefault="0012042E" w:rsidP="00A34DA5">
            <w:pPr>
              <w:pStyle w:val="afb"/>
              <w:keepNext/>
              <w:autoSpaceDE w:val="0"/>
              <w:autoSpaceDN w:val="0"/>
              <w:adjustRightInd w:val="0"/>
              <w:spacing w:line="360" w:lineRule="auto"/>
              <w:ind w:left="-142"/>
            </w:pPr>
            <w:r>
              <w:rPr>
                <w:noProof/>
              </w:rPr>
              <w:drawing>
                <wp:inline distT="0" distB="0" distL="0" distR="0" wp14:anchorId="6BB04CF5" wp14:editId="658550E2">
                  <wp:extent cx="3108960" cy="30422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8960" cy="3042285"/>
                          </a:xfrm>
                          <a:prstGeom prst="rect">
                            <a:avLst/>
                          </a:prstGeom>
                          <a:noFill/>
                        </pic:spPr>
                      </pic:pic>
                    </a:graphicData>
                  </a:graphic>
                </wp:inline>
              </w:drawing>
            </w:r>
          </w:p>
          <w:p w14:paraId="0EF28644" w14:textId="77777777" w:rsidR="00476785" w:rsidRPr="00BF4176" w:rsidRDefault="00476785" w:rsidP="00863DD5">
            <w:pPr>
              <w:pStyle w:val="aff3"/>
              <w:rPr>
                <w:lang w:val="en-GB"/>
              </w:rPr>
            </w:pPr>
            <w:bookmarkStart w:id="44" w:name="_Ref463452734"/>
            <w:bookmarkStart w:id="45" w:name="_Ref334180782"/>
            <w:bookmarkStart w:id="46" w:name="_Toc463552423"/>
            <w:bookmarkStart w:id="47" w:name="_Toc479693927"/>
            <w:r w:rsidRPr="00BF4176">
              <w:t xml:space="preserve">Figure </w:t>
            </w:r>
            <w:r w:rsidR="00AA15A7">
              <w:fldChar w:fldCharType="begin"/>
            </w:r>
            <w:r w:rsidR="00AA15A7">
              <w:instrText xml:space="preserve"> SEQ Figure \* ARABIC </w:instrText>
            </w:r>
            <w:r w:rsidR="00AA15A7">
              <w:fldChar w:fldCharType="separate"/>
            </w:r>
            <w:r w:rsidR="00921873">
              <w:rPr>
                <w:noProof/>
              </w:rPr>
              <w:t>7</w:t>
            </w:r>
            <w:r w:rsidR="00AA15A7">
              <w:rPr>
                <w:noProof/>
              </w:rPr>
              <w:fldChar w:fldCharType="end"/>
            </w:r>
            <w:bookmarkEnd w:id="44"/>
            <w:r w:rsidRPr="00BF4176">
              <w:t>: LCOEs for the baseline and wind energy investment in Kazakhstan</w:t>
            </w:r>
            <w:bookmarkEnd w:id="45"/>
            <w:bookmarkEnd w:id="46"/>
            <w:r w:rsidR="00782307">
              <w:t xml:space="preserve"> (preliminary findings)</w:t>
            </w:r>
            <w:bookmarkEnd w:id="47"/>
          </w:p>
          <w:p w14:paraId="09158D03" w14:textId="77777777" w:rsidR="00476785" w:rsidRDefault="00476785" w:rsidP="00C368DC">
            <w:pPr>
              <w:ind w:left="360"/>
            </w:pPr>
            <w:r w:rsidRPr="00932F15">
              <w:t xml:space="preserve">Source: </w:t>
            </w:r>
            <w:r>
              <w:t xml:space="preserve">DREI </w:t>
            </w:r>
            <w:r w:rsidRPr="00932F15">
              <w:t>modelling</w:t>
            </w:r>
          </w:p>
        </w:tc>
        <w:tc>
          <w:tcPr>
            <w:tcW w:w="5647" w:type="dxa"/>
          </w:tcPr>
          <w:p w14:paraId="1ACF694F" w14:textId="77777777" w:rsidR="00476785" w:rsidRDefault="0012042E" w:rsidP="00A34DA5">
            <w:pPr>
              <w:keepNext/>
              <w:spacing w:line="360" w:lineRule="auto"/>
            </w:pPr>
            <w:r>
              <w:rPr>
                <w:noProof/>
              </w:rPr>
              <w:drawing>
                <wp:inline distT="0" distB="0" distL="0" distR="0" wp14:anchorId="467CCDEF" wp14:editId="3CF52FE1">
                  <wp:extent cx="3152140" cy="30359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2140" cy="3035935"/>
                          </a:xfrm>
                          <a:prstGeom prst="rect">
                            <a:avLst/>
                          </a:prstGeom>
                          <a:noFill/>
                        </pic:spPr>
                      </pic:pic>
                    </a:graphicData>
                  </a:graphic>
                </wp:inline>
              </w:drawing>
            </w:r>
          </w:p>
          <w:p w14:paraId="2207BE8A" w14:textId="77777777" w:rsidR="00476785" w:rsidRPr="00BF4176" w:rsidRDefault="00476785" w:rsidP="00863DD5">
            <w:pPr>
              <w:pStyle w:val="aff3"/>
              <w:rPr>
                <w:lang w:val="en-GB"/>
              </w:rPr>
            </w:pPr>
            <w:bookmarkStart w:id="48" w:name="_Ref463452744"/>
            <w:bookmarkStart w:id="49" w:name="_Ref334180806"/>
            <w:bookmarkStart w:id="50" w:name="_Toc463552424"/>
            <w:bookmarkStart w:id="51" w:name="_Toc479693928"/>
            <w:r w:rsidRPr="00BF4176">
              <w:t xml:space="preserve">Figure </w:t>
            </w:r>
            <w:r w:rsidR="00AA15A7">
              <w:fldChar w:fldCharType="begin"/>
            </w:r>
            <w:r w:rsidR="00AA15A7">
              <w:instrText xml:space="preserve"> SEQ Figure \* ARABIC </w:instrText>
            </w:r>
            <w:r w:rsidR="00AA15A7">
              <w:fldChar w:fldCharType="separate"/>
            </w:r>
            <w:r w:rsidR="00921873">
              <w:rPr>
                <w:noProof/>
              </w:rPr>
              <w:t>8</w:t>
            </w:r>
            <w:r w:rsidR="00AA15A7">
              <w:rPr>
                <w:noProof/>
              </w:rPr>
              <w:fldChar w:fldCharType="end"/>
            </w:r>
            <w:bookmarkEnd w:id="48"/>
            <w:r w:rsidRPr="00BF4176">
              <w:t>: LCOEs for the baseline and solar PV investment in Kazakhstan</w:t>
            </w:r>
            <w:bookmarkEnd w:id="49"/>
            <w:bookmarkEnd w:id="50"/>
            <w:r w:rsidR="00782307">
              <w:t xml:space="preserve"> (preliminary findings)</w:t>
            </w:r>
            <w:bookmarkEnd w:id="51"/>
          </w:p>
          <w:p w14:paraId="1E256883" w14:textId="77777777" w:rsidR="00476785" w:rsidRPr="005714AB" w:rsidRDefault="00476785" w:rsidP="00C368DC">
            <w:pPr>
              <w:ind w:left="360"/>
              <w:rPr>
                <w:rFonts w:cs="Arial"/>
                <w:szCs w:val="22"/>
              </w:rPr>
            </w:pPr>
            <w:r w:rsidRPr="00932F15">
              <w:t xml:space="preserve">Source: </w:t>
            </w:r>
            <w:r>
              <w:t xml:space="preserve">DREI </w:t>
            </w:r>
            <w:r w:rsidRPr="00932F15">
              <w:t>modelling</w:t>
            </w:r>
          </w:p>
        </w:tc>
      </w:tr>
    </w:tbl>
    <w:p w14:paraId="2362090C" w14:textId="77777777" w:rsidR="00476785" w:rsidRDefault="00476785" w:rsidP="00476785">
      <w:pPr>
        <w:pStyle w:val="a7"/>
        <w:tabs>
          <w:tab w:val="clear" w:pos="4153"/>
          <w:tab w:val="clear" w:pos="8306"/>
          <w:tab w:val="left" w:pos="426"/>
        </w:tabs>
        <w:spacing w:after="120"/>
        <w:ind w:right="288"/>
        <w:rPr>
          <w:szCs w:val="22"/>
          <w:lang w:val="en-GB"/>
        </w:rPr>
      </w:pPr>
    </w:p>
    <w:p w14:paraId="0301E416" w14:textId="7304294D" w:rsidR="00284C22" w:rsidRDefault="00284C22" w:rsidP="00284C22">
      <w:pPr>
        <w:pStyle w:val="a7"/>
        <w:numPr>
          <w:ilvl w:val="0"/>
          <w:numId w:val="9"/>
        </w:numPr>
        <w:tabs>
          <w:tab w:val="clear" w:pos="4153"/>
          <w:tab w:val="clear" w:pos="8306"/>
          <w:tab w:val="left" w:pos="426"/>
        </w:tabs>
        <w:spacing w:after="120"/>
        <w:ind w:left="0" w:right="107" w:firstLine="0"/>
        <w:rPr>
          <w:rFonts w:cs="Arial"/>
          <w:szCs w:val="22"/>
          <w:lang w:val="en-GB"/>
        </w:rPr>
      </w:pPr>
      <w:r w:rsidRPr="00106A63">
        <w:rPr>
          <w:rFonts w:cs="Arial"/>
          <w:b/>
          <w:szCs w:val="22"/>
          <w:lang w:val="en-GB"/>
        </w:rPr>
        <w:t>Evaluation (Stage 4):</w:t>
      </w:r>
      <w:r w:rsidRPr="00106A63">
        <w:rPr>
          <w:rFonts w:cs="Arial"/>
          <w:szCs w:val="22"/>
          <w:lang w:val="en-GB"/>
        </w:rPr>
        <w:t xml:space="preserve"> Figures 9 and 10 show each the performance metrics to promote investment for each of </w:t>
      </w:r>
      <w:r w:rsidR="00DB1293">
        <w:rPr>
          <w:rFonts w:cs="Arial"/>
          <w:szCs w:val="22"/>
          <w:lang w:val="en-GB"/>
        </w:rPr>
        <w:t xml:space="preserve">utility-scale </w:t>
      </w:r>
      <w:r w:rsidRPr="00106A63">
        <w:rPr>
          <w:rFonts w:cs="Arial"/>
          <w:szCs w:val="22"/>
          <w:lang w:val="en-GB"/>
        </w:rPr>
        <w:t xml:space="preserve">wind and solar PV in Kazakhstan. </w:t>
      </w:r>
      <w:r>
        <w:rPr>
          <w:rFonts w:cs="Arial"/>
          <w:szCs w:val="22"/>
          <w:lang w:val="en-GB"/>
        </w:rPr>
        <w:t xml:space="preserve">As an illustration, </w:t>
      </w:r>
      <w:r w:rsidRPr="00106A63">
        <w:rPr>
          <w:rFonts w:cs="Arial"/>
          <w:szCs w:val="22"/>
          <w:lang w:val="en-GB"/>
        </w:rPr>
        <w:t xml:space="preserve">the savings leverage ratio compares the cost of derisking instruments deployed to the economic savings that result from deploying these instruments. </w:t>
      </w:r>
    </w:p>
    <w:p w14:paraId="7A97C17B" w14:textId="321602FB" w:rsidR="00284C22" w:rsidRPr="006C7C23" w:rsidRDefault="00284C22" w:rsidP="006C7C23">
      <w:pPr>
        <w:pStyle w:val="Bullets"/>
        <w:rPr>
          <w:rFonts w:ascii="Calibri" w:hAnsi="Calibri"/>
          <w:lang w:val="en-GB"/>
        </w:rPr>
      </w:pPr>
      <w:r w:rsidRPr="006C7C23">
        <w:rPr>
          <w:rFonts w:ascii="Calibri" w:hAnsi="Calibri"/>
          <w:lang w:val="en-GB"/>
        </w:rPr>
        <w:t xml:space="preserve">For wind energy, in the </w:t>
      </w:r>
      <w:r w:rsidRPr="006C7C23">
        <w:rPr>
          <w:rFonts w:ascii="Calibri" w:hAnsi="Calibri"/>
          <w:i/>
          <w:lang w:val="en-GB"/>
        </w:rPr>
        <w:t>business-as-usual</w:t>
      </w:r>
      <w:r w:rsidRPr="006C7C23">
        <w:rPr>
          <w:rFonts w:ascii="Calibri" w:hAnsi="Calibri"/>
          <w:lang w:val="en-GB"/>
        </w:rPr>
        <w:t xml:space="preserve"> scenario, the modelling estimates that a price premium (incremental cost) totalling USD 1.4 billion will be required over the next 20 years to achieve the report’s 2021 (5 year) target of 1</w:t>
      </w:r>
      <w:r w:rsidR="00F7219E">
        <w:rPr>
          <w:rFonts w:ascii="Calibri" w:hAnsi="Calibri"/>
          <w:lang w:val="en-GB"/>
        </w:rPr>
        <w:t xml:space="preserve"> </w:t>
      </w:r>
      <w:r w:rsidRPr="006C7C23">
        <w:rPr>
          <w:rFonts w:ascii="Calibri" w:hAnsi="Calibri"/>
          <w:lang w:val="en-GB"/>
        </w:rPr>
        <w:t xml:space="preserve">GW. In the </w:t>
      </w:r>
      <w:r w:rsidRPr="006C7C23">
        <w:rPr>
          <w:rFonts w:ascii="Calibri" w:hAnsi="Calibri"/>
          <w:i/>
          <w:lang w:val="en-GB"/>
        </w:rPr>
        <w:t>post-derisking scenario</w:t>
      </w:r>
      <w:r w:rsidRPr="006C7C23">
        <w:rPr>
          <w:rFonts w:ascii="Calibri" w:hAnsi="Calibri"/>
          <w:lang w:val="en-GB"/>
        </w:rPr>
        <w:t xml:space="preserve">, the incremental cost falls to USD 546.8 million, saving the economy USD 804.7 million over the 20-year lifetime of the investments. Given that public derisking instruments costing USD 275.6 million are required to achieve this, this equates to a savings ratio of 2.9x, demonstrating that the benefits of lower price premiums outweigh the cost of derisking. </w:t>
      </w:r>
    </w:p>
    <w:p w14:paraId="2AE6934F" w14:textId="77777777" w:rsidR="00284C22" w:rsidRPr="006C7C23" w:rsidRDefault="00284C22" w:rsidP="006C7C23">
      <w:pPr>
        <w:pStyle w:val="Bullets"/>
        <w:rPr>
          <w:rFonts w:ascii="Calibri" w:hAnsi="Calibri"/>
          <w:lang w:val="en-GB"/>
        </w:rPr>
      </w:pPr>
      <w:r w:rsidRPr="006C7C23">
        <w:rPr>
          <w:rFonts w:ascii="Calibri" w:hAnsi="Calibri"/>
          <w:lang w:val="en-GB"/>
        </w:rPr>
        <w:t xml:space="preserve">For solar PV, the savings leverage ratio is 3.0x, once again indicating that derisking measures are efficient, and resulting in savings of USD 160 million. </w:t>
      </w:r>
    </w:p>
    <w:p w14:paraId="2D4AB96F" w14:textId="77777777" w:rsidR="00284C22" w:rsidRPr="007E6625" w:rsidRDefault="001C7D1C" w:rsidP="00476785">
      <w:pPr>
        <w:pStyle w:val="a7"/>
        <w:tabs>
          <w:tab w:val="clear" w:pos="4153"/>
          <w:tab w:val="clear" w:pos="8306"/>
          <w:tab w:val="left" w:pos="426"/>
        </w:tabs>
        <w:spacing w:after="120"/>
        <w:ind w:right="288"/>
        <w:rPr>
          <w:szCs w:val="22"/>
          <w:lang w:val="en-GB"/>
        </w:rPr>
      </w:pPr>
      <w:r>
        <w:rPr>
          <w:noProof/>
          <w:szCs w:val="22"/>
        </w:rPr>
        <w:drawing>
          <wp:inline distT="0" distB="0" distL="0" distR="0" wp14:anchorId="253A8D5A" wp14:editId="524D7B87">
            <wp:extent cx="5942074" cy="542925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9776" cy="5436287"/>
                    </a:xfrm>
                    <a:prstGeom prst="rect">
                      <a:avLst/>
                    </a:prstGeom>
                    <a:noFill/>
                  </pic:spPr>
                </pic:pic>
              </a:graphicData>
            </a:graphic>
          </wp:inline>
        </w:drawing>
      </w:r>
    </w:p>
    <w:p w14:paraId="26B8A002" w14:textId="19DD6A75" w:rsidR="00706E8E" w:rsidRPr="00E00ED3" w:rsidRDefault="00F879E1" w:rsidP="00863DD5">
      <w:pPr>
        <w:pStyle w:val="aff3"/>
        <w:rPr>
          <w:lang w:val="en-GB"/>
        </w:rPr>
      </w:pPr>
      <w:bookmarkStart w:id="52" w:name="_Ref463452760"/>
      <w:bookmarkStart w:id="53" w:name="_Toc330720867"/>
      <w:bookmarkStart w:id="54" w:name="_Ref334180890"/>
      <w:bookmarkStart w:id="55" w:name="_Toc463552425"/>
      <w:bookmarkStart w:id="56" w:name="_Toc479693929"/>
      <w:bookmarkStart w:id="57" w:name="_Ref337722746"/>
      <w:r>
        <w:t xml:space="preserve">Figure </w:t>
      </w:r>
      <w:r w:rsidR="00AA15A7">
        <w:fldChar w:fldCharType="begin"/>
      </w:r>
      <w:r w:rsidR="00AA15A7">
        <w:instrText xml:space="preserve"> SEQ Figure \* </w:instrText>
      </w:r>
      <w:r w:rsidR="00AA15A7">
        <w:instrText xml:space="preserve">ARABIC </w:instrText>
      </w:r>
      <w:r w:rsidR="00AA15A7">
        <w:fldChar w:fldCharType="separate"/>
      </w:r>
      <w:r w:rsidR="00921873">
        <w:rPr>
          <w:noProof/>
        </w:rPr>
        <w:t>9</w:t>
      </w:r>
      <w:r w:rsidR="00AA15A7">
        <w:rPr>
          <w:noProof/>
        </w:rPr>
        <w:fldChar w:fldCharType="end"/>
      </w:r>
      <w:bookmarkEnd w:id="52"/>
      <w:r w:rsidR="00944F24" w:rsidRPr="00E00ED3">
        <w:t xml:space="preserve">: Performance metrics for the selected package of derisking instruments in promoting </w:t>
      </w:r>
      <w:r w:rsidR="004464E4">
        <w:t xml:space="preserve">1 GW </w:t>
      </w:r>
      <w:r w:rsidR="00944F24" w:rsidRPr="00E00ED3">
        <w:t>of wind energy investment in Kazakhstan</w:t>
      </w:r>
      <w:bookmarkEnd w:id="53"/>
      <w:bookmarkEnd w:id="54"/>
      <w:bookmarkEnd w:id="55"/>
      <w:r w:rsidR="00782307" w:rsidRPr="00E00ED3">
        <w:t xml:space="preserve"> (preliminary findings)</w:t>
      </w:r>
      <w:bookmarkEnd w:id="56"/>
    </w:p>
    <w:p w14:paraId="13DF278C" w14:textId="77777777" w:rsidR="00FA0506" w:rsidRDefault="00944F24" w:rsidP="00C368DC">
      <w:pPr>
        <w:ind w:left="360"/>
      </w:pPr>
      <w:r w:rsidRPr="004622EC">
        <w:t xml:space="preserve">Source: </w:t>
      </w:r>
      <w:r w:rsidR="0059529D" w:rsidRPr="004622EC">
        <w:t xml:space="preserve">DREI </w:t>
      </w:r>
      <w:r w:rsidRPr="004622EC">
        <w:t>modelling</w:t>
      </w:r>
      <w:bookmarkEnd w:id="57"/>
    </w:p>
    <w:p w14:paraId="72FCEFE3" w14:textId="77777777" w:rsidR="00005CA6" w:rsidRPr="008E7BFD" w:rsidRDefault="00005CA6" w:rsidP="00005CA6">
      <w:pPr>
        <w:rPr>
          <w:rFonts w:ascii="Arial" w:hAnsi="Arial" w:cs="Arial"/>
          <w:sz w:val="16"/>
          <w:szCs w:val="16"/>
          <w:lang w:val="en-GB"/>
        </w:rPr>
      </w:pPr>
      <w:r w:rsidRPr="008E7BFD">
        <w:rPr>
          <w:rFonts w:ascii="Arial" w:hAnsi="Arial" w:cs="Arial"/>
          <w:sz w:val="16"/>
          <w:szCs w:val="16"/>
          <w:lang w:val="en-GB"/>
        </w:rPr>
        <w:t>*In the BAU scenario, the full 20</w:t>
      </w:r>
      <w:r>
        <w:rPr>
          <w:rFonts w:ascii="Arial" w:hAnsi="Arial" w:cs="Arial"/>
          <w:sz w:val="16"/>
          <w:szCs w:val="16"/>
          <w:lang w:val="en-GB"/>
        </w:rPr>
        <w:t>21</w:t>
      </w:r>
      <w:r w:rsidRPr="008E7BFD">
        <w:rPr>
          <w:rFonts w:ascii="Arial" w:hAnsi="Arial" w:cs="Arial"/>
          <w:sz w:val="16"/>
          <w:szCs w:val="16"/>
          <w:lang w:val="en-GB"/>
        </w:rPr>
        <w:t xml:space="preserve"> investment target may not be met.</w:t>
      </w:r>
    </w:p>
    <w:p w14:paraId="6C8BC2FC" w14:textId="77777777" w:rsidR="00005CA6" w:rsidRPr="008E7BFD" w:rsidRDefault="00005CA6" w:rsidP="00005CA6">
      <w:pPr>
        <w:rPr>
          <w:rFonts w:ascii="Arial" w:hAnsi="Arial" w:cs="Arial"/>
          <w:sz w:val="16"/>
          <w:szCs w:val="16"/>
          <w:lang w:val="en-GB"/>
        </w:rPr>
      </w:pPr>
      <w:r w:rsidRPr="008E7BFD">
        <w:rPr>
          <w:rFonts w:ascii="Arial" w:hAnsi="Arial" w:cs="Arial"/>
          <w:sz w:val="16"/>
          <w:szCs w:val="16"/>
          <w:lang w:val="en-GB"/>
        </w:rPr>
        <w:t xml:space="preserve">** The Carbon Abatement metric can be broken down into the costs of policy derisking instruments, financial derisking instruments and the price premium. </w:t>
      </w:r>
      <w:r w:rsidRPr="000975BF">
        <w:rPr>
          <w:rFonts w:ascii="Arial" w:hAnsi="Arial" w:cs="Arial"/>
          <w:sz w:val="16"/>
          <w:szCs w:val="16"/>
          <w:lang w:val="en-GB"/>
        </w:rPr>
        <w:t xml:space="preserve">While in the BAU scenario, the total of USD </w:t>
      </w:r>
      <w:r>
        <w:rPr>
          <w:rFonts w:ascii="Arial" w:hAnsi="Arial" w:cs="Arial"/>
          <w:sz w:val="16"/>
          <w:szCs w:val="16"/>
          <w:lang w:val="en-GB"/>
        </w:rPr>
        <w:t xml:space="preserve">24.0 </w:t>
      </w:r>
      <w:r w:rsidRPr="000975BF">
        <w:rPr>
          <w:rFonts w:ascii="Arial" w:hAnsi="Arial" w:cs="Arial"/>
          <w:sz w:val="16"/>
          <w:szCs w:val="16"/>
          <w:lang w:val="en-GB"/>
        </w:rPr>
        <w:t>per tCO</w:t>
      </w:r>
      <w:r w:rsidRPr="00C30DEA">
        <w:rPr>
          <w:rFonts w:ascii="Arial" w:hAnsi="Arial" w:cs="Arial"/>
          <w:sz w:val="16"/>
          <w:szCs w:val="16"/>
          <w:vertAlign w:val="subscript"/>
          <w:lang w:val="en-GB"/>
        </w:rPr>
        <w:t>2</w:t>
      </w:r>
      <w:r>
        <w:rPr>
          <w:rFonts w:ascii="Arial" w:hAnsi="Arial" w:cs="Arial"/>
          <w:sz w:val="16"/>
          <w:szCs w:val="16"/>
          <w:lang w:val="en-GB"/>
        </w:rPr>
        <w:t>e</w:t>
      </w:r>
      <w:r w:rsidRPr="000975BF">
        <w:rPr>
          <w:rFonts w:ascii="Arial" w:hAnsi="Arial" w:cs="Arial"/>
          <w:sz w:val="16"/>
          <w:szCs w:val="16"/>
          <w:lang w:val="en-GB"/>
        </w:rPr>
        <w:t xml:space="preserve"> is due to the price premium, in the </w:t>
      </w:r>
      <w:r w:rsidRPr="000975BF">
        <w:rPr>
          <w:rFonts w:ascii="Arial" w:hAnsi="Arial" w:cs="Arial"/>
          <w:i/>
          <w:sz w:val="16"/>
          <w:szCs w:val="16"/>
          <w:lang w:val="en-GB"/>
        </w:rPr>
        <w:t>post-derisking</w:t>
      </w:r>
      <w:r w:rsidRPr="000975BF">
        <w:rPr>
          <w:rFonts w:ascii="Arial" w:hAnsi="Arial" w:cs="Arial"/>
          <w:sz w:val="16"/>
          <w:szCs w:val="16"/>
          <w:lang w:val="en-GB"/>
        </w:rPr>
        <w:t xml:space="preserve"> scenario, this breakdown for the total of USD </w:t>
      </w:r>
      <w:r>
        <w:rPr>
          <w:rFonts w:ascii="Arial" w:hAnsi="Arial" w:cs="Arial"/>
          <w:sz w:val="16"/>
          <w:szCs w:val="16"/>
          <w:lang w:val="en-GB"/>
        </w:rPr>
        <w:t>14.6</w:t>
      </w:r>
      <w:r w:rsidRPr="000975BF">
        <w:rPr>
          <w:rFonts w:ascii="Arial" w:hAnsi="Arial" w:cs="Arial"/>
          <w:sz w:val="16"/>
          <w:szCs w:val="16"/>
          <w:lang w:val="en-GB"/>
        </w:rPr>
        <w:t xml:space="preserve"> per tCO</w:t>
      </w:r>
      <w:r w:rsidRPr="00C30DEA">
        <w:rPr>
          <w:rFonts w:ascii="Arial" w:hAnsi="Arial" w:cs="Arial"/>
          <w:sz w:val="16"/>
          <w:szCs w:val="16"/>
          <w:vertAlign w:val="subscript"/>
          <w:lang w:val="en-GB"/>
        </w:rPr>
        <w:t>2</w:t>
      </w:r>
      <w:r>
        <w:rPr>
          <w:rFonts w:ascii="Arial" w:hAnsi="Arial" w:cs="Arial"/>
          <w:sz w:val="16"/>
          <w:szCs w:val="16"/>
          <w:lang w:val="en-GB"/>
        </w:rPr>
        <w:t>e</w:t>
      </w:r>
      <w:r w:rsidRPr="000975BF">
        <w:rPr>
          <w:rFonts w:ascii="Arial" w:hAnsi="Arial" w:cs="Arial"/>
          <w:sz w:val="16"/>
          <w:szCs w:val="16"/>
          <w:lang w:val="en-GB"/>
        </w:rPr>
        <w:t xml:space="preserve"> is USD </w:t>
      </w:r>
      <w:r>
        <w:rPr>
          <w:rFonts w:ascii="Arial" w:hAnsi="Arial" w:cs="Arial"/>
          <w:sz w:val="16"/>
          <w:szCs w:val="16"/>
          <w:lang w:val="en-GB"/>
        </w:rPr>
        <w:t>0.1</w:t>
      </w:r>
      <w:r w:rsidRPr="000975BF">
        <w:rPr>
          <w:rFonts w:ascii="Arial" w:hAnsi="Arial" w:cs="Arial"/>
          <w:sz w:val="16"/>
          <w:szCs w:val="16"/>
          <w:lang w:val="en-GB"/>
        </w:rPr>
        <w:t xml:space="preserve">, USD </w:t>
      </w:r>
      <w:r>
        <w:rPr>
          <w:rFonts w:ascii="Arial" w:hAnsi="Arial" w:cs="Arial"/>
          <w:sz w:val="16"/>
          <w:szCs w:val="16"/>
          <w:lang w:val="en-GB"/>
        </w:rPr>
        <w:t>4.8</w:t>
      </w:r>
      <w:r w:rsidRPr="000975BF">
        <w:rPr>
          <w:rFonts w:ascii="Arial" w:hAnsi="Arial" w:cs="Arial"/>
          <w:sz w:val="16"/>
          <w:szCs w:val="16"/>
          <w:lang w:val="en-GB"/>
        </w:rPr>
        <w:t xml:space="preserve"> and USD </w:t>
      </w:r>
      <w:r>
        <w:rPr>
          <w:rFonts w:ascii="Arial" w:hAnsi="Arial" w:cs="Arial"/>
          <w:sz w:val="16"/>
          <w:szCs w:val="16"/>
          <w:lang w:val="en-GB"/>
        </w:rPr>
        <w:t>9.7</w:t>
      </w:r>
      <w:r w:rsidRPr="000975BF">
        <w:rPr>
          <w:rFonts w:ascii="Arial" w:hAnsi="Arial" w:cs="Arial"/>
          <w:sz w:val="16"/>
          <w:szCs w:val="16"/>
          <w:lang w:val="en-GB"/>
        </w:rPr>
        <w:t>, respectively.</w:t>
      </w:r>
    </w:p>
    <w:p w14:paraId="48C43090" w14:textId="77777777" w:rsidR="00005CA6" w:rsidRDefault="00005CA6" w:rsidP="00C368DC">
      <w:pPr>
        <w:ind w:left="360"/>
        <w:rPr>
          <w:lang w:val="en-GB"/>
        </w:rPr>
      </w:pPr>
    </w:p>
    <w:p w14:paraId="2987D743" w14:textId="77777777" w:rsidR="007E5FCC" w:rsidRDefault="00005CA6" w:rsidP="00FA0506">
      <w:pPr>
        <w:spacing w:line="360" w:lineRule="auto"/>
      </w:pPr>
      <w:r>
        <w:rPr>
          <w:noProof/>
        </w:rPr>
        <w:drawing>
          <wp:inline distT="0" distB="0" distL="0" distR="0" wp14:anchorId="0188CEFA" wp14:editId="7878F3A1">
            <wp:extent cx="5971430" cy="5231504"/>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7247" cy="5236601"/>
                    </a:xfrm>
                    <a:prstGeom prst="rect">
                      <a:avLst/>
                    </a:prstGeom>
                    <a:noFill/>
                  </pic:spPr>
                </pic:pic>
              </a:graphicData>
            </a:graphic>
          </wp:inline>
        </w:drawing>
      </w:r>
    </w:p>
    <w:p w14:paraId="5B59DBBD" w14:textId="77777777" w:rsidR="00FA0506" w:rsidRDefault="00FA0506" w:rsidP="001F66E3">
      <w:pPr>
        <w:rPr>
          <w:lang w:val="en-GB"/>
        </w:rPr>
      </w:pPr>
    </w:p>
    <w:p w14:paraId="214FB68E" w14:textId="00947359" w:rsidR="00FA0506" w:rsidRPr="004305BB" w:rsidRDefault="00FA0506" w:rsidP="00863DD5">
      <w:pPr>
        <w:pStyle w:val="aff3"/>
        <w:rPr>
          <w:lang w:val="en-GB"/>
        </w:rPr>
      </w:pPr>
      <w:bookmarkStart w:id="58" w:name="_Ref463452773"/>
      <w:bookmarkStart w:id="59" w:name="_Toc330720868"/>
      <w:bookmarkStart w:id="60" w:name="_Ref334180908"/>
      <w:bookmarkStart w:id="61" w:name="_Ref334181719"/>
      <w:bookmarkStart w:id="62" w:name="_Toc463552426"/>
      <w:bookmarkStart w:id="63" w:name="_Ref337722805"/>
      <w:bookmarkStart w:id="64" w:name="_Toc479693930"/>
      <w:r w:rsidRPr="004305BB">
        <w:t xml:space="preserve">Figure </w:t>
      </w:r>
      <w:r w:rsidR="00AA15A7">
        <w:fldChar w:fldCharType="begin"/>
      </w:r>
      <w:r w:rsidR="00AA15A7">
        <w:instrText xml:space="preserve"> SEQ Figure \* ARABIC </w:instrText>
      </w:r>
      <w:r w:rsidR="00AA15A7">
        <w:fldChar w:fldCharType="separate"/>
      </w:r>
      <w:r w:rsidR="00921873">
        <w:rPr>
          <w:noProof/>
        </w:rPr>
        <w:t>10</w:t>
      </w:r>
      <w:r w:rsidR="00AA15A7">
        <w:rPr>
          <w:noProof/>
        </w:rPr>
        <w:fldChar w:fldCharType="end"/>
      </w:r>
      <w:bookmarkEnd w:id="58"/>
      <w:r w:rsidRPr="004305BB">
        <w:t xml:space="preserve">: Performance metrics for the selected package of derisking instruments in promoting </w:t>
      </w:r>
      <w:r w:rsidR="004464E4">
        <w:t xml:space="preserve">250 </w:t>
      </w:r>
      <w:r w:rsidRPr="004305BB">
        <w:t>MW of solar PV investment in Kazakhstan</w:t>
      </w:r>
      <w:bookmarkEnd w:id="59"/>
      <w:bookmarkEnd w:id="60"/>
      <w:bookmarkEnd w:id="61"/>
      <w:bookmarkEnd w:id="62"/>
      <w:bookmarkEnd w:id="63"/>
      <w:r w:rsidR="00782307">
        <w:t xml:space="preserve"> (preliminary findings)</w:t>
      </w:r>
      <w:bookmarkEnd w:id="64"/>
    </w:p>
    <w:p w14:paraId="0A1B37B6" w14:textId="77777777" w:rsidR="00FA0506" w:rsidRDefault="00FA0506" w:rsidP="00C368DC">
      <w:pPr>
        <w:ind w:left="360"/>
      </w:pPr>
      <w:r w:rsidRPr="004622EC">
        <w:t xml:space="preserve">Source: </w:t>
      </w:r>
      <w:r w:rsidR="00980B00" w:rsidRPr="004622EC">
        <w:t xml:space="preserve">DREI </w:t>
      </w:r>
      <w:r w:rsidRPr="004622EC">
        <w:t>modellin</w:t>
      </w:r>
      <w:r w:rsidR="00980B00" w:rsidRPr="004622EC">
        <w:t>g</w:t>
      </w:r>
    </w:p>
    <w:p w14:paraId="5134F797" w14:textId="5D87EDCE" w:rsidR="00005CA6" w:rsidRPr="008E7BFD" w:rsidRDefault="00005CA6" w:rsidP="00005CA6">
      <w:pPr>
        <w:rPr>
          <w:rFonts w:ascii="Arial" w:hAnsi="Arial" w:cs="Arial"/>
          <w:sz w:val="20"/>
          <w:szCs w:val="16"/>
          <w:lang w:val="en-GB"/>
        </w:rPr>
      </w:pPr>
      <w:r w:rsidRPr="008E7BFD">
        <w:rPr>
          <w:rFonts w:ascii="Arial" w:hAnsi="Arial" w:cs="Arial"/>
          <w:sz w:val="16"/>
          <w:szCs w:val="16"/>
          <w:lang w:val="en-GB"/>
        </w:rPr>
        <w:t>*</w:t>
      </w:r>
      <w:r w:rsidR="006C7C23">
        <w:rPr>
          <w:rFonts w:ascii="Arial" w:hAnsi="Arial" w:cs="Arial"/>
          <w:sz w:val="16"/>
          <w:szCs w:val="16"/>
          <w:lang w:val="en-GB"/>
        </w:rPr>
        <w:t xml:space="preserve"> </w:t>
      </w:r>
      <w:r w:rsidRPr="008E7BFD">
        <w:rPr>
          <w:rFonts w:ascii="Arial" w:hAnsi="Arial" w:cs="Arial"/>
          <w:sz w:val="16"/>
          <w:szCs w:val="16"/>
          <w:lang w:val="en-GB"/>
        </w:rPr>
        <w:t>In the BAU scenario, the full 20</w:t>
      </w:r>
      <w:r>
        <w:rPr>
          <w:rFonts w:ascii="Arial" w:hAnsi="Arial" w:cs="Arial"/>
          <w:sz w:val="16"/>
          <w:szCs w:val="16"/>
          <w:lang w:val="en-GB"/>
        </w:rPr>
        <w:t>21</w:t>
      </w:r>
      <w:r w:rsidRPr="008E7BFD">
        <w:rPr>
          <w:rFonts w:ascii="Arial" w:hAnsi="Arial" w:cs="Arial"/>
          <w:sz w:val="16"/>
          <w:szCs w:val="16"/>
          <w:lang w:val="en-GB"/>
        </w:rPr>
        <w:t xml:space="preserve"> investment target may not be met.</w:t>
      </w:r>
    </w:p>
    <w:p w14:paraId="780B37B7" w14:textId="77777777" w:rsidR="00005CA6" w:rsidRPr="008E7BFD" w:rsidRDefault="00005CA6" w:rsidP="00005CA6">
      <w:pPr>
        <w:rPr>
          <w:rFonts w:ascii="Arial" w:hAnsi="Arial" w:cs="Arial"/>
          <w:sz w:val="16"/>
          <w:szCs w:val="16"/>
          <w:lang w:val="en-GB"/>
        </w:rPr>
      </w:pPr>
      <w:r w:rsidRPr="008E7BFD">
        <w:rPr>
          <w:rFonts w:ascii="Arial" w:hAnsi="Arial" w:cs="Arial"/>
          <w:sz w:val="16"/>
          <w:szCs w:val="16"/>
          <w:lang w:val="en-GB"/>
        </w:rPr>
        <w:t xml:space="preserve">** The Carbon Abatement metric can be broken down into the costs of policy derisking instruments, financial derisking instruments and the price premium. </w:t>
      </w:r>
      <w:r w:rsidRPr="000975BF">
        <w:rPr>
          <w:rFonts w:ascii="Arial" w:hAnsi="Arial" w:cs="Arial"/>
          <w:sz w:val="16"/>
          <w:szCs w:val="16"/>
          <w:lang w:val="en-GB"/>
        </w:rPr>
        <w:t xml:space="preserve">While in the BAU scenario, the total of USD </w:t>
      </w:r>
      <w:r>
        <w:rPr>
          <w:rFonts w:ascii="Arial" w:hAnsi="Arial" w:cs="Arial"/>
          <w:sz w:val="16"/>
          <w:szCs w:val="16"/>
          <w:lang w:val="en-GB"/>
        </w:rPr>
        <w:t>76.1</w:t>
      </w:r>
      <w:r w:rsidRPr="000975BF">
        <w:rPr>
          <w:rFonts w:ascii="Arial" w:hAnsi="Arial" w:cs="Arial"/>
          <w:sz w:val="16"/>
          <w:szCs w:val="16"/>
          <w:lang w:val="en-GB"/>
        </w:rPr>
        <w:t xml:space="preserve"> per tCO</w:t>
      </w:r>
      <w:r w:rsidRPr="00F14188">
        <w:rPr>
          <w:rFonts w:ascii="Arial" w:hAnsi="Arial" w:cs="Arial"/>
          <w:sz w:val="16"/>
          <w:szCs w:val="16"/>
          <w:vertAlign w:val="subscript"/>
          <w:lang w:val="en-GB"/>
        </w:rPr>
        <w:t>2</w:t>
      </w:r>
      <w:r>
        <w:rPr>
          <w:rFonts w:ascii="Arial" w:hAnsi="Arial" w:cs="Arial"/>
          <w:sz w:val="16"/>
          <w:szCs w:val="16"/>
          <w:lang w:val="en-GB"/>
        </w:rPr>
        <w:t>e</w:t>
      </w:r>
      <w:r w:rsidRPr="000975BF">
        <w:rPr>
          <w:rFonts w:ascii="Arial" w:hAnsi="Arial" w:cs="Arial"/>
          <w:sz w:val="16"/>
          <w:szCs w:val="16"/>
          <w:lang w:val="en-GB"/>
        </w:rPr>
        <w:t xml:space="preserve"> is due to the price premium, in the </w:t>
      </w:r>
      <w:r w:rsidRPr="000975BF">
        <w:rPr>
          <w:rFonts w:ascii="Arial" w:hAnsi="Arial" w:cs="Arial"/>
          <w:i/>
          <w:sz w:val="16"/>
          <w:szCs w:val="16"/>
          <w:lang w:val="en-GB"/>
        </w:rPr>
        <w:t>post-derisking</w:t>
      </w:r>
      <w:r w:rsidRPr="000975BF">
        <w:rPr>
          <w:rFonts w:ascii="Arial" w:hAnsi="Arial" w:cs="Arial"/>
          <w:sz w:val="16"/>
          <w:szCs w:val="16"/>
          <w:lang w:val="en-GB"/>
        </w:rPr>
        <w:t xml:space="preserve"> scenario, this breakdown for the total of USD </w:t>
      </w:r>
      <w:r>
        <w:rPr>
          <w:rFonts w:ascii="Arial" w:hAnsi="Arial" w:cs="Arial"/>
          <w:sz w:val="16"/>
          <w:szCs w:val="16"/>
          <w:lang w:val="en-GB"/>
        </w:rPr>
        <w:t>58.4</w:t>
      </w:r>
      <w:r w:rsidRPr="000975BF">
        <w:rPr>
          <w:rFonts w:ascii="Arial" w:hAnsi="Arial" w:cs="Arial"/>
          <w:sz w:val="16"/>
          <w:szCs w:val="16"/>
          <w:lang w:val="en-GB"/>
        </w:rPr>
        <w:t xml:space="preserve"> per tCO</w:t>
      </w:r>
      <w:r w:rsidRPr="00F14188">
        <w:rPr>
          <w:rFonts w:ascii="Arial" w:hAnsi="Arial" w:cs="Arial"/>
          <w:sz w:val="16"/>
          <w:szCs w:val="16"/>
          <w:vertAlign w:val="subscript"/>
          <w:lang w:val="en-GB"/>
        </w:rPr>
        <w:t>2</w:t>
      </w:r>
      <w:r>
        <w:rPr>
          <w:rFonts w:ascii="Arial" w:hAnsi="Arial" w:cs="Arial"/>
          <w:sz w:val="16"/>
          <w:szCs w:val="16"/>
          <w:lang w:val="en-GB"/>
        </w:rPr>
        <w:t>e</w:t>
      </w:r>
      <w:r w:rsidRPr="000975BF">
        <w:rPr>
          <w:rFonts w:ascii="Arial" w:hAnsi="Arial" w:cs="Arial"/>
          <w:sz w:val="16"/>
          <w:szCs w:val="16"/>
          <w:lang w:val="en-GB"/>
        </w:rPr>
        <w:t xml:space="preserve"> is USD 0.</w:t>
      </w:r>
      <w:r>
        <w:rPr>
          <w:rFonts w:ascii="Arial" w:hAnsi="Arial" w:cs="Arial"/>
          <w:sz w:val="16"/>
          <w:szCs w:val="16"/>
          <w:lang w:val="en-GB"/>
        </w:rPr>
        <w:t>2</w:t>
      </w:r>
      <w:r w:rsidRPr="000975BF">
        <w:rPr>
          <w:rFonts w:ascii="Arial" w:hAnsi="Arial" w:cs="Arial"/>
          <w:sz w:val="16"/>
          <w:szCs w:val="16"/>
          <w:lang w:val="en-GB"/>
        </w:rPr>
        <w:t xml:space="preserve">, USD </w:t>
      </w:r>
      <w:r>
        <w:rPr>
          <w:rFonts w:ascii="Arial" w:hAnsi="Arial" w:cs="Arial"/>
          <w:sz w:val="16"/>
          <w:szCs w:val="16"/>
          <w:lang w:val="en-GB"/>
        </w:rPr>
        <w:t>8.8</w:t>
      </w:r>
      <w:r w:rsidRPr="000975BF">
        <w:rPr>
          <w:rFonts w:ascii="Arial" w:hAnsi="Arial" w:cs="Arial"/>
          <w:sz w:val="16"/>
          <w:szCs w:val="16"/>
          <w:lang w:val="en-GB"/>
        </w:rPr>
        <w:t xml:space="preserve"> and USD </w:t>
      </w:r>
      <w:r>
        <w:rPr>
          <w:rFonts w:ascii="Arial" w:hAnsi="Arial" w:cs="Arial"/>
          <w:sz w:val="16"/>
          <w:szCs w:val="16"/>
          <w:lang w:val="en-GB"/>
        </w:rPr>
        <w:t>49.5</w:t>
      </w:r>
      <w:r w:rsidRPr="000975BF">
        <w:rPr>
          <w:rFonts w:ascii="Arial" w:hAnsi="Arial" w:cs="Arial"/>
          <w:sz w:val="16"/>
          <w:szCs w:val="16"/>
          <w:lang w:val="en-GB"/>
        </w:rPr>
        <w:t>, respectively.</w:t>
      </w:r>
    </w:p>
    <w:p w14:paraId="631DAD6C" w14:textId="77777777" w:rsidR="006D3C22" w:rsidRPr="004622EC" w:rsidRDefault="006D3C22" w:rsidP="00C368DC">
      <w:pPr>
        <w:ind w:left="360"/>
      </w:pPr>
    </w:p>
    <w:p w14:paraId="0492E3E0" w14:textId="1C55391F" w:rsidR="006D3C22" w:rsidRDefault="00FA0506" w:rsidP="006C7C23">
      <w:pPr>
        <w:pStyle w:val="a7"/>
        <w:numPr>
          <w:ilvl w:val="0"/>
          <w:numId w:val="9"/>
        </w:numPr>
        <w:tabs>
          <w:tab w:val="clear" w:pos="4153"/>
          <w:tab w:val="clear" w:pos="8306"/>
          <w:tab w:val="left" w:pos="426"/>
          <w:tab w:val="left" w:pos="9356"/>
        </w:tabs>
        <w:spacing w:after="120"/>
        <w:ind w:left="0" w:firstLine="0"/>
        <w:rPr>
          <w:rFonts w:cs="Arial"/>
          <w:szCs w:val="22"/>
          <w:lang w:val="en-GB"/>
        </w:rPr>
      </w:pPr>
      <w:r w:rsidRPr="000056E1">
        <w:rPr>
          <w:rFonts w:cs="Arial"/>
          <w:szCs w:val="22"/>
          <w:lang w:val="en-GB"/>
        </w:rPr>
        <w:t xml:space="preserve">A key conclusion from the modelling is that </w:t>
      </w:r>
      <w:r w:rsidR="006D3C22" w:rsidRPr="006D3C22">
        <w:rPr>
          <w:rFonts w:cs="Arial"/>
          <w:szCs w:val="22"/>
          <w:lang w:val="en-GB"/>
        </w:rPr>
        <w:t>investing in public derisking measures creat</w:t>
      </w:r>
      <w:r w:rsidR="006D3C22">
        <w:rPr>
          <w:rFonts w:cs="Arial"/>
          <w:szCs w:val="22"/>
          <w:lang w:val="en-GB"/>
        </w:rPr>
        <w:t>es significant economic savings</w:t>
      </w:r>
      <w:r w:rsidR="006D3C22" w:rsidRPr="006D3C22">
        <w:rPr>
          <w:rFonts w:cs="Arial"/>
          <w:szCs w:val="22"/>
          <w:lang w:val="en-GB"/>
        </w:rPr>
        <w:t xml:space="preserve"> in meeting </w:t>
      </w:r>
      <w:r w:rsidR="00DB1293">
        <w:rPr>
          <w:rFonts w:cs="Arial"/>
          <w:szCs w:val="22"/>
          <w:lang w:val="en-GB"/>
        </w:rPr>
        <w:t xml:space="preserve">this analysis’ </w:t>
      </w:r>
      <w:r w:rsidR="006D3C22" w:rsidRPr="006D3C22">
        <w:rPr>
          <w:rFonts w:cs="Arial"/>
          <w:szCs w:val="22"/>
          <w:lang w:val="en-GB"/>
        </w:rPr>
        <w:t>2021 (5 year) investment targets</w:t>
      </w:r>
      <w:r w:rsidR="00DB1293">
        <w:rPr>
          <w:rFonts w:cs="Arial"/>
          <w:szCs w:val="22"/>
          <w:lang w:val="en-GB"/>
        </w:rPr>
        <w:t xml:space="preserve"> for Kazakhsan</w:t>
      </w:r>
      <w:r w:rsidR="006D3C22" w:rsidRPr="006D3C22">
        <w:rPr>
          <w:rFonts w:cs="Arial"/>
          <w:szCs w:val="22"/>
          <w:lang w:val="en-GB"/>
        </w:rPr>
        <w:t xml:space="preserve">. The modelling clearly shows that </w:t>
      </w:r>
      <w:r w:rsidR="006D3C22" w:rsidRPr="00BC04DE">
        <w:rPr>
          <w:rFonts w:cs="Arial"/>
          <w:szCs w:val="22"/>
          <w:lang w:val="en-GB"/>
        </w:rPr>
        <w:t>investing in public derisking measures should in every case be more cost-effective for Kazakhstan, compared to an alternative of paying higher generation costs.</w:t>
      </w:r>
      <w:r w:rsidR="006D3C22">
        <w:rPr>
          <w:rFonts w:cs="Arial"/>
          <w:szCs w:val="22"/>
          <w:lang w:val="en-GB"/>
        </w:rPr>
        <w:t xml:space="preserve"> </w:t>
      </w:r>
      <w:r w:rsidR="00BC04DE" w:rsidRPr="00BC04DE">
        <w:rPr>
          <w:rFonts w:cs="Arial"/>
          <w:b/>
          <w:szCs w:val="22"/>
          <w:lang w:val="en-GB"/>
        </w:rPr>
        <w:t>Overall, the results indicate that all derisking instruments that can be immediately implemented should, if possible, be prioritised before resorting to premium prices to compensate for any residual risks.</w:t>
      </w:r>
    </w:p>
    <w:p w14:paraId="3FD7022B" w14:textId="0696B779" w:rsidR="00082C98" w:rsidRDefault="00BC04DE" w:rsidP="0020322F">
      <w:pPr>
        <w:pStyle w:val="a7"/>
        <w:numPr>
          <w:ilvl w:val="0"/>
          <w:numId w:val="9"/>
        </w:numPr>
        <w:tabs>
          <w:tab w:val="clear" w:pos="4153"/>
          <w:tab w:val="clear" w:pos="8306"/>
          <w:tab w:val="left" w:pos="426"/>
          <w:tab w:val="left" w:pos="9356"/>
        </w:tabs>
        <w:spacing w:after="120"/>
        <w:ind w:left="0" w:right="4" w:firstLine="0"/>
        <w:rPr>
          <w:rFonts w:cs="Arial"/>
          <w:szCs w:val="22"/>
          <w:lang w:val="en-GB"/>
        </w:rPr>
      </w:pPr>
      <w:r>
        <w:rPr>
          <w:rFonts w:cs="Arial"/>
          <w:szCs w:val="22"/>
          <w:lang w:val="en-GB"/>
        </w:rPr>
        <w:t xml:space="preserve">The results presented above represent the key take-aways of a detailed </w:t>
      </w:r>
      <w:r w:rsidR="00DB1293">
        <w:rPr>
          <w:rFonts w:cs="Arial"/>
          <w:szCs w:val="22"/>
          <w:lang w:val="en-GB"/>
        </w:rPr>
        <w:t xml:space="preserve">DREI </w:t>
      </w:r>
      <w:r>
        <w:rPr>
          <w:rFonts w:cs="Arial"/>
          <w:szCs w:val="22"/>
          <w:lang w:val="en-GB"/>
        </w:rPr>
        <w:t xml:space="preserve">analysis </w:t>
      </w:r>
      <w:r w:rsidR="00DB1293">
        <w:rPr>
          <w:rFonts w:cs="Arial"/>
          <w:szCs w:val="22"/>
          <w:lang w:val="en-GB"/>
        </w:rPr>
        <w:t xml:space="preserve">on utility-scale wind and solar PV </w:t>
      </w:r>
      <w:r>
        <w:rPr>
          <w:rFonts w:cs="Arial"/>
          <w:szCs w:val="22"/>
          <w:lang w:val="en-GB"/>
        </w:rPr>
        <w:t xml:space="preserve">which will shortly be published in the form of a report by UNDP and the Government of Kazakhstan. The report will set out the full results of the analysis, as well as the methodology and underlying assumptions. This report will </w:t>
      </w:r>
      <w:r w:rsidR="00DB1293">
        <w:rPr>
          <w:rFonts w:cs="Arial"/>
          <w:szCs w:val="22"/>
          <w:lang w:val="en-GB"/>
        </w:rPr>
        <w:t xml:space="preserve">then </w:t>
      </w:r>
      <w:r>
        <w:rPr>
          <w:rFonts w:cs="Arial"/>
          <w:szCs w:val="22"/>
          <w:lang w:val="en-GB"/>
        </w:rPr>
        <w:t xml:space="preserve">act as an important </w:t>
      </w:r>
      <w:r w:rsidR="00DB1293">
        <w:rPr>
          <w:rFonts w:cs="Arial"/>
          <w:szCs w:val="22"/>
          <w:lang w:val="en-GB"/>
        </w:rPr>
        <w:t xml:space="preserve">baseline </w:t>
      </w:r>
      <w:r>
        <w:rPr>
          <w:rFonts w:cs="Arial"/>
          <w:szCs w:val="22"/>
          <w:lang w:val="en-GB"/>
        </w:rPr>
        <w:t xml:space="preserve">reference and foundation for project implementation, and </w:t>
      </w:r>
      <w:r w:rsidR="00DB1293">
        <w:rPr>
          <w:rFonts w:cs="Arial"/>
          <w:szCs w:val="22"/>
          <w:lang w:val="en-GB"/>
        </w:rPr>
        <w:t xml:space="preserve">for </w:t>
      </w:r>
      <w:r>
        <w:rPr>
          <w:rFonts w:cs="Arial"/>
          <w:szCs w:val="22"/>
          <w:lang w:val="en-GB"/>
        </w:rPr>
        <w:t xml:space="preserve">the ongoing use of the DREI methodology in the project. </w:t>
      </w:r>
    </w:p>
    <w:p w14:paraId="367B02D7" w14:textId="77777777" w:rsidR="00E86773" w:rsidRPr="00E86773" w:rsidRDefault="00E86773" w:rsidP="00E86773">
      <w:pPr>
        <w:rPr>
          <w:b/>
          <w:i/>
        </w:rPr>
      </w:pPr>
      <w:r>
        <w:rPr>
          <w:b/>
          <w:i/>
          <w:lang w:val="en-GB"/>
        </w:rPr>
        <w:t>Analysis for small</w:t>
      </w:r>
      <w:r w:rsidRPr="00E86773">
        <w:rPr>
          <w:b/>
          <w:i/>
          <w:lang w:val="en-GB"/>
        </w:rPr>
        <w:t>-</w:t>
      </w:r>
      <w:r>
        <w:rPr>
          <w:b/>
          <w:i/>
          <w:lang w:val="en-GB"/>
        </w:rPr>
        <w:t>s</w:t>
      </w:r>
      <w:r w:rsidRPr="00E86773">
        <w:rPr>
          <w:b/>
          <w:i/>
          <w:lang w:val="en-GB"/>
        </w:rPr>
        <w:t xml:space="preserve">cale </w:t>
      </w:r>
      <w:r>
        <w:rPr>
          <w:b/>
          <w:i/>
          <w:lang w:val="en-GB"/>
        </w:rPr>
        <w:t>r</w:t>
      </w:r>
      <w:r w:rsidRPr="00E86773">
        <w:rPr>
          <w:b/>
          <w:i/>
          <w:lang w:val="en-GB"/>
        </w:rPr>
        <w:t>enewables</w:t>
      </w:r>
    </w:p>
    <w:p w14:paraId="2828B611" w14:textId="77777777" w:rsidR="00E86773" w:rsidRPr="00E86773" w:rsidRDefault="00E86773" w:rsidP="00E86773">
      <w:pPr>
        <w:rPr>
          <w:b/>
          <w:i/>
        </w:rPr>
      </w:pPr>
    </w:p>
    <w:p w14:paraId="3CDD7A59" w14:textId="07B2AF03" w:rsidR="00BB71D6" w:rsidRPr="0012084C" w:rsidRDefault="00DB1293" w:rsidP="0020322F">
      <w:pPr>
        <w:pStyle w:val="a7"/>
        <w:numPr>
          <w:ilvl w:val="0"/>
          <w:numId w:val="9"/>
        </w:numPr>
        <w:tabs>
          <w:tab w:val="clear" w:pos="4153"/>
          <w:tab w:val="clear" w:pos="8306"/>
          <w:tab w:val="left" w:pos="426"/>
          <w:tab w:val="left" w:pos="9356"/>
        </w:tabs>
        <w:spacing w:after="120"/>
        <w:ind w:left="0" w:right="4" w:firstLine="0"/>
        <w:rPr>
          <w:rFonts w:cs="Arial"/>
          <w:szCs w:val="22"/>
          <w:lang w:val="en-GB"/>
        </w:rPr>
      </w:pPr>
      <w:r>
        <w:rPr>
          <w:rFonts w:cs="Arial"/>
          <w:szCs w:val="22"/>
          <w:lang w:val="en-GB"/>
        </w:rPr>
        <w:t xml:space="preserve">For small-scale renewable energy, a qualitative </w:t>
      </w:r>
      <w:r w:rsidR="00DA3A30">
        <w:rPr>
          <w:rFonts w:cs="Arial"/>
          <w:szCs w:val="22"/>
          <w:lang w:val="en-GB"/>
        </w:rPr>
        <w:t xml:space="preserve">review </w:t>
      </w:r>
      <w:r>
        <w:rPr>
          <w:rFonts w:cs="Arial"/>
          <w:szCs w:val="22"/>
          <w:lang w:val="en-GB"/>
        </w:rPr>
        <w:t xml:space="preserve">of DREI methodology </w:t>
      </w:r>
      <w:r w:rsidR="00DA3A30">
        <w:rPr>
          <w:rFonts w:cs="Arial"/>
          <w:szCs w:val="22"/>
          <w:lang w:val="en-GB"/>
        </w:rPr>
        <w:t xml:space="preserve">investment risks </w:t>
      </w:r>
      <w:r>
        <w:rPr>
          <w:rFonts w:cs="Arial"/>
          <w:szCs w:val="22"/>
          <w:lang w:val="en-GB"/>
        </w:rPr>
        <w:t xml:space="preserve">has been performed at project design. The market </w:t>
      </w:r>
      <w:r w:rsidR="00DA3A30">
        <w:rPr>
          <w:rFonts w:cs="Arial"/>
          <w:szCs w:val="22"/>
          <w:lang w:val="en-GB"/>
        </w:rPr>
        <w:t xml:space="preserve">for small-scale renewables </w:t>
      </w:r>
      <w:r>
        <w:rPr>
          <w:rFonts w:cs="Arial"/>
          <w:szCs w:val="22"/>
          <w:lang w:val="en-GB"/>
        </w:rPr>
        <w:t>is both rural and urban</w:t>
      </w:r>
      <w:r w:rsidR="00DA3A30">
        <w:rPr>
          <w:rFonts w:cs="Arial"/>
          <w:szCs w:val="22"/>
          <w:lang w:val="en-GB"/>
        </w:rPr>
        <w:t xml:space="preserve">, </w:t>
      </w:r>
      <w:r>
        <w:rPr>
          <w:rFonts w:cs="Arial"/>
          <w:szCs w:val="22"/>
          <w:lang w:val="en-GB"/>
        </w:rPr>
        <w:t xml:space="preserve">and </w:t>
      </w:r>
      <w:r w:rsidR="00DA3A30">
        <w:rPr>
          <w:rFonts w:cs="Arial"/>
          <w:szCs w:val="22"/>
          <w:lang w:val="en-GB"/>
        </w:rPr>
        <w:t>involves both on-grid and off-grid application. In general</w:t>
      </w:r>
      <w:r w:rsidR="006C7C23">
        <w:rPr>
          <w:rFonts w:cs="Arial"/>
          <w:szCs w:val="22"/>
          <w:lang w:val="en-GB"/>
        </w:rPr>
        <w:t>,</w:t>
      </w:r>
      <w:r w:rsidR="00DA3A30">
        <w:rPr>
          <w:rFonts w:cs="Arial"/>
          <w:szCs w:val="22"/>
          <w:lang w:val="en-GB"/>
        </w:rPr>
        <w:t xml:space="preserve"> the market remains early-stage. </w:t>
      </w:r>
      <w:r w:rsidR="00CB6373" w:rsidRPr="00257B08">
        <w:rPr>
          <w:rFonts w:cs="Arial"/>
          <w:szCs w:val="22"/>
          <w:lang w:val="en-GB"/>
        </w:rPr>
        <w:t>To better understand the risks and barriers for small-scale renewable projects in Kazakhstan</w:t>
      </w:r>
      <w:r w:rsidR="00CB6373" w:rsidRPr="0012084C">
        <w:rPr>
          <w:rFonts w:cs="Arial"/>
          <w:szCs w:val="22"/>
          <w:lang w:val="en-GB"/>
        </w:rPr>
        <w:t xml:space="preserve">, ten small-scale investors and project developers were interviewed. </w:t>
      </w:r>
      <w:r w:rsidR="00CB6373" w:rsidRPr="0012084C">
        <w:rPr>
          <w:rFonts w:cs="Arial"/>
          <w:szCs w:val="22"/>
          <w:lang w:val="en-GB"/>
        </w:rPr>
        <w:fldChar w:fldCharType="begin"/>
      </w:r>
      <w:r w:rsidR="00CB6373" w:rsidRPr="00BA0D46">
        <w:rPr>
          <w:rFonts w:cs="Arial"/>
          <w:szCs w:val="22"/>
          <w:lang w:val="en-GB"/>
        </w:rPr>
        <w:instrText xml:space="preserve"> REF _Ref464053055 \h </w:instrText>
      </w:r>
      <w:r w:rsidR="00CB6373">
        <w:rPr>
          <w:rFonts w:cs="Arial"/>
          <w:szCs w:val="22"/>
          <w:lang w:val="en-GB"/>
        </w:rPr>
        <w:instrText xml:space="preserve"> \* MERGEFORMAT </w:instrText>
      </w:r>
      <w:r w:rsidR="00CB6373" w:rsidRPr="0012084C">
        <w:rPr>
          <w:rFonts w:cs="Arial"/>
          <w:szCs w:val="22"/>
          <w:lang w:val="en-GB"/>
        </w:rPr>
      </w:r>
      <w:r w:rsidR="00CB6373" w:rsidRPr="0012084C">
        <w:rPr>
          <w:rFonts w:cs="Arial"/>
          <w:szCs w:val="22"/>
          <w:lang w:val="en-GB"/>
        </w:rPr>
        <w:fldChar w:fldCharType="separate"/>
      </w:r>
      <w:r w:rsidR="00921873" w:rsidRPr="00921873">
        <w:rPr>
          <w:szCs w:val="22"/>
        </w:rPr>
        <w:t xml:space="preserve">Table </w:t>
      </w:r>
      <w:r w:rsidR="00921873" w:rsidRPr="00921873">
        <w:rPr>
          <w:noProof/>
          <w:szCs w:val="22"/>
        </w:rPr>
        <w:t>4</w:t>
      </w:r>
      <w:r w:rsidR="00CB6373" w:rsidRPr="0012084C">
        <w:rPr>
          <w:rFonts w:cs="Arial"/>
          <w:szCs w:val="22"/>
          <w:lang w:val="en-GB"/>
        </w:rPr>
        <w:fldChar w:fldCharType="end"/>
      </w:r>
      <w:r w:rsidR="00CB6373" w:rsidRPr="0012084C">
        <w:rPr>
          <w:rFonts w:cs="Arial"/>
          <w:szCs w:val="22"/>
          <w:lang w:val="en-GB"/>
        </w:rPr>
        <w:t xml:space="preserve"> summarizes these risks</w:t>
      </w:r>
      <w:r w:rsidR="00D33143">
        <w:rPr>
          <w:rFonts w:cs="Arial"/>
          <w:szCs w:val="22"/>
          <w:lang w:val="en-GB"/>
        </w:rPr>
        <w:t xml:space="preserve"> and barriers</w:t>
      </w:r>
      <w:r w:rsidR="00CB6373" w:rsidRPr="00257B08">
        <w:rPr>
          <w:rFonts w:cs="Arial"/>
          <w:szCs w:val="22"/>
          <w:lang w:val="en-GB"/>
        </w:rPr>
        <w:t>.</w:t>
      </w:r>
      <w:r w:rsidR="00DA3A30">
        <w:rPr>
          <w:rFonts w:cs="Arial"/>
          <w:szCs w:val="22"/>
          <w:lang w:val="en-GB"/>
        </w:rPr>
        <w:t xml:space="preserve"> A full application of the DREI methodology for specific sub-sectors of small-scale renewables, with quantification of risk categories, will be applied </w:t>
      </w:r>
      <w:r w:rsidR="006C7C23">
        <w:rPr>
          <w:rFonts w:cs="Arial"/>
          <w:szCs w:val="22"/>
          <w:lang w:val="en-GB"/>
        </w:rPr>
        <w:t>during</w:t>
      </w:r>
      <w:r w:rsidR="00DA3A30">
        <w:rPr>
          <w:rFonts w:cs="Arial"/>
          <w:szCs w:val="22"/>
          <w:lang w:val="en-GB"/>
        </w:rPr>
        <w:t xml:space="preserve"> project implementation. </w:t>
      </w:r>
    </w:p>
    <w:p w14:paraId="17AB8FD0" w14:textId="77777777" w:rsidR="00BB71D6" w:rsidRPr="00516B16" w:rsidRDefault="003C6889" w:rsidP="00863DD5">
      <w:pPr>
        <w:pStyle w:val="aff3"/>
      </w:pPr>
      <w:bookmarkStart w:id="65" w:name="_Ref464053055"/>
      <w:bookmarkStart w:id="66" w:name="_Toc337722217"/>
      <w:bookmarkStart w:id="67" w:name="_Ref337722947"/>
      <w:bookmarkStart w:id="68" w:name="_Toc464138779"/>
      <w:bookmarkStart w:id="69" w:name="_Toc479693911"/>
      <w:r w:rsidRPr="00F80BA7">
        <w:t xml:space="preserve">Table </w:t>
      </w:r>
      <w:r w:rsidR="00AA15A7">
        <w:fldChar w:fldCharType="begin"/>
      </w:r>
      <w:r w:rsidR="00AA15A7">
        <w:instrText xml:space="preserve"> SEQ Table \* ARABIC </w:instrText>
      </w:r>
      <w:r w:rsidR="00AA15A7">
        <w:fldChar w:fldCharType="separate"/>
      </w:r>
      <w:r w:rsidR="00921873">
        <w:rPr>
          <w:noProof/>
        </w:rPr>
        <w:t>4</w:t>
      </w:r>
      <w:r w:rsidR="00AA15A7">
        <w:rPr>
          <w:noProof/>
        </w:rPr>
        <w:fldChar w:fldCharType="end"/>
      </w:r>
      <w:bookmarkEnd w:id="65"/>
      <w:r w:rsidR="00312A95" w:rsidRPr="004B4ED2">
        <w:t>:</w:t>
      </w:r>
      <w:r w:rsidR="00BB71D6" w:rsidRPr="00516B16">
        <w:t xml:space="preserve"> Risk and barriers for on- and off-grid renewable energy applications</w:t>
      </w:r>
      <w:bookmarkEnd w:id="66"/>
      <w:bookmarkEnd w:id="67"/>
      <w:bookmarkEnd w:id="68"/>
      <w:bookmarkEnd w:id="69"/>
    </w:p>
    <w:tbl>
      <w:tblPr>
        <w:tblStyle w:val="TableGrid4"/>
        <w:tblW w:w="0" w:type="auto"/>
        <w:tblLook w:val="04A0" w:firstRow="1" w:lastRow="0" w:firstColumn="1" w:lastColumn="0" w:noHBand="0" w:noVBand="1"/>
      </w:tblPr>
      <w:tblGrid>
        <w:gridCol w:w="1251"/>
        <w:gridCol w:w="1388"/>
        <w:gridCol w:w="3926"/>
        <w:gridCol w:w="2892"/>
      </w:tblGrid>
      <w:tr w:rsidR="006C7C23" w:rsidRPr="001F66E3" w14:paraId="6382CE4E" w14:textId="77777777" w:rsidTr="006C7C23">
        <w:trPr>
          <w:trHeight w:val="485"/>
          <w:tblHeader/>
        </w:trPr>
        <w:tc>
          <w:tcPr>
            <w:tcW w:w="1230" w:type="dxa"/>
            <w:shd w:val="clear" w:color="auto" w:fill="D9D9D9" w:themeFill="background1" w:themeFillShade="D9"/>
            <w:noWrap/>
            <w:hideMark/>
          </w:tcPr>
          <w:p w14:paraId="2BB8CC1F" w14:textId="77777777" w:rsidR="006C7C23" w:rsidRPr="001F66E3" w:rsidRDefault="006C7C23" w:rsidP="004622EC">
            <w:pPr>
              <w:spacing w:before="60"/>
              <w:contextualSpacing/>
              <w:rPr>
                <w:rFonts w:asciiTheme="majorHAnsi" w:hAnsiTheme="majorHAnsi" w:cs="Arial"/>
                <w:b/>
                <w:bCs/>
                <w:sz w:val="20"/>
                <w:szCs w:val="20"/>
                <w:lang w:val="en-GB"/>
              </w:rPr>
            </w:pPr>
            <w:r w:rsidRPr="001F66E3">
              <w:rPr>
                <w:rFonts w:asciiTheme="majorHAnsi" w:hAnsiTheme="majorHAnsi" w:cs="Arial"/>
                <w:b/>
                <w:sz w:val="20"/>
                <w:szCs w:val="20"/>
                <w:lang w:val="en-GB"/>
              </w:rPr>
              <w:t>Risk Category</w:t>
            </w:r>
          </w:p>
        </w:tc>
        <w:tc>
          <w:tcPr>
            <w:tcW w:w="1328" w:type="dxa"/>
            <w:shd w:val="clear" w:color="auto" w:fill="D9D9D9" w:themeFill="background1" w:themeFillShade="D9"/>
          </w:tcPr>
          <w:p w14:paraId="6B7B8585" w14:textId="77777777" w:rsidR="006C7C23" w:rsidRPr="001F66E3" w:rsidRDefault="006C7C23" w:rsidP="00D33143">
            <w:pPr>
              <w:spacing w:before="60"/>
              <w:contextualSpacing/>
              <w:rPr>
                <w:rFonts w:asciiTheme="majorHAnsi" w:hAnsiTheme="majorHAnsi" w:cs="Arial"/>
                <w:b/>
                <w:sz w:val="20"/>
                <w:szCs w:val="20"/>
                <w:lang w:val="en-GB"/>
              </w:rPr>
            </w:pPr>
            <w:r w:rsidRPr="001F66E3">
              <w:rPr>
                <w:rFonts w:asciiTheme="majorHAnsi" w:hAnsiTheme="majorHAnsi" w:cs="Arial"/>
                <w:b/>
                <w:sz w:val="20"/>
                <w:szCs w:val="20"/>
                <w:lang w:val="en-GB"/>
              </w:rPr>
              <w:t>Risk Definition</w:t>
            </w:r>
          </w:p>
        </w:tc>
        <w:tc>
          <w:tcPr>
            <w:tcW w:w="0" w:type="auto"/>
            <w:shd w:val="clear" w:color="auto" w:fill="D9D9D9" w:themeFill="background1" w:themeFillShade="D9"/>
          </w:tcPr>
          <w:p w14:paraId="7CBE2B5C" w14:textId="77777777" w:rsidR="006C7C23" w:rsidRPr="001F66E3" w:rsidRDefault="006C7C23" w:rsidP="004622EC">
            <w:pPr>
              <w:spacing w:before="60"/>
              <w:contextualSpacing/>
              <w:rPr>
                <w:rFonts w:asciiTheme="majorHAnsi" w:hAnsiTheme="majorHAnsi" w:cs="Arial"/>
                <w:b/>
                <w:sz w:val="20"/>
                <w:szCs w:val="20"/>
                <w:lang w:val="en-GB"/>
              </w:rPr>
            </w:pPr>
            <w:r w:rsidRPr="001F66E3">
              <w:rPr>
                <w:rFonts w:asciiTheme="majorHAnsi" w:hAnsiTheme="majorHAnsi" w:cs="Arial"/>
                <w:b/>
                <w:sz w:val="20"/>
                <w:szCs w:val="20"/>
                <w:lang w:val="en-GB"/>
              </w:rPr>
              <w:t>Barriers</w:t>
            </w:r>
          </w:p>
        </w:tc>
        <w:tc>
          <w:tcPr>
            <w:tcW w:w="0" w:type="auto"/>
            <w:shd w:val="clear" w:color="auto" w:fill="D9D9D9" w:themeFill="background1" w:themeFillShade="D9"/>
          </w:tcPr>
          <w:p w14:paraId="269265EE" w14:textId="77777777" w:rsidR="006C7C23" w:rsidRPr="001F66E3" w:rsidRDefault="006C7C23" w:rsidP="004622EC">
            <w:pPr>
              <w:spacing w:before="60"/>
              <w:contextualSpacing/>
              <w:rPr>
                <w:rFonts w:asciiTheme="majorHAnsi" w:hAnsiTheme="majorHAnsi" w:cs="Arial"/>
                <w:b/>
                <w:sz w:val="20"/>
                <w:szCs w:val="20"/>
                <w:lang w:val="en-GB"/>
              </w:rPr>
            </w:pPr>
            <w:r w:rsidRPr="001F66E3">
              <w:rPr>
                <w:rFonts w:asciiTheme="majorHAnsi" w:hAnsiTheme="majorHAnsi" w:cs="Arial"/>
                <w:b/>
                <w:sz w:val="20"/>
                <w:szCs w:val="20"/>
                <w:lang w:val="en-GB"/>
              </w:rPr>
              <w:t>Insights from Kazakhstan</w:t>
            </w:r>
          </w:p>
        </w:tc>
      </w:tr>
      <w:tr w:rsidR="006C7C23" w:rsidRPr="001F66E3" w14:paraId="6DD834CD" w14:textId="77777777" w:rsidTr="006C7C23">
        <w:trPr>
          <w:trHeight w:val="1142"/>
        </w:trPr>
        <w:tc>
          <w:tcPr>
            <w:tcW w:w="1230" w:type="dxa"/>
            <w:hideMark/>
          </w:tcPr>
          <w:p w14:paraId="2C316951" w14:textId="77777777" w:rsidR="006C7C23" w:rsidRPr="001F66E3" w:rsidRDefault="006C7C23" w:rsidP="007C13B9">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1. Energy market risk</w:t>
            </w:r>
          </w:p>
        </w:tc>
        <w:tc>
          <w:tcPr>
            <w:tcW w:w="1328" w:type="dxa"/>
          </w:tcPr>
          <w:p w14:paraId="7EA2203D" w14:textId="77777777" w:rsidR="006C7C23" w:rsidRPr="001F66E3" w:rsidRDefault="006C7C23" w:rsidP="00D33143">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Risk arising from limitations and uncertainty in the energy market (off- and on-grid) regarding market outlook, access, price and competition</w:t>
            </w:r>
          </w:p>
        </w:tc>
        <w:tc>
          <w:tcPr>
            <w:tcW w:w="0" w:type="auto"/>
          </w:tcPr>
          <w:p w14:paraId="2CBBBFDE" w14:textId="6CF0CB19" w:rsidR="006C7C23" w:rsidRPr="001F66E3" w:rsidRDefault="006C7C23" w:rsidP="007C13B9">
            <w:pPr>
              <w:spacing w:before="60"/>
              <w:contextualSpacing/>
              <w:rPr>
                <w:rFonts w:asciiTheme="majorHAnsi" w:hAnsiTheme="majorHAnsi" w:cs="Arial"/>
                <w:color w:val="000000"/>
                <w:sz w:val="20"/>
                <w:szCs w:val="20"/>
                <w:lang w:val="en-GB"/>
              </w:rPr>
            </w:pPr>
            <w:r w:rsidRPr="001F66E3">
              <w:rPr>
                <w:rFonts w:asciiTheme="majorHAnsi" w:hAnsiTheme="majorHAnsi" w:cs="Arial"/>
                <w:i/>
                <w:color w:val="000000"/>
                <w:sz w:val="20"/>
                <w:szCs w:val="20"/>
                <w:lang w:val="en-GB"/>
              </w:rPr>
              <w:t xml:space="preserve">Market outlook: </w:t>
            </w:r>
            <w:r w:rsidRPr="001F66E3">
              <w:rPr>
                <w:rFonts w:asciiTheme="majorHAnsi" w:hAnsiTheme="majorHAnsi" w:cs="Arial"/>
                <w:color w:val="000000"/>
                <w:sz w:val="20"/>
                <w:szCs w:val="20"/>
                <w:lang w:val="en-GB"/>
              </w:rPr>
              <w:t>Uncertainty regarding national/state-level targets for electrification and renewable energy</w:t>
            </w:r>
          </w:p>
          <w:p w14:paraId="39BC7D4B" w14:textId="77777777" w:rsidR="006C7C23" w:rsidRPr="001F66E3" w:rsidRDefault="006C7C23" w:rsidP="007C13B9">
            <w:pPr>
              <w:spacing w:before="60"/>
              <w:contextualSpacing/>
              <w:rPr>
                <w:rFonts w:asciiTheme="majorHAnsi" w:hAnsiTheme="majorHAnsi" w:cs="Arial"/>
                <w:i/>
                <w:color w:val="000000"/>
                <w:sz w:val="20"/>
                <w:szCs w:val="20"/>
                <w:lang w:val="en-GB"/>
              </w:rPr>
            </w:pPr>
          </w:p>
          <w:p w14:paraId="0F1F7154" w14:textId="6CAC6315" w:rsidR="006C7C23" w:rsidRPr="001F66E3" w:rsidRDefault="006C7C23" w:rsidP="007C13B9">
            <w:pPr>
              <w:spacing w:before="60"/>
              <w:contextualSpacing/>
              <w:rPr>
                <w:rFonts w:asciiTheme="majorHAnsi" w:hAnsiTheme="majorHAnsi" w:cs="Arial"/>
                <w:color w:val="000000"/>
                <w:sz w:val="20"/>
                <w:szCs w:val="20"/>
                <w:lang w:val="en-GB"/>
              </w:rPr>
            </w:pPr>
            <w:r w:rsidRPr="001F66E3">
              <w:rPr>
                <w:rFonts w:asciiTheme="majorHAnsi" w:hAnsiTheme="majorHAnsi" w:cs="Arial"/>
                <w:i/>
                <w:color w:val="000000"/>
                <w:sz w:val="20"/>
                <w:szCs w:val="20"/>
                <w:lang w:val="en-GB"/>
              </w:rPr>
              <w:t xml:space="preserve">Market access, </w:t>
            </w:r>
            <w:r w:rsidRPr="001F66E3">
              <w:rPr>
                <w:rFonts w:asciiTheme="majorHAnsi" w:hAnsiTheme="majorHAnsi" w:cs="Arial"/>
                <w:color w:val="000000"/>
                <w:sz w:val="20"/>
                <w:szCs w:val="20"/>
                <w:lang w:val="en-GB"/>
              </w:rPr>
              <w:t>competition and grid expansion: Limitations, including due to government regulations, inability of small-scale renewable companies to access the electrification market; uncertainty regarding potential future competition in electrification</w:t>
            </w:r>
          </w:p>
          <w:p w14:paraId="444B5724" w14:textId="77777777" w:rsidR="006C7C23" w:rsidRPr="001F66E3" w:rsidRDefault="006C7C23" w:rsidP="007C13B9">
            <w:pPr>
              <w:spacing w:before="60"/>
              <w:contextualSpacing/>
              <w:rPr>
                <w:rFonts w:asciiTheme="majorHAnsi" w:hAnsiTheme="majorHAnsi" w:cs="Arial"/>
                <w:color w:val="000000"/>
                <w:sz w:val="20"/>
                <w:szCs w:val="20"/>
                <w:lang w:val="en-GB"/>
              </w:rPr>
            </w:pPr>
          </w:p>
          <w:p w14:paraId="195ADFB0" w14:textId="2C621723" w:rsidR="006C7C23" w:rsidRPr="001F66E3" w:rsidRDefault="006C7C23" w:rsidP="007C13B9">
            <w:pPr>
              <w:spacing w:before="60"/>
              <w:contextualSpacing/>
              <w:rPr>
                <w:rFonts w:asciiTheme="majorHAnsi" w:hAnsiTheme="majorHAnsi" w:cs="Arial"/>
                <w:color w:val="000000"/>
                <w:sz w:val="20"/>
                <w:szCs w:val="20"/>
                <w:lang w:val="en-GB"/>
              </w:rPr>
            </w:pPr>
            <w:r w:rsidRPr="001F66E3">
              <w:rPr>
                <w:rFonts w:asciiTheme="majorHAnsi" w:hAnsiTheme="majorHAnsi" w:cs="Arial"/>
                <w:i/>
                <w:color w:val="000000"/>
                <w:sz w:val="20"/>
                <w:szCs w:val="20"/>
                <w:lang w:val="en-GB"/>
              </w:rPr>
              <w:t>Competing subsidies:</w:t>
            </w:r>
            <w:r w:rsidRPr="001F66E3">
              <w:rPr>
                <w:rFonts w:asciiTheme="majorHAnsi" w:hAnsiTheme="majorHAnsi" w:cs="Arial"/>
                <w:color w:val="000000"/>
                <w:sz w:val="20"/>
                <w:szCs w:val="20"/>
                <w:lang w:val="en-GB"/>
              </w:rPr>
              <w:t xml:space="preserve"> Competition from subsidised diesel and kerosene (mostly used for lighting); negative perceptions of tariffs due to subsidized grid-distributed electricity</w:t>
            </w:r>
          </w:p>
        </w:tc>
        <w:tc>
          <w:tcPr>
            <w:tcW w:w="0" w:type="auto"/>
          </w:tcPr>
          <w:p w14:paraId="4E443416" w14:textId="0D2CE14C" w:rsidR="006C7C23" w:rsidRPr="001F66E3" w:rsidRDefault="006C7C23" w:rsidP="004622EC">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 xml:space="preserve">For small-scale renewables, issues include inadequate laws on net-metering or a FiT mechanism. Small-scale renewable energy applications face </w:t>
            </w:r>
            <w:r>
              <w:rPr>
                <w:rFonts w:asciiTheme="majorHAnsi" w:hAnsiTheme="majorHAnsi" w:cs="Arial"/>
                <w:color w:val="000000"/>
                <w:sz w:val="20"/>
                <w:szCs w:val="20"/>
                <w:lang w:val="en-GB"/>
              </w:rPr>
              <w:t xml:space="preserve">barriers </w:t>
            </w:r>
            <w:r w:rsidRPr="001F66E3">
              <w:rPr>
                <w:rFonts w:asciiTheme="majorHAnsi" w:hAnsiTheme="majorHAnsi" w:cs="Arial"/>
                <w:color w:val="000000"/>
                <w:sz w:val="20"/>
                <w:szCs w:val="20"/>
                <w:lang w:val="en-GB"/>
              </w:rPr>
              <w:t>stemming from market distortions, such as high fossil fuel subsidies</w:t>
            </w:r>
            <w:r w:rsidRPr="001F66E3">
              <w:rPr>
                <w:rFonts w:asciiTheme="majorHAnsi" w:eastAsia="MS Mincho" w:hAnsiTheme="majorHAnsi" w:cs="MS Mincho"/>
                <w:color w:val="000000"/>
                <w:sz w:val="20"/>
                <w:szCs w:val="20"/>
                <w:lang w:val="en-GB"/>
              </w:rPr>
              <w:t>.</w:t>
            </w:r>
          </w:p>
        </w:tc>
      </w:tr>
      <w:tr w:rsidR="006C7C23" w:rsidRPr="001F66E3" w14:paraId="6A56A4E6" w14:textId="77777777" w:rsidTr="006C7C23">
        <w:trPr>
          <w:trHeight w:val="1429"/>
        </w:trPr>
        <w:tc>
          <w:tcPr>
            <w:tcW w:w="1230" w:type="dxa"/>
            <w:hideMark/>
          </w:tcPr>
          <w:p w14:paraId="1A6E8BF8" w14:textId="77777777" w:rsidR="006C7C23" w:rsidRPr="001F66E3" w:rsidRDefault="006C7C23" w:rsidP="004622EC">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2. Permits risk</w:t>
            </w:r>
          </w:p>
        </w:tc>
        <w:tc>
          <w:tcPr>
            <w:tcW w:w="1328" w:type="dxa"/>
          </w:tcPr>
          <w:p w14:paraId="1DFC675D" w14:textId="77777777" w:rsidR="006C7C23" w:rsidRPr="001F66E3" w:rsidRDefault="006C7C23" w:rsidP="00D33143">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Risk arising from the public sector’s inability to efficiently and transparently administer renewable energy-related approval process</w:t>
            </w:r>
          </w:p>
        </w:tc>
        <w:tc>
          <w:tcPr>
            <w:tcW w:w="0" w:type="auto"/>
          </w:tcPr>
          <w:p w14:paraId="77160C16" w14:textId="77777777" w:rsidR="006C7C23" w:rsidRPr="001F66E3" w:rsidRDefault="006C7C23" w:rsidP="004622EC">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Uncertainty around approval processes; unclear net-metering laws</w:t>
            </w:r>
          </w:p>
        </w:tc>
        <w:tc>
          <w:tcPr>
            <w:tcW w:w="0" w:type="auto"/>
          </w:tcPr>
          <w:p w14:paraId="23DA95C4" w14:textId="77777777" w:rsidR="006C7C23" w:rsidRPr="001F66E3" w:rsidRDefault="006C7C23" w:rsidP="007C13B9">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Approval of small-scale renewable energy projects is under authority of regional governments (as opposed to utility-scale projects, above 25 MW, where the rules have already been set up at the national level). Absence of clear rules and procedures for project approval results in uncertainties, and high transaction costs for potential developers.</w:t>
            </w:r>
          </w:p>
        </w:tc>
      </w:tr>
      <w:tr w:rsidR="006C7C23" w:rsidRPr="001F66E3" w14:paraId="61A59686" w14:textId="77777777" w:rsidTr="006C7C23">
        <w:trPr>
          <w:trHeight w:val="210"/>
        </w:trPr>
        <w:tc>
          <w:tcPr>
            <w:tcW w:w="1230" w:type="dxa"/>
          </w:tcPr>
          <w:p w14:paraId="1900EC97" w14:textId="77777777" w:rsidR="006C7C23" w:rsidRPr="001F66E3" w:rsidRDefault="006C7C23" w:rsidP="008A30D6">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3. Grid/ transmission</w:t>
            </w:r>
          </w:p>
        </w:tc>
        <w:tc>
          <w:tcPr>
            <w:tcW w:w="1328" w:type="dxa"/>
          </w:tcPr>
          <w:p w14:paraId="538118F2" w14:textId="77777777" w:rsidR="006C7C23" w:rsidRPr="001F66E3" w:rsidRDefault="006C7C23" w:rsidP="008A30D6">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Risks arising from limitations in grid management and transmission infrastructure in the country</w:t>
            </w:r>
          </w:p>
        </w:tc>
        <w:tc>
          <w:tcPr>
            <w:tcW w:w="0" w:type="auto"/>
          </w:tcPr>
          <w:p w14:paraId="1AA6EFAE" w14:textId="77777777" w:rsidR="006C7C23" w:rsidRPr="001F66E3" w:rsidRDefault="006C7C23" w:rsidP="008A30D6">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Resistance from distribution companies to connect small scale renewables to the grid due to lack of experience and standards</w:t>
            </w:r>
          </w:p>
        </w:tc>
        <w:tc>
          <w:tcPr>
            <w:tcW w:w="0" w:type="auto"/>
          </w:tcPr>
          <w:p w14:paraId="1145B20B" w14:textId="77777777" w:rsidR="006C7C23" w:rsidRPr="001F66E3" w:rsidRDefault="006C7C23" w:rsidP="007C13B9">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There is very limited number of cases in the country for small-scale renewable energy supplier (e.g. households, building level PV) to be connected to the grid. There is lack of standards for integration and limited experience in grid management of distribution and transmission companies with intermittent sources (e.g. grid management and stability).</w:t>
            </w:r>
          </w:p>
        </w:tc>
      </w:tr>
      <w:tr w:rsidR="006C7C23" w:rsidRPr="001F66E3" w14:paraId="57C16305" w14:textId="77777777" w:rsidTr="006C7C23">
        <w:trPr>
          <w:trHeight w:val="416"/>
        </w:trPr>
        <w:tc>
          <w:tcPr>
            <w:tcW w:w="1230" w:type="dxa"/>
            <w:hideMark/>
          </w:tcPr>
          <w:p w14:paraId="288C8DF0" w14:textId="77777777" w:rsidR="006C7C23" w:rsidRPr="001F66E3" w:rsidRDefault="006C7C23" w:rsidP="004622EC">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4. Social acceptance risk</w:t>
            </w:r>
          </w:p>
        </w:tc>
        <w:tc>
          <w:tcPr>
            <w:tcW w:w="1328" w:type="dxa"/>
          </w:tcPr>
          <w:p w14:paraId="332E024F" w14:textId="77777777" w:rsidR="006C7C23" w:rsidRPr="001F66E3" w:rsidRDefault="006C7C23" w:rsidP="00D33143">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Risks arising from lack of awareness and resistance to renewable energy in communities and among end-users</w:t>
            </w:r>
          </w:p>
        </w:tc>
        <w:tc>
          <w:tcPr>
            <w:tcW w:w="0" w:type="auto"/>
          </w:tcPr>
          <w:p w14:paraId="071B6D8A" w14:textId="77777777" w:rsidR="006C7C23" w:rsidRPr="001F66E3" w:rsidRDefault="006C7C23" w:rsidP="007C13B9">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Resistance by general public and local communities due to unfamiliarity, misinformation/ perceptions and lack of awareness for renewable energy; resistance from incumbent businesses (e.g., diesel based generation) disrupted by renewables</w:t>
            </w:r>
          </w:p>
          <w:p w14:paraId="4245FCA2" w14:textId="77777777" w:rsidR="006C7C23" w:rsidRPr="001F66E3" w:rsidRDefault="006C7C23" w:rsidP="007C13B9">
            <w:pPr>
              <w:spacing w:before="60"/>
              <w:contextualSpacing/>
              <w:rPr>
                <w:rFonts w:asciiTheme="majorHAnsi" w:hAnsiTheme="majorHAnsi" w:cs="Arial"/>
                <w:color w:val="000000"/>
                <w:sz w:val="20"/>
                <w:szCs w:val="20"/>
                <w:lang w:val="en-GB"/>
              </w:rPr>
            </w:pPr>
          </w:p>
          <w:p w14:paraId="11F9A0DB" w14:textId="77777777" w:rsidR="006C7C23" w:rsidRPr="001F66E3" w:rsidRDefault="006C7C23" w:rsidP="004622EC">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Theft and vandalism of renewable energy equipment in local communities; differing norms of "ownership" within communities across cultures</w:t>
            </w:r>
          </w:p>
        </w:tc>
        <w:tc>
          <w:tcPr>
            <w:tcW w:w="0" w:type="auto"/>
          </w:tcPr>
          <w:p w14:paraId="309CA868" w14:textId="77777777" w:rsidR="006C7C23" w:rsidRPr="001F66E3" w:rsidRDefault="006C7C23" w:rsidP="004622EC">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Potential beneficiaries/users of decentralised renewable energy (tenant, farmers, SMEs) lack awareness about technologies and their potential benefits. Renewables are perceived as more risky, expensive energy supply options in comparison with baseline/fossil fuel based energy sources.</w:t>
            </w:r>
          </w:p>
        </w:tc>
      </w:tr>
      <w:tr w:rsidR="006C7C23" w:rsidRPr="001F66E3" w14:paraId="180455A4" w14:textId="77777777" w:rsidTr="006C7C23">
        <w:trPr>
          <w:trHeight w:val="809"/>
        </w:trPr>
        <w:tc>
          <w:tcPr>
            <w:tcW w:w="1230" w:type="dxa"/>
            <w:hideMark/>
          </w:tcPr>
          <w:p w14:paraId="310095E7" w14:textId="77777777" w:rsidR="006C7C23" w:rsidRPr="001F66E3" w:rsidRDefault="006C7C23" w:rsidP="007C13B9">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5. Hardware risk</w:t>
            </w:r>
          </w:p>
        </w:tc>
        <w:tc>
          <w:tcPr>
            <w:tcW w:w="1328" w:type="dxa"/>
          </w:tcPr>
          <w:p w14:paraId="7E8385A6" w14:textId="77777777" w:rsidR="006C7C23" w:rsidRPr="001F66E3" w:rsidRDefault="006C7C23" w:rsidP="00D33143">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Risk arising from limitations in the quality and availability of hardware; issues arising from inefficiencies in the customs process and lack of standards in credit terms, leading to delays in delivery</w:t>
            </w:r>
          </w:p>
        </w:tc>
        <w:tc>
          <w:tcPr>
            <w:tcW w:w="0" w:type="auto"/>
          </w:tcPr>
          <w:p w14:paraId="16AB1D21" w14:textId="77777777" w:rsidR="006C7C23" w:rsidRPr="001F66E3" w:rsidRDefault="006C7C23" w:rsidP="008A30D6">
            <w:pPr>
              <w:spacing w:before="60"/>
              <w:contextualSpacing/>
              <w:rPr>
                <w:rFonts w:asciiTheme="majorHAnsi" w:hAnsiTheme="majorHAnsi" w:cs="Arial"/>
                <w:color w:val="000000"/>
                <w:sz w:val="20"/>
                <w:szCs w:val="20"/>
                <w:lang w:val="en-GB"/>
              </w:rPr>
            </w:pPr>
            <w:r w:rsidRPr="001F66E3">
              <w:rPr>
                <w:rFonts w:asciiTheme="majorHAnsi" w:hAnsiTheme="majorHAnsi" w:cs="Arial"/>
                <w:i/>
                <w:color w:val="000000"/>
                <w:sz w:val="20"/>
                <w:szCs w:val="20"/>
                <w:lang w:val="en-GB"/>
              </w:rPr>
              <w:t>Hardware quality</w:t>
            </w:r>
            <w:r w:rsidRPr="001F66E3">
              <w:rPr>
                <w:rFonts w:asciiTheme="majorHAnsi" w:hAnsiTheme="majorHAnsi" w:cs="Arial"/>
                <w:color w:val="000000"/>
                <w:sz w:val="20"/>
                <w:szCs w:val="20"/>
                <w:lang w:val="en-GB"/>
              </w:rPr>
              <w:t>: Lack of access to information on quality, reliability (performance) and cost of hardware; lack of clarity or uncertainty regarding government technical standards to ensure safety of hardware</w:t>
            </w:r>
          </w:p>
          <w:p w14:paraId="3D893D27" w14:textId="77777777" w:rsidR="006C7C23" w:rsidRPr="001F66E3" w:rsidRDefault="006C7C23" w:rsidP="008A30D6">
            <w:pPr>
              <w:spacing w:before="60"/>
              <w:contextualSpacing/>
              <w:rPr>
                <w:rFonts w:asciiTheme="majorHAnsi" w:hAnsiTheme="majorHAnsi" w:cs="Arial"/>
                <w:color w:val="000000"/>
                <w:sz w:val="20"/>
                <w:szCs w:val="20"/>
                <w:lang w:val="en-GB"/>
              </w:rPr>
            </w:pPr>
          </w:p>
          <w:p w14:paraId="54FBC38E" w14:textId="77777777" w:rsidR="006C7C23" w:rsidRPr="001F66E3" w:rsidRDefault="006C7C23" w:rsidP="008A30D6">
            <w:pPr>
              <w:spacing w:before="60"/>
              <w:contextualSpacing/>
              <w:rPr>
                <w:rFonts w:asciiTheme="majorHAnsi" w:hAnsiTheme="majorHAnsi" w:cs="Arial"/>
                <w:color w:val="000000"/>
                <w:sz w:val="20"/>
                <w:szCs w:val="20"/>
                <w:lang w:val="en-GB"/>
              </w:rPr>
            </w:pPr>
            <w:r w:rsidRPr="001F66E3">
              <w:rPr>
                <w:rFonts w:asciiTheme="majorHAnsi" w:hAnsiTheme="majorHAnsi" w:cs="Arial"/>
                <w:i/>
                <w:color w:val="000000"/>
                <w:sz w:val="20"/>
                <w:szCs w:val="20"/>
                <w:lang w:val="en-GB"/>
              </w:rPr>
              <w:t>Availability of hardware:</w:t>
            </w:r>
            <w:r w:rsidRPr="001F66E3">
              <w:rPr>
                <w:rFonts w:asciiTheme="majorHAnsi" w:hAnsiTheme="majorHAnsi" w:cs="Arial"/>
                <w:color w:val="000000"/>
                <w:sz w:val="20"/>
                <w:szCs w:val="20"/>
                <w:lang w:val="en-GB"/>
              </w:rPr>
              <w:t xml:space="preserve"> Lack of a competitive market for buying hardware (from both international and domestic suppliers)</w:t>
            </w:r>
          </w:p>
          <w:p w14:paraId="5989F5E0" w14:textId="77777777" w:rsidR="006C7C23" w:rsidRPr="001F66E3" w:rsidRDefault="006C7C23" w:rsidP="008A30D6">
            <w:pPr>
              <w:spacing w:before="60"/>
              <w:contextualSpacing/>
              <w:rPr>
                <w:rFonts w:asciiTheme="majorHAnsi" w:hAnsiTheme="majorHAnsi" w:cs="Arial"/>
                <w:color w:val="000000"/>
                <w:sz w:val="20"/>
                <w:szCs w:val="20"/>
                <w:lang w:val="en-GB"/>
              </w:rPr>
            </w:pPr>
          </w:p>
          <w:p w14:paraId="1CAA83AB" w14:textId="77777777" w:rsidR="006C7C23" w:rsidRPr="001F66E3" w:rsidRDefault="006C7C23" w:rsidP="008A30D6">
            <w:pPr>
              <w:spacing w:before="60"/>
              <w:contextualSpacing/>
              <w:rPr>
                <w:rFonts w:asciiTheme="majorHAnsi" w:hAnsiTheme="majorHAnsi" w:cs="Arial"/>
                <w:color w:val="000000"/>
                <w:sz w:val="20"/>
                <w:szCs w:val="20"/>
                <w:lang w:val="en-GB"/>
              </w:rPr>
            </w:pPr>
            <w:r w:rsidRPr="001F66E3">
              <w:rPr>
                <w:rFonts w:asciiTheme="majorHAnsi" w:hAnsiTheme="majorHAnsi" w:cs="Arial"/>
                <w:i/>
                <w:color w:val="000000"/>
                <w:sz w:val="20"/>
                <w:szCs w:val="20"/>
                <w:lang w:val="en-GB"/>
              </w:rPr>
              <w:t>Customs</w:t>
            </w:r>
            <w:r w:rsidRPr="001F66E3">
              <w:rPr>
                <w:rFonts w:asciiTheme="majorHAnsi" w:hAnsiTheme="majorHAnsi" w:cs="Arial"/>
                <w:color w:val="000000"/>
                <w:sz w:val="20"/>
                <w:szCs w:val="20"/>
                <w:lang w:val="en-GB"/>
              </w:rPr>
              <w:t>: Cumbersome customs/clearing process for importing hardware, leading to delays in delivery</w:t>
            </w:r>
          </w:p>
          <w:p w14:paraId="548A032C" w14:textId="77777777" w:rsidR="006C7C23" w:rsidRPr="001F66E3" w:rsidRDefault="006C7C23" w:rsidP="008A30D6">
            <w:pPr>
              <w:spacing w:before="60"/>
              <w:contextualSpacing/>
              <w:rPr>
                <w:rFonts w:asciiTheme="majorHAnsi" w:hAnsiTheme="majorHAnsi" w:cs="Arial"/>
                <w:color w:val="000000"/>
                <w:sz w:val="20"/>
                <w:szCs w:val="20"/>
                <w:lang w:val="en-GB"/>
              </w:rPr>
            </w:pPr>
          </w:p>
          <w:p w14:paraId="4DA896D6" w14:textId="77777777" w:rsidR="006C7C23" w:rsidRPr="001F66E3" w:rsidRDefault="006C7C23" w:rsidP="004622EC">
            <w:pPr>
              <w:spacing w:before="60"/>
              <w:contextualSpacing/>
              <w:rPr>
                <w:rFonts w:asciiTheme="majorHAnsi" w:hAnsiTheme="majorHAnsi" w:cs="Arial"/>
                <w:color w:val="000000"/>
                <w:sz w:val="20"/>
                <w:szCs w:val="20"/>
                <w:lang w:val="en-GB"/>
              </w:rPr>
            </w:pPr>
            <w:r w:rsidRPr="001F66E3">
              <w:rPr>
                <w:rFonts w:asciiTheme="majorHAnsi" w:hAnsiTheme="majorHAnsi" w:cs="Arial"/>
                <w:i/>
                <w:color w:val="000000"/>
                <w:sz w:val="20"/>
                <w:szCs w:val="20"/>
                <w:lang w:val="en-GB"/>
              </w:rPr>
              <w:t>Credit Terms</w:t>
            </w:r>
            <w:r w:rsidRPr="001F66E3">
              <w:rPr>
                <w:rFonts w:asciiTheme="majorHAnsi" w:hAnsiTheme="majorHAnsi" w:cs="Arial"/>
                <w:color w:val="000000"/>
                <w:sz w:val="20"/>
                <w:szCs w:val="20"/>
                <w:lang w:val="en-GB"/>
              </w:rPr>
              <w:t>: Lack of uniform/conducive/standardized credit terms on purchase of small-scale renewable energy hardware, leading to working capital shortages for providers</w:t>
            </w:r>
          </w:p>
        </w:tc>
        <w:tc>
          <w:tcPr>
            <w:tcW w:w="0" w:type="auto"/>
          </w:tcPr>
          <w:p w14:paraId="57AF6024" w14:textId="77777777" w:rsidR="006C7C23" w:rsidRPr="001F66E3" w:rsidRDefault="006C7C23" w:rsidP="004622EC">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Quality and performance of solar PV hardware available to small-scale and residential actors are currently holding back the market. There is a need to improve the quality and have more technically advanced panels available, and also for guarantees for the performance of panels to be made available. Without these being addressed, the sector suffers from reputational issues and businesses providing small-scale RE services are reluctant to enter the sector as they are unable to provide reliable service.</w:t>
            </w:r>
          </w:p>
        </w:tc>
      </w:tr>
      <w:tr w:rsidR="006C7C23" w:rsidRPr="001F66E3" w14:paraId="13CB15D0" w14:textId="77777777" w:rsidTr="006C7C23">
        <w:trPr>
          <w:trHeight w:val="364"/>
        </w:trPr>
        <w:tc>
          <w:tcPr>
            <w:tcW w:w="1230" w:type="dxa"/>
          </w:tcPr>
          <w:p w14:paraId="79563A09" w14:textId="77777777" w:rsidR="006C7C23" w:rsidRPr="001F66E3" w:rsidRDefault="006C7C23" w:rsidP="004622EC">
            <w:pPr>
              <w:keepNext/>
              <w:keepLines/>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6. Labour inputs risk</w:t>
            </w:r>
          </w:p>
        </w:tc>
        <w:tc>
          <w:tcPr>
            <w:tcW w:w="1328" w:type="dxa"/>
          </w:tcPr>
          <w:p w14:paraId="7BFD53B7" w14:textId="77777777" w:rsidR="006C7C23" w:rsidRPr="001F66E3" w:rsidRDefault="006C7C23" w:rsidP="004622EC">
            <w:pPr>
              <w:keepNext/>
              <w:keepLines/>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Risk arising from the lack of skilled and qualified individuals to be employed by the small-scale renewable energy developers</w:t>
            </w:r>
          </w:p>
        </w:tc>
        <w:tc>
          <w:tcPr>
            <w:tcW w:w="0" w:type="auto"/>
          </w:tcPr>
          <w:p w14:paraId="40819BC6" w14:textId="77777777" w:rsidR="006C7C23" w:rsidRPr="001F66E3" w:rsidRDefault="006C7C23" w:rsidP="004622EC">
            <w:pPr>
              <w:keepNext/>
              <w:keepLines/>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Lack of a competitive labor market of educated, skilled and qualified potential employees, leading to higher costs, hiring non-local staff and suboptimal performance</w:t>
            </w:r>
          </w:p>
        </w:tc>
        <w:tc>
          <w:tcPr>
            <w:tcW w:w="0" w:type="auto"/>
          </w:tcPr>
          <w:p w14:paraId="4741E45B" w14:textId="77777777" w:rsidR="006C7C23" w:rsidRPr="001F66E3" w:rsidRDefault="006C7C23" w:rsidP="004622EC">
            <w:pPr>
              <w:keepNext/>
              <w:keepLines/>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Small-scale renewable energy applications are labour intensive in terms of installation and on-going up keeper. For effective scale-up, there is a need to have skilled and qualified potential employees, with accompanying apprenticeships and university certification.</w:t>
            </w:r>
          </w:p>
        </w:tc>
      </w:tr>
      <w:tr w:rsidR="006C7C23" w:rsidRPr="001F66E3" w14:paraId="43F30EFA" w14:textId="77777777" w:rsidTr="006C7C23">
        <w:trPr>
          <w:trHeight w:val="777"/>
        </w:trPr>
        <w:tc>
          <w:tcPr>
            <w:tcW w:w="1230" w:type="dxa"/>
          </w:tcPr>
          <w:p w14:paraId="7110759F" w14:textId="77777777" w:rsidR="006C7C23" w:rsidRPr="001F66E3" w:rsidRDefault="006C7C23" w:rsidP="007C13B9">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7. Developer risks</w:t>
            </w:r>
          </w:p>
        </w:tc>
        <w:tc>
          <w:tcPr>
            <w:tcW w:w="1328" w:type="dxa"/>
          </w:tcPr>
          <w:p w14:paraId="1F7D4349" w14:textId="77777777" w:rsidR="006C7C23" w:rsidRPr="001F66E3" w:rsidRDefault="006C7C23" w:rsidP="007C13B9">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Risks arising from limitations in the developer’s capability to efficiently and effectively design, market, install, operate, and maintain its products and services for its customers</w:t>
            </w:r>
          </w:p>
          <w:p w14:paraId="238AF800" w14:textId="77777777" w:rsidR="006C7C23" w:rsidRPr="001F66E3" w:rsidRDefault="006C7C23" w:rsidP="004622EC">
            <w:pPr>
              <w:spacing w:before="60"/>
              <w:contextualSpacing/>
              <w:rPr>
                <w:rFonts w:asciiTheme="majorHAnsi" w:hAnsiTheme="majorHAnsi" w:cs="Arial"/>
                <w:color w:val="000000"/>
                <w:sz w:val="20"/>
                <w:szCs w:val="20"/>
                <w:lang w:val="en-GB"/>
              </w:rPr>
            </w:pPr>
          </w:p>
        </w:tc>
        <w:tc>
          <w:tcPr>
            <w:tcW w:w="0" w:type="auto"/>
          </w:tcPr>
          <w:p w14:paraId="2558DF7C" w14:textId="77777777" w:rsidR="006C7C23" w:rsidRPr="001F66E3" w:rsidRDefault="006C7C23" w:rsidP="008A30D6">
            <w:pPr>
              <w:spacing w:before="60"/>
              <w:contextualSpacing/>
              <w:rPr>
                <w:rFonts w:asciiTheme="majorHAnsi" w:hAnsiTheme="majorHAnsi" w:cs="Arial"/>
                <w:color w:val="000000"/>
                <w:sz w:val="20"/>
                <w:szCs w:val="20"/>
                <w:lang w:val="en-GB"/>
              </w:rPr>
            </w:pPr>
            <w:r w:rsidRPr="001F66E3">
              <w:rPr>
                <w:rFonts w:asciiTheme="majorHAnsi" w:hAnsiTheme="majorHAnsi" w:cs="Arial"/>
                <w:i/>
                <w:color w:val="000000"/>
                <w:sz w:val="20"/>
                <w:szCs w:val="20"/>
                <w:lang w:val="en-GB"/>
              </w:rPr>
              <w:t xml:space="preserve">Effective execution: Business Planning &amp; Product Design – </w:t>
            </w:r>
            <w:r w:rsidRPr="001F66E3">
              <w:rPr>
                <w:rFonts w:asciiTheme="majorHAnsi" w:hAnsiTheme="majorHAnsi" w:cs="Arial"/>
                <w:color w:val="000000"/>
                <w:sz w:val="20"/>
                <w:szCs w:val="20"/>
                <w:lang w:val="en-GB"/>
              </w:rPr>
              <w:t>Lack of information, capacity, experience, unforeseen events in executing its roles regarding business planning (lack of C-Suite talent) and product design (effectively sizing and evaluating market demand for its products)</w:t>
            </w:r>
          </w:p>
          <w:p w14:paraId="5D825676" w14:textId="77777777" w:rsidR="006C7C23" w:rsidRPr="001F66E3" w:rsidRDefault="006C7C23" w:rsidP="008A30D6">
            <w:pPr>
              <w:spacing w:before="60"/>
              <w:contextualSpacing/>
              <w:rPr>
                <w:rFonts w:asciiTheme="majorHAnsi" w:hAnsiTheme="majorHAnsi" w:cs="Arial"/>
                <w:i/>
                <w:color w:val="000000"/>
                <w:sz w:val="20"/>
                <w:szCs w:val="20"/>
                <w:lang w:val="en-GB"/>
              </w:rPr>
            </w:pPr>
          </w:p>
          <w:p w14:paraId="6C3BD278" w14:textId="77777777" w:rsidR="006C7C23" w:rsidRPr="001F66E3" w:rsidRDefault="006C7C23" w:rsidP="008A30D6">
            <w:pPr>
              <w:spacing w:before="60"/>
              <w:contextualSpacing/>
              <w:rPr>
                <w:rFonts w:asciiTheme="majorHAnsi" w:hAnsiTheme="majorHAnsi" w:cs="Arial"/>
                <w:color w:val="000000"/>
                <w:sz w:val="20"/>
                <w:szCs w:val="20"/>
                <w:lang w:val="en-GB"/>
              </w:rPr>
            </w:pPr>
            <w:r w:rsidRPr="001F66E3">
              <w:rPr>
                <w:rFonts w:asciiTheme="majorHAnsi" w:hAnsiTheme="majorHAnsi" w:cs="Arial"/>
                <w:i/>
                <w:color w:val="000000"/>
                <w:sz w:val="20"/>
                <w:szCs w:val="20"/>
                <w:lang w:val="en-GB"/>
              </w:rPr>
              <w:t>Effective execution: Customer Acquisition/Retention, System Installation, Operation, and Maintenance</w:t>
            </w:r>
            <w:r w:rsidRPr="001F66E3">
              <w:rPr>
                <w:rFonts w:asciiTheme="majorHAnsi" w:hAnsiTheme="majorHAnsi" w:cs="Arial"/>
                <w:color w:val="000000"/>
                <w:sz w:val="20"/>
                <w:szCs w:val="20"/>
                <w:lang w:val="en-GB"/>
              </w:rPr>
              <w:t xml:space="preserve"> - Developer’s challenges (due to lack of information, capacity, experience, unforeseen events) in executing its roles regarding customer acquisition/retention, system installation, distribution, and servicing of its products.  </w:t>
            </w:r>
          </w:p>
          <w:p w14:paraId="4E062B1F" w14:textId="77777777" w:rsidR="006C7C23" w:rsidRPr="001F66E3" w:rsidRDefault="006C7C23" w:rsidP="008A30D6">
            <w:pPr>
              <w:spacing w:before="60"/>
              <w:contextualSpacing/>
              <w:rPr>
                <w:rFonts w:asciiTheme="majorHAnsi" w:hAnsiTheme="majorHAnsi" w:cs="Arial"/>
                <w:color w:val="000000"/>
                <w:sz w:val="20"/>
                <w:szCs w:val="20"/>
                <w:lang w:val="en-GB"/>
              </w:rPr>
            </w:pPr>
          </w:p>
          <w:p w14:paraId="5DB122E5" w14:textId="77777777" w:rsidR="006C7C23" w:rsidRPr="001F66E3" w:rsidRDefault="006C7C23" w:rsidP="004622EC">
            <w:pPr>
              <w:spacing w:before="60"/>
              <w:contextualSpacing/>
              <w:rPr>
                <w:rFonts w:asciiTheme="majorHAnsi" w:hAnsiTheme="majorHAnsi" w:cs="Arial"/>
                <w:color w:val="000000"/>
                <w:sz w:val="20"/>
                <w:szCs w:val="20"/>
                <w:lang w:val="en-GB"/>
              </w:rPr>
            </w:pPr>
            <w:r w:rsidRPr="001F66E3">
              <w:rPr>
                <w:rFonts w:asciiTheme="majorHAnsi" w:hAnsiTheme="majorHAnsi" w:cs="Arial"/>
                <w:i/>
                <w:color w:val="000000"/>
                <w:sz w:val="20"/>
                <w:szCs w:val="20"/>
                <w:lang w:val="en-GB"/>
              </w:rPr>
              <w:t xml:space="preserve">Credit worthiness and cash flow strength: </w:t>
            </w:r>
            <w:r w:rsidRPr="001F66E3">
              <w:rPr>
                <w:rFonts w:asciiTheme="majorHAnsi" w:hAnsiTheme="majorHAnsi" w:cs="Arial"/>
                <w:color w:val="000000"/>
                <w:sz w:val="20"/>
                <w:szCs w:val="20"/>
                <w:lang w:val="en-GB"/>
              </w:rPr>
              <w:t>Inability of developer to secure financing from investors due to (i) lack of credit worthiness, (ii) insufficient cash flows for inventory and receivables management and to meet investors' return requirements, or (iii) limited understanding of requirements for aggregative approaches and the need for standardization and data transparency.</w:t>
            </w:r>
          </w:p>
        </w:tc>
        <w:tc>
          <w:tcPr>
            <w:tcW w:w="0" w:type="auto"/>
          </w:tcPr>
          <w:p w14:paraId="6F9494D6" w14:textId="77777777" w:rsidR="006C7C23" w:rsidRPr="001F66E3" w:rsidRDefault="006C7C23" w:rsidP="004622EC">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Developer credit worthiness and cash flow strength: inability for developer to convey its credit worthiness to investors, inability for developers to secure financing from investors due to lack of credit worthiness, or insufficient cash flows to meet investors' return requirements.</w:t>
            </w:r>
          </w:p>
          <w:p w14:paraId="321EDA4B" w14:textId="77777777" w:rsidR="006C7C23" w:rsidRPr="001F66E3" w:rsidRDefault="006C7C23" w:rsidP="004622EC">
            <w:pPr>
              <w:spacing w:before="60"/>
              <w:contextualSpacing/>
              <w:rPr>
                <w:rFonts w:asciiTheme="majorHAnsi" w:hAnsiTheme="majorHAnsi" w:cs="Arial"/>
                <w:color w:val="000000"/>
                <w:sz w:val="20"/>
                <w:szCs w:val="20"/>
                <w:lang w:val="en-GB"/>
              </w:rPr>
            </w:pPr>
          </w:p>
          <w:p w14:paraId="64A92F28" w14:textId="77777777" w:rsidR="006C7C23" w:rsidRPr="001F66E3" w:rsidRDefault="006C7C23" w:rsidP="004622EC">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Effective execution challenges (capacity, experience, unforeseen events) faced by project developer in effectively executing its various roles such as: design (resource and demand assessment), installation, operations, maintenance and monitoring.</w:t>
            </w:r>
          </w:p>
        </w:tc>
      </w:tr>
      <w:tr w:rsidR="006C7C23" w:rsidRPr="001F66E3" w14:paraId="7A1EBA9A" w14:textId="77777777" w:rsidTr="006C7C23">
        <w:trPr>
          <w:trHeight w:val="1627"/>
        </w:trPr>
        <w:tc>
          <w:tcPr>
            <w:tcW w:w="1230" w:type="dxa"/>
          </w:tcPr>
          <w:p w14:paraId="5E9272DF" w14:textId="77777777" w:rsidR="006C7C23" w:rsidRPr="001F66E3" w:rsidRDefault="006C7C23" w:rsidP="008A30D6">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8. Payment &amp; credit risk</w:t>
            </w:r>
          </w:p>
        </w:tc>
        <w:tc>
          <w:tcPr>
            <w:tcW w:w="1328" w:type="dxa"/>
          </w:tcPr>
          <w:p w14:paraId="334DBDFD" w14:textId="77777777" w:rsidR="006C7C23" w:rsidRPr="001F66E3" w:rsidRDefault="006C7C23" w:rsidP="008A30D6">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Risk arising from customers' willingness and ability, to pay for electricity</w:t>
            </w:r>
          </w:p>
        </w:tc>
        <w:tc>
          <w:tcPr>
            <w:tcW w:w="0" w:type="auto"/>
          </w:tcPr>
          <w:p w14:paraId="487E58BE" w14:textId="77777777" w:rsidR="006C7C23" w:rsidRPr="001F66E3" w:rsidRDefault="006C7C23" w:rsidP="008A30D6">
            <w:pPr>
              <w:spacing w:before="60"/>
              <w:contextualSpacing/>
              <w:rPr>
                <w:rFonts w:asciiTheme="majorHAnsi" w:hAnsiTheme="majorHAnsi" w:cs="Arial"/>
                <w:color w:val="000000"/>
                <w:sz w:val="20"/>
                <w:szCs w:val="20"/>
                <w:lang w:val="en-GB"/>
              </w:rPr>
            </w:pPr>
            <w:r w:rsidRPr="001F66E3">
              <w:rPr>
                <w:rFonts w:asciiTheme="majorHAnsi" w:hAnsiTheme="majorHAnsi" w:cs="Arial"/>
                <w:i/>
                <w:color w:val="000000"/>
                <w:sz w:val="20"/>
                <w:szCs w:val="20"/>
                <w:lang w:val="en-GB"/>
              </w:rPr>
              <w:t>Information on customer credit worthiness</w:t>
            </w:r>
            <w:r w:rsidRPr="001F66E3">
              <w:rPr>
                <w:rFonts w:asciiTheme="majorHAnsi" w:hAnsiTheme="majorHAnsi" w:cs="Arial"/>
                <w:color w:val="000000"/>
                <w:sz w:val="20"/>
                <w:szCs w:val="20"/>
                <w:lang w:val="en-GB"/>
              </w:rPr>
              <w:t>: Lack of customer credit data with which to assess the ability of customers to pay for the down payment on small-scale renewable products, ongoing electricity bills and ancillary equipment (e.g., lights and appliances)</w:t>
            </w:r>
          </w:p>
          <w:p w14:paraId="321F55F4" w14:textId="77777777" w:rsidR="006C7C23" w:rsidRPr="001F66E3" w:rsidRDefault="006C7C23" w:rsidP="008A30D6">
            <w:pPr>
              <w:spacing w:before="60"/>
              <w:contextualSpacing/>
              <w:rPr>
                <w:rFonts w:asciiTheme="majorHAnsi" w:hAnsiTheme="majorHAnsi" w:cs="Arial"/>
                <w:i/>
                <w:color w:val="000000"/>
                <w:sz w:val="20"/>
                <w:szCs w:val="20"/>
                <w:lang w:val="en-GB"/>
              </w:rPr>
            </w:pPr>
          </w:p>
          <w:p w14:paraId="77313ED0" w14:textId="77777777" w:rsidR="006C7C23" w:rsidRPr="001F66E3" w:rsidRDefault="006C7C23" w:rsidP="008A30D6">
            <w:pPr>
              <w:spacing w:before="60"/>
              <w:contextualSpacing/>
              <w:rPr>
                <w:rFonts w:asciiTheme="majorHAnsi" w:hAnsiTheme="majorHAnsi" w:cs="Arial"/>
                <w:i/>
                <w:color w:val="000000"/>
                <w:sz w:val="20"/>
                <w:szCs w:val="20"/>
                <w:lang w:val="en-GB"/>
              </w:rPr>
            </w:pPr>
            <w:r w:rsidRPr="001F66E3">
              <w:rPr>
                <w:rFonts w:asciiTheme="majorHAnsi" w:hAnsiTheme="majorHAnsi" w:cs="Arial"/>
                <w:i/>
                <w:color w:val="000000"/>
                <w:sz w:val="20"/>
                <w:szCs w:val="20"/>
                <w:lang w:val="en-GB"/>
              </w:rPr>
              <w:t>Poor credit worthiness and non-payment:</w:t>
            </w:r>
            <w:r w:rsidRPr="001F66E3">
              <w:rPr>
                <w:rFonts w:asciiTheme="majorHAnsi" w:hAnsiTheme="majorHAnsi" w:cs="Arial"/>
                <w:color w:val="000000"/>
                <w:sz w:val="20"/>
                <w:szCs w:val="20"/>
                <w:lang w:val="en-GB"/>
              </w:rPr>
              <w:t xml:space="preserve"> Risk of delayed, reduced or non-payment by customers due to poor credit worthiness, lack of funds available, theft and social dynamics</w:t>
            </w:r>
          </w:p>
        </w:tc>
        <w:tc>
          <w:tcPr>
            <w:tcW w:w="0" w:type="auto"/>
          </w:tcPr>
          <w:p w14:paraId="3743B536" w14:textId="77777777" w:rsidR="006C7C23" w:rsidRPr="001F66E3" w:rsidRDefault="006C7C23" w:rsidP="00B46FD8">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Kazakhstan has a fairly well developed consumer credit track record and local banks are experienced in providing small loans across most of the country. The risk may apply to a greater extend in remote rural off-grid and transient communities.</w:t>
            </w:r>
          </w:p>
        </w:tc>
      </w:tr>
      <w:tr w:rsidR="006C7C23" w:rsidRPr="001F66E3" w14:paraId="1BAECB24" w14:textId="77777777" w:rsidTr="006C7C23">
        <w:trPr>
          <w:trHeight w:val="1212"/>
        </w:trPr>
        <w:tc>
          <w:tcPr>
            <w:tcW w:w="1230" w:type="dxa"/>
          </w:tcPr>
          <w:p w14:paraId="07E9A7A6" w14:textId="77777777" w:rsidR="006C7C23" w:rsidRPr="001F66E3" w:rsidRDefault="006C7C23" w:rsidP="006C2105">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9. Financing risk</w:t>
            </w:r>
          </w:p>
        </w:tc>
        <w:tc>
          <w:tcPr>
            <w:tcW w:w="1328" w:type="dxa"/>
          </w:tcPr>
          <w:p w14:paraId="29D14EF7" w14:textId="77777777" w:rsidR="006C7C23" w:rsidRPr="001F66E3" w:rsidRDefault="006C7C23" w:rsidP="00D33143">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Risks arising from scarcity of domestic investor capital (debt and equity) for developers, and domestic investors' lack of familiarity with small-scale renewables and appropriate financing structures</w:t>
            </w:r>
          </w:p>
        </w:tc>
        <w:tc>
          <w:tcPr>
            <w:tcW w:w="0" w:type="auto"/>
          </w:tcPr>
          <w:p w14:paraId="5DCF3464" w14:textId="77777777" w:rsidR="006C7C23" w:rsidRPr="001F66E3" w:rsidRDefault="006C7C23" w:rsidP="006C2105">
            <w:pPr>
              <w:spacing w:before="60"/>
              <w:contextualSpacing/>
              <w:rPr>
                <w:rFonts w:asciiTheme="majorHAnsi" w:hAnsiTheme="majorHAnsi" w:cs="Arial"/>
                <w:color w:val="000000"/>
                <w:sz w:val="20"/>
                <w:szCs w:val="20"/>
                <w:lang w:val="en-GB"/>
              </w:rPr>
            </w:pPr>
            <w:r w:rsidRPr="001F66E3">
              <w:rPr>
                <w:rFonts w:asciiTheme="majorHAnsi" w:hAnsiTheme="majorHAnsi" w:cs="Arial"/>
                <w:i/>
                <w:color w:val="000000"/>
                <w:sz w:val="20"/>
                <w:szCs w:val="20"/>
                <w:lang w:val="en-GB"/>
              </w:rPr>
              <w:t>Scarcity of domestic investor capital</w:t>
            </w:r>
            <w:r w:rsidRPr="001F66E3">
              <w:rPr>
                <w:rFonts w:asciiTheme="majorHAnsi" w:hAnsiTheme="majorHAnsi" w:cs="Arial"/>
                <w:color w:val="000000"/>
                <w:sz w:val="20"/>
                <w:szCs w:val="20"/>
                <w:lang w:val="en-GB"/>
              </w:rPr>
              <w:t>: debt and equity for developers to invest in equipment and access working capital</w:t>
            </w:r>
          </w:p>
          <w:p w14:paraId="7119D849" w14:textId="77777777" w:rsidR="006C7C23" w:rsidRPr="001F66E3" w:rsidRDefault="006C7C23" w:rsidP="006C2105">
            <w:pPr>
              <w:spacing w:before="60"/>
              <w:contextualSpacing/>
              <w:rPr>
                <w:rFonts w:asciiTheme="majorHAnsi" w:hAnsiTheme="majorHAnsi" w:cs="Arial"/>
                <w:color w:val="000000"/>
                <w:sz w:val="20"/>
                <w:szCs w:val="20"/>
                <w:lang w:val="en-GB"/>
              </w:rPr>
            </w:pPr>
          </w:p>
          <w:p w14:paraId="078B614F" w14:textId="77777777" w:rsidR="006C7C23" w:rsidRPr="001F66E3" w:rsidRDefault="006C7C23" w:rsidP="006C2105">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Domestic investors' lack of familiarity with small-scale renewables and appropriate financing structures to such markets</w:t>
            </w:r>
          </w:p>
        </w:tc>
        <w:tc>
          <w:tcPr>
            <w:tcW w:w="0" w:type="auto"/>
          </w:tcPr>
          <w:p w14:paraId="0920BFB0" w14:textId="77777777" w:rsidR="006C7C23" w:rsidRPr="001F66E3" w:rsidRDefault="006C7C23" w:rsidP="004622EC">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No experience with small-scale/decentralised renewables projects: lack of information, assessment skills and track record for renewable energy projects amongst domestic financial sector. No dedicated financing products for small-scale renewable energy with affordable rates.</w:t>
            </w:r>
          </w:p>
        </w:tc>
      </w:tr>
      <w:tr w:rsidR="006C7C23" w:rsidRPr="001F66E3" w14:paraId="0D356E1C" w14:textId="77777777" w:rsidTr="006C7C23">
        <w:trPr>
          <w:trHeight w:val="1212"/>
        </w:trPr>
        <w:tc>
          <w:tcPr>
            <w:tcW w:w="1230" w:type="dxa"/>
          </w:tcPr>
          <w:p w14:paraId="1BB3F334" w14:textId="77777777" w:rsidR="006C7C23" w:rsidRPr="001F66E3" w:rsidRDefault="006C7C23" w:rsidP="008A30D6">
            <w:pPr>
              <w:spacing w:before="60"/>
              <w:contextualSpacing/>
              <w:rPr>
                <w:rFonts w:asciiTheme="majorHAnsi" w:hAnsiTheme="majorHAnsi" w:cs="Arial"/>
                <w:i/>
                <w:color w:val="000000"/>
                <w:sz w:val="20"/>
                <w:szCs w:val="20"/>
                <w:lang w:val="en-GB"/>
              </w:rPr>
            </w:pPr>
            <w:r w:rsidRPr="001F66E3">
              <w:rPr>
                <w:rFonts w:asciiTheme="majorHAnsi" w:hAnsiTheme="majorHAnsi" w:cs="Arial"/>
                <w:color w:val="000000"/>
                <w:sz w:val="20"/>
                <w:szCs w:val="20"/>
                <w:lang w:val="en-GB"/>
              </w:rPr>
              <w:t xml:space="preserve">10. Currency Risk* </w:t>
            </w:r>
          </w:p>
          <w:p w14:paraId="6185E489" w14:textId="77777777" w:rsidR="006C7C23" w:rsidRPr="001F66E3" w:rsidRDefault="006C7C23" w:rsidP="008A30D6">
            <w:pPr>
              <w:spacing w:before="60"/>
              <w:contextualSpacing/>
              <w:rPr>
                <w:rFonts w:asciiTheme="majorHAnsi" w:hAnsiTheme="majorHAnsi" w:cs="Arial"/>
                <w:color w:val="000000"/>
                <w:sz w:val="20"/>
                <w:szCs w:val="20"/>
                <w:lang w:val="en-GB"/>
              </w:rPr>
            </w:pPr>
            <w:r w:rsidRPr="001F66E3">
              <w:rPr>
                <w:rFonts w:asciiTheme="majorHAnsi" w:hAnsiTheme="majorHAnsi" w:cs="Arial"/>
                <w:i/>
                <w:color w:val="000000"/>
                <w:sz w:val="20"/>
                <w:szCs w:val="20"/>
                <w:lang w:val="en-GB"/>
              </w:rPr>
              <w:t>*Note this risk category only applies if financing is in hard currency.</w:t>
            </w:r>
          </w:p>
        </w:tc>
        <w:tc>
          <w:tcPr>
            <w:tcW w:w="1328" w:type="dxa"/>
          </w:tcPr>
          <w:p w14:paraId="689D4305" w14:textId="77777777" w:rsidR="006C7C23" w:rsidRPr="001F66E3" w:rsidRDefault="006C7C23" w:rsidP="008A30D6">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Risks arising from currency mismatch between hard currency debt/equity and domestic currency revenues</w:t>
            </w:r>
          </w:p>
        </w:tc>
        <w:tc>
          <w:tcPr>
            <w:tcW w:w="0" w:type="auto"/>
          </w:tcPr>
          <w:p w14:paraId="7420FC31" w14:textId="77777777" w:rsidR="006C7C23" w:rsidRPr="001F66E3" w:rsidRDefault="006C7C23" w:rsidP="008A30D6">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Uncertainty due to volatile local currency; unfavourable currency exchange rate movements resulting in domestic currency revenues not being sufficient to cover debt/equity servicing.</w:t>
            </w:r>
          </w:p>
        </w:tc>
        <w:tc>
          <w:tcPr>
            <w:tcW w:w="0" w:type="auto"/>
          </w:tcPr>
          <w:p w14:paraId="3077DACA" w14:textId="77777777" w:rsidR="006C7C23" w:rsidRPr="001F66E3" w:rsidRDefault="006C7C23" w:rsidP="008A30D6">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For small-scale renewables financing will be in local currency in Kazakhstan.</w:t>
            </w:r>
          </w:p>
        </w:tc>
      </w:tr>
      <w:tr w:rsidR="006C7C23" w:rsidRPr="001F66E3" w14:paraId="785392F5" w14:textId="77777777" w:rsidTr="006C7C23">
        <w:trPr>
          <w:trHeight w:val="1212"/>
        </w:trPr>
        <w:tc>
          <w:tcPr>
            <w:tcW w:w="1230" w:type="dxa"/>
          </w:tcPr>
          <w:p w14:paraId="55CDEEAE" w14:textId="77777777" w:rsidR="006C7C23" w:rsidRPr="001F66E3" w:rsidRDefault="006C7C23" w:rsidP="008A30D6">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 xml:space="preserve">11. Sovereign risk </w:t>
            </w:r>
          </w:p>
        </w:tc>
        <w:tc>
          <w:tcPr>
            <w:tcW w:w="1328" w:type="dxa"/>
          </w:tcPr>
          <w:p w14:paraId="584A6BA1" w14:textId="77777777" w:rsidR="006C7C23" w:rsidRPr="001F66E3" w:rsidRDefault="006C7C23" w:rsidP="008A30D6">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Risk arising from a mix of cross-cutting political, economic, institutional and social characteristics in the country which are not specific to small-scale renewables</w:t>
            </w:r>
          </w:p>
        </w:tc>
        <w:tc>
          <w:tcPr>
            <w:tcW w:w="0" w:type="auto"/>
          </w:tcPr>
          <w:p w14:paraId="3A0FDC8D" w14:textId="77777777" w:rsidR="006C7C23" w:rsidRPr="001F66E3" w:rsidRDefault="006C7C23" w:rsidP="008A30D6">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Limitations and uncertainty related to conflict, political instability, economic performance, weather events/natural disaster, legal governance, ease of doing business, crime and law enforcement, and infrastructure in the country</w:t>
            </w:r>
          </w:p>
        </w:tc>
        <w:tc>
          <w:tcPr>
            <w:tcW w:w="0" w:type="auto"/>
          </w:tcPr>
          <w:p w14:paraId="0D8CD7A1" w14:textId="77777777" w:rsidR="006C7C23" w:rsidRPr="001F66E3" w:rsidRDefault="006C7C23" w:rsidP="008A30D6">
            <w:pPr>
              <w:spacing w:before="60"/>
              <w:contextualSpacing/>
              <w:rPr>
                <w:rFonts w:asciiTheme="majorHAnsi" w:hAnsiTheme="majorHAnsi" w:cs="Arial"/>
                <w:color w:val="000000"/>
                <w:sz w:val="20"/>
                <w:szCs w:val="20"/>
                <w:lang w:val="en-GB"/>
              </w:rPr>
            </w:pPr>
            <w:r w:rsidRPr="001F66E3">
              <w:rPr>
                <w:rFonts w:asciiTheme="majorHAnsi" w:hAnsiTheme="majorHAnsi" w:cs="Arial"/>
                <w:color w:val="000000"/>
                <w:sz w:val="20"/>
                <w:szCs w:val="20"/>
                <w:lang w:val="en-GB"/>
              </w:rPr>
              <w:t>Most factors under this risk are insignificant in the Kazakh context. Two that are relevant relate to economic performance resulting in currency devaluation (covered under 10 above), and limited infrastructure in distant, remote areas.</w:t>
            </w:r>
          </w:p>
        </w:tc>
      </w:tr>
    </w:tbl>
    <w:p w14:paraId="3939B538" w14:textId="77777777" w:rsidR="007D4109" w:rsidRDefault="007D4109">
      <w:pPr>
        <w:rPr>
          <w:b/>
          <w:smallCaps/>
          <w:spacing w:val="-2"/>
          <w:sz w:val="28"/>
          <w:szCs w:val="28"/>
        </w:rPr>
      </w:pPr>
      <w:bookmarkStart w:id="70" w:name="_Toc207800911"/>
      <w:r>
        <w:rPr>
          <w:szCs w:val="28"/>
        </w:rPr>
        <w:br w:type="page"/>
      </w:r>
    </w:p>
    <w:p w14:paraId="75E9F4B1" w14:textId="77777777" w:rsidR="00D218B7" w:rsidRPr="006004D1" w:rsidRDefault="004C3717" w:rsidP="00D218B7">
      <w:pPr>
        <w:pStyle w:val="1"/>
        <w:spacing w:before="0" w:after="0"/>
        <w:rPr>
          <w:rFonts w:ascii="Calibri" w:hAnsi="Calibri"/>
          <w:szCs w:val="28"/>
        </w:rPr>
      </w:pPr>
      <w:bookmarkStart w:id="71" w:name="_Toc479693881"/>
      <w:r w:rsidRPr="006004D1">
        <w:rPr>
          <w:rFonts w:ascii="Calibri" w:hAnsi="Calibri"/>
          <w:szCs w:val="28"/>
        </w:rPr>
        <w:t>Strategy</w:t>
      </w:r>
      <w:bookmarkEnd w:id="70"/>
      <w:bookmarkEnd w:id="71"/>
    </w:p>
    <w:p w14:paraId="2B5D11DA" w14:textId="77777777" w:rsidR="00393350" w:rsidRPr="006004D1" w:rsidRDefault="00393350" w:rsidP="00841551">
      <w:pPr>
        <w:rPr>
          <w:i/>
          <w:szCs w:val="20"/>
        </w:rPr>
      </w:pPr>
    </w:p>
    <w:p w14:paraId="2C82B33C" w14:textId="77777777" w:rsidR="00257B08" w:rsidRDefault="000D26BE" w:rsidP="0020322F">
      <w:pPr>
        <w:pStyle w:val="a7"/>
        <w:numPr>
          <w:ilvl w:val="0"/>
          <w:numId w:val="9"/>
        </w:numPr>
        <w:tabs>
          <w:tab w:val="clear" w:pos="4153"/>
          <w:tab w:val="clear" w:pos="8306"/>
          <w:tab w:val="left" w:pos="426"/>
          <w:tab w:val="left" w:pos="9356"/>
        </w:tabs>
        <w:spacing w:after="120"/>
        <w:ind w:left="0" w:right="4" w:firstLine="0"/>
        <w:rPr>
          <w:rFonts w:cs="Arial"/>
          <w:szCs w:val="22"/>
          <w:lang w:val="en-GB"/>
        </w:rPr>
      </w:pPr>
      <w:r w:rsidRPr="001E5CB1">
        <w:rPr>
          <w:rFonts w:cs="Arial"/>
          <w:szCs w:val="22"/>
          <w:lang w:val="en-GB"/>
        </w:rPr>
        <w:t xml:space="preserve">The objective of the project is to promote private-sector investment in renewable energy in Kazakhstan </w:t>
      </w:r>
      <w:r w:rsidR="0010388E" w:rsidRPr="001E5CB1">
        <w:rPr>
          <w:rFonts w:cs="Arial"/>
          <w:szCs w:val="22"/>
          <w:lang w:val="en-GB"/>
        </w:rPr>
        <w:t>to</w:t>
      </w:r>
      <w:r w:rsidRPr="001E5CB1">
        <w:rPr>
          <w:rFonts w:cs="Arial"/>
          <w:szCs w:val="22"/>
          <w:lang w:val="en-GB"/>
        </w:rPr>
        <w:t xml:space="preserve"> achieve Kazakhstan’s 2030 and 2050 targets for renewable energy. The project will target both large-scale and small-scale renewable energy. </w:t>
      </w:r>
      <w:r w:rsidRPr="000C61B9">
        <w:rPr>
          <w:rFonts w:cs="Arial"/>
          <w:szCs w:val="22"/>
          <w:lang w:val="en-GB"/>
        </w:rPr>
        <w:t>To achieve this objective, the project will adopt a comprehensive strategy to identify, assess and mitigate investment risks</w:t>
      </w:r>
      <w:r w:rsidR="0027583B" w:rsidRPr="000C61B9">
        <w:rPr>
          <w:rFonts w:cs="Arial"/>
          <w:szCs w:val="22"/>
          <w:lang w:val="en-GB"/>
        </w:rPr>
        <w:t>,</w:t>
      </w:r>
      <w:r w:rsidRPr="000C61B9">
        <w:rPr>
          <w:rFonts w:cs="Arial"/>
          <w:szCs w:val="22"/>
          <w:lang w:val="en-GB"/>
        </w:rPr>
        <w:t xml:space="preserve"> thus creating attractive conditions for private sector investment and market growth.</w:t>
      </w:r>
    </w:p>
    <w:p w14:paraId="2D22D2E0" w14:textId="77777777" w:rsidR="000D26BE" w:rsidRPr="000C61B9" w:rsidRDefault="00257B08" w:rsidP="0020322F">
      <w:pPr>
        <w:pStyle w:val="a7"/>
        <w:numPr>
          <w:ilvl w:val="0"/>
          <w:numId w:val="9"/>
        </w:numPr>
        <w:tabs>
          <w:tab w:val="clear" w:pos="4153"/>
          <w:tab w:val="clear" w:pos="8306"/>
          <w:tab w:val="left" w:pos="426"/>
          <w:tab w:val="left" w:pos="9356"/>
        </w:tabs>
        <w:spacing w:after="120"/>
        <w:ind w:left="0" w:right="4" w:firstLine="0"/>
        <w:rPr>
          <w:rFonts w:cs="Arial"/>
          <w:szCs w:val="22"/>
          <w:lang w:val="en-GB"/>
        </w:rPr>
      </w:pPr>
      <w:r>
        <w:rPr>
          <w:rFonts w:cs="Arial"/>
          <w:szCs w:val="22"/>
          <w:lang w:val="en-GB"/>
        </w:rPr>
        <w:t>The project is structured under three components:</w:t>
      </w:r>
    </w:p>
    <w:p w14:paraId="2C009931" w14:textId="77777777" w:rsidR="00257B08" w:rsidRPr="004622EC" w:rsidRDefault="00257B08" w:rsidP="00257B08">
      <w:pPr>
        <w:pStyle w:val="Normalbullets"/>
        <w:numPr>
          <w:ilvl w:val="0"/>
          <w:numId w:val="0"/>
        </w:numPr>
        <w:ind w:left="360"/>
        <w:contextualSpacing/>
        <w:rPr>
          <w:rFonts w:cs="Arial"/>
          <w:szCs w:val="22"/>
          <w:lang w:eastAsia="ko-KR"/>
        </w:rPr>
      </w:pPr>
      <w:r w:rsidRPr="004622EC">
        <w:rPr>
          <w:rFonts w:cs="Arial"/>
          <w:szCs w:val="22"/>
          <w:lang w:eastAsia="ko-KR"/>
        </w:rPr>
        <w:t xml:space="preserve">Component 1 – Large-Scale Renewable </w:t>
      </w:r>
      <w:r w:rsidR="00A442AA" w:rsidRPr="00C953AA">
        <w:rPr>
          <w:rFonts w:cs="Arial"/>
          <w:szCs w:val="22"/>
          <w:lang w:eastAsia="ko-KR"/>
        </w:rPr>
        <w:t>Energy: Policy and Financial De</w:t>
      </w:r>
      <w:r w:rsidRPr="004622EC">
        <w:rPr>
          <w:rFonts w:cs="Arial"/>
          <w:szCs w:val="22"/>
          <w:lang w:eastAsia="ko-KR"/>
        </w:rPr>
        <w:t>risking Measures</w:t>
      </w:r>
    </w:p>
    <w:p w14:paraId="2E01C106" w14:textId="77777777" w:rsidR="00257B08" w:rsidRPr="004622EC" w:rsidRDefault="00257B08" w:rsidP="00257B08">
      <w:pPr>
        <w:pStyle w:val="Normalbullets"/>
        <w:numPr>
          <w:ilvl w:val="0"/>
          <w:numId w:val="0"/>
        </w:numPr>
        <w:ind w:left="360"/>
        <w:contextualSpacing/>
        <w:rPr>
          <w:rFonts w:cs="Arial"/>
          <w:szCs w:val="22"/>
          <w:lang w:eastAsia="ko-KR"/>
        </w:rPr>
      </w:pPr>
      <w:r w:rsidRPr="004622EC">
        <w:rPr>
          <w:rFonts w:cs="Arial"/>
          <w:szCs w:val="22"/>
          <w:lang w:eastAsia="ko-KR"/>
        </w:rPr>
        <w:t>Component 2 – Renewable Energy for Life: Policy Derisking</w:t>
      </w:r>
    </w:p>
    <w:p w14:paraId="1456BCF4" w14:textId="77777777" w:rsidR="00257B08" w:rsidRPr="004622EC" w:rsidRDefault="00257B08" w:rsidP="00257B08">
      <w:pPr>
        <w:pStyle w:val="Normalbullets"/>
        <w:numPr>
          <w:ilvl w:val="0"/>
          <w:numId w:val="0"/>
        </w:numPr>
        <w:ind w:left="360"/>
        <w:contextualSpacing/>
        <w:rPr>
          <w:rFonts w:cs="Arial"/>
          <w:szCs w:val="22"/>
          <w:lang w:eastAsia="ko-KR"/>
        </w:rPr>
      </w:pPr>
      <w:r w:rsidRPr="004622EC">
        <w:rPr>
          <w:rFonts w:cs="Arial"/>
          <w:szCs w:val="22"/>
          <w:lang w:eastAsia="ko-KR"/>
        </w:rPr>
        <w:t>Component 3 – Renewabl</w:t>
      </w:r>
      <w:r w:rsidR="00A442AA" w:rsidRPr="00C953AA">
        <w:rPr>
          <w:rFonts w:cs="Arial"/>
          <w:szCs w:val="22"/>
          <w:lang w:eastAsia="ko-KR"/>
        </w:rPr>
        <w:t xml:space="preserve">e Energy </w:t>
      </w:r>
      <w:r w:rsidR="00A442AA" w:rsidRPr="002B343A">
        <w:rPr>
          <w:rFonts w:cs="Arial"/>
          <w:szCs w:val="22"/>
          <w:lang w:eastAsia="ko-KR"/>
        </w:rPr>
        <w:t>for Life: Financial De</w:t>
      </w:r>
      <w:r w:rsidRPr="004622EC">
        <w:rPr>
          <w:rFonts w:cs="Arial"/>
          <w:szCs w:val="22"/>
          <w:lang w:eastAsia="ko-KR"/>
        </w:rPr>
        <w:t>risking and Incentives</w:t>
      </w:r>
    </w:p>
    <w:p w14:paraId="5E9B91D7" w14:textId="77777777" w:rsidR="000D26BE" w:rsidRDefault="00257B08" w:rsidP="000D26BE">
      <w:pPr>
        <w:pStyle w:val="a7"/>
        <w:tabs>
          <w:tab w:val="clear" w:pos="4153"/>
          <w:tab w:val="clear" w:pos="8306"/>
          <w:tab w:val="center" w:pos="4320"/>
          <w:tab w:val="right" w:pos="8640"/>
        </w:tabs>
        <w:rPr>
          <w:szCs w:val="22"/>
        </w:rPr>
      </w:pPr>
      <w:r>
        <w:rPr>
          <w:szCs w:val="22"/>
        </w:rPr>
        <w:t>with cross-cutting activities related to knowledge management, and monitoring and evaluation included within these components.</w:t>
      </w:r>
    </w:p>
    <w:p w14:paraId="1136BD99" w14:textId="77777777" w:rsidR="000D26BE" w:rsidRPr="004622EC" w:rsidRDefault="000D26BE" w:rsidP="004622EC">
      <w:pPr>
        <w:pStyle w:val="a7"/>
        <w:spacing w:before="360" w:after="120"/>
        <w:rPr>
          <w:b/>
          <w:bCs/>
          <w:szCs w:val="22"/>
        </w:rPr>
      </w:pPr>
      <w:r w:rsidRPr="004622EC">
        <w:rPr>
          <w:b/>
          <w:bCs/>
          <w:szCs w:val="22"/>
        </w:rPr>
        <w:t>Component 1: Large-Scale Renewable Energy: Policy and Financial Derisking Measures</w:t>
      </w:r>
    </w:p>
    <w:p w14:paraId="7C145DE9" w14:textId="77777777" w:rsidR="00794DFE" w:rsidRPr="00794DFE" w:rsidRDefault="000D26BE" w:rsidP="0020322F">
      <w:pPr>
        <w:pStyle w:val="a7"/>
        <w:numPr>
          <w:ilvl w:val="0"/>
          <w:numId w:val="9"/>
        </w:numPr>
        <w:tabs>
          <w:tab w:val="clear" w:pos="4153"/>
          <w:tab w:val="clear" w:pos="8306"/>
          <w:tab w:val="left" w:pos="426"/>
          <w:tab w:val="left" w:pos="9356"/>
        </w:tabs>
        <w:spacing w:after="120"/>
        <w:ind w:left="0" w:right="4" w:firstLine="0"/>
        <w:rPr>
          <w:rFonts w:cs="Arial"/>
          <w:szCs w:val="22"/>
          <w:lang w:val="en-GB"/>
        </w:rPr>
      </w:pPr>
      <w:r>
        <w:rPr>
          <w:rFonts w:cs="Arial"/>
          <w:szCs w:val="22"/>
          <w:lang w:val="en-GB"/>
        </w:rPr>
        <w:t>The f</w:t>
      </w:r>
      <w:r w:rsidRPr="006004D1">
        <w:rPr>
          <w:rFonts w:cs="Arial"/>
          <w:szCs w:val="22"/>
          <w:lang w:val="en-GB"/>
        </w:rPr>
        <w:t xml:space="preserve">irst component of the project will support the implementation of government policies and programmes to address the </w:t>
      </w:r>
      <w:r>
        <w:rPr>
          <w:rFonts w:cs="Arial"/>
          <w:szCs w:val="22"/>
          <w:lang w:val="en-GB"/>
        </w:rPr>
        <w:t xml:space="preserve">identified </w:t>
      </w:r>
      <w:r w:rsidRPr="006004D1">
        <w:rPr>
          <w:rFonts w:cs="Arial"/>
          <w:szCs w:val="22"/>
          <w:lang w:val="en-GB"/>
        </w:rPr>
        <w:t xml:space="preserve">barriers and risks to investment in large-scale renewable energy. This component will also provide technical assistance to support the design of </w:t>
      </w:r>
      <w:r>
        <w:rPr>
          <w:rFonts w:cs="Arial"/>
          <w:szCs w:val="22"/>
          <w:lang w:val="en-GB"/>
        </w:rPr>
        <w:t xml:space="preserve">policy and </w:t>
      </w:r>
      <w:r w:rsidRPr="006004D1">
        <w:rPr>
          <w:rFonts w:cs="Arial"/>
          <w:szCs w:val="22"/>
          <w:lang w:val="en-GB"/>
        </w:rPr>
        <w:t xml:space="preserve">financial instruments </w:t>
      </w:r>
      <w:r>
        <w:rPr>
          <w:rFonts w:cs="Arial"/>
          <w:szCs w:val="22"/>
          <w:lang w:val="en-GB"/>
        </w:rPr>
        <w:t xml:space="preserve">to </w:t>
      </w:r>
      <w:r w:rsidRPr="006004D1">
        <w:rPr>
          <w:rFonts w:cs="Arial"/>
          <w:szCs w:val="22"/>
          <w:lang w:val="en-GB"/>
        </w:rPr>
        <w:t xml:space="preserve">promote investment and reach </w:t>
      </w:r>
      <w:r>
        <w:rPr>
          <w:rFonts w:cs="Arial"/>
          <w:szCs w:val="22"/>
          <w:lang w:val="en-GB"/>
        </w:rPr>
        <w:t xml:space="preserve">the </w:t>
      </w:r>
      <w:r w:rsidRPr="006004D1">
        <w:rPr>
          <w:rFonts w:cs="Arial"/>
          <w:szCs w:val="22"/>
          <w:lang w:val="en-GB"/>
        </w:rPr>
        <w:t>2030 target.</w:t>
      </w:r>
      <w:r w:rsidR="0049278A">
        <w:rPr>
          <w:rFonts w:cs="Arial"/>
          <w:szCs w:val="22"/>
          <w:lang w:val="en-GB"/>
        </w:rPr>
        <w:t xml:space="preserve"> </w:t>
      </w:r>
      <w:r w:rsidR="0049278A" w:rsidRPr="0049278A">
        <w:rPr>
          <w:rFonts w:cs="Arial"/>
          <w:szCs w:val="22"/>
          <w:lang w:val="en-GB"/>
        </w:rPr>
        <w:t>The component (and the outcomes associated with it) are guided by the DREI analysis and its findings</w:t>
      </w:r>
      <w:r w:rsidR="00257B08">
        <w:rPr>
          <w:rFonts w:cs="Arial"/>
          <w:szCs w:val="22"/>
          <w:lang w:val="en-GB"/>
        </w:rPr>
        <w:t xml:space="preserve"> as described in the previous section</w:t>
      </w:r>
      <w:r w:rsidR="0049278A" w:rsidRPr="0049278A">
        <w:rPr>
          <w:rFonts w:cs="Arial"/>
          <w:szCs w:val="22"/>
          <w:lang w:val="en-GB"/>
        </w:rPr>
        <w:t>.</w:t>
      </w:r>
      <w:r w:rsidR="0049278A">
        <w:rPr>
          <w:rFonts w:cs="Arial"/>
          <w:szCs w:val="22"/>
          <w:lang w:val="en-GB"/>
        </w:rPr>
        <w:t xml:space="preserve"> </w:t>
      </w:r>
      <w:r w:rsidR="0049278A" w:rsidRPr="00794DFE">
        <w:rPr>
          <w:rFonts w:cs="Arial"/>
          <w:szCs w:val="22"/>
          <w:lang w:val="en-GB"/>
        </w:rPr>
        <w:t xml:space="preserve">The areas of interventions are selected </w:t>
      </w:r>
      <w:r w:rsidR="00087334" w:rsidRPr="00794DFE">
        <w:rPr>
          <w:rFonts w:cs="Arial"/>
          <w:szCs w:val="22"/>
          <w:lang w:val="en-GB"/>
        </w:rPr>
        <w:t>to</w:t>
      </w:r>
      <w:r w:rsidR="0049278A" w:rsidRPr="00794DFE">
        <w:rPr>
          <w:rFonts w:cs="Arial"/>
          <w:szCs w:val="22"/>
          <w:lang w:val="en-GB"/>
        </w:rPr>
        <w:t xml:space="preserve"> target the risk categories identified for Kazakhstan</w:t>
      </w:r>
      <w:r w:rsidR="0049278A" w:rsidRPr="004622EC">
        <w:rPr>
          <w:rFonts w:cs="Arial"/>
          <w:szCs w:val="22"/>
          <w:lang w:val="en-GB"/>
        </w:rPr>
        <w:t xml:space="preserve"> (</w:t>
      </w:r>
      <w:r w:rsidR="00257B08" w:rsidRPr="004622EC">
        <w:rPr>
          <w:rFonts w:cs="Arial"/>
          <w:szCs w:val="22"/>
          <w:lang w:val="en-GB"/>
        </w:rPr>
        <w:fldChar w:fldCharType="begin"/>
      </w:r>
      <w:r w:rsidR="00257B08" w:rsidRPr="004622EC">
        <w:rPr>
          <w:rFonts w:cs="Arial"/>
          <w:szCs w:val="22"/>
          <w:lang w:val="en-GB"/>
        </w:rPr>
        <w:instrText xml:space="preserve"> REF _Ref464048599 \h </w:instrText>
      </w:r>
      <w:r w:rsidR="00257B08">
        <w:rPr>
          <w:rFonts w:cs="Arial"/>
          <w:szCs w:val="22"/>
          <w:lang w:val="en-GB"/>
        </w:rPr>
        <w:instrText xml:space="preserve"> \* MERGEFORMAT </w:instrText>
      </w:r>
      <w:r w:rsidR="00257B08" w:rsidRPr="004622EC">
        <w:rPr>
          <w:rFonts w:cs="Arial"/>
          <w:szCs w:val="22"/>
          <w:lang w:val="en-GB"/>
        </w:rPr>
      </w:r>
      <w:r w:rsidR="00257B08" w:rsidRPr="004622EC">
        <w:rPr>
          <w:rFonts w:cs="Arial"/>
          <w:szCs w:val="22"/>
          <w:lang w:val="en-GB"/>
        </w:rPr>
        <w:fldChar w:fldCharType="separate"/>
      </w:r>
      <w:r w:rsidR="00921873" w:rsidRPr="00921873">
        <w:rPr>
          <w:rFonts w:cs="Arial"/>
          <w:szCs w:val="22"/>
          <w:lang w:val="en-GB"/>
        </w:rPr>
        <w:t>Table 2</w:t>
      </w:r>
      <w:r w:rsidR="00257B08" w:rsidRPr="004622EC">
        <w:rPr>
          <w:rFonts w:cs="Arial"/>
          <w:szCs w:val="22"/>
          <w:lang w:val="en-GB"/>
        </w:rPr>
        <w:fldChar w:fldCharType="end"/>
      </w:r>
      <w:r w:rsidR="00257B08" w:rsidRPr="004622EC">
        <w:rPr>
          <w:rFonts w:cs="Arial"/>
          <w:szCs w:val="22"/>
          <w:lang w:val="en-GB"/>
        </w:rPr>
        <w:t>)</w:t>
      </w:r>
      <w:r w:rsidR="0049278A" w:rsidRPr="004622EC">
        <w:rPr>
          <w:rFonts w:cs="Arial"/>
          <w:szCs w:val="22"/>
          <w:lang w:val="en-GB"/>
        </w:rPr>
        <w:t>.</w:t>
      </w:r>
      <w:r w:rsidR="00794DFE" w:rsidRPr="004622EC">
        <w:rPr>
          <w:rFonts w:cs="Arial"/>
          <w:szCs w:val="22"/>
          <w:lang w:val="en-GB"/>
        </w:rPr>
        <w:t xml:space="preserve"> </w:t>
      </w:r>
      <w:r w:rsidR="00B34DA9" w:rsidRPr="004622EC">
        <w:rPr>
          <w:rFonts w:cs="Arial"/>
          <w:szCs w:val="22"/>
          <w:lang w:val="en-GB"/>
        </w:rPr>
        <w:t xml:space="preserve">The </w:t>
      </w:r>
      <w:r w:rsidR="00794DFE" w:rsidRPr="00794DFE">
        <w:rPr>
          <w:rFonts w:cs="Arial"/>
          <w:szCs w:val="22"/>
          <w:lang w:val="en-GB"/>
        </w:rPr>
        <w:t>DREI methodology will be used throughout the project</w:t>
      </w:r>
      <w:r w:rsidR="00794DFE">
        <w:rPr>
          <w:rFonts w:cs="Arial"/>
          <w:szCs w:val="22"/>
          <w:lang w:val="en-GB"/>
        </w:rPr>
        <w:t xml:space="preserve"> implementation</w:t>
      </w:r>
      <w:r w:rsidR="00794DFE" w:rsidRPr="00794DFE">
        <w:rPr>
          <w:rFonts w:cs="Arial"/>
          <w:szCs w:val="22"/>
          <w:lang w:val="en-GB"/>
        </w:rPr>
        <w:t>, as the basis for further analy</w:t>
      </w:r>
      <w:r w:rsidR="007241CF">
        <w:rPr>
          <w:rFonts w:cs="Arial"/>
          <w:szCs w:val="22"/>
          <w:lang w:val="en-GB"/>
        </w:rPr>
        <w:t>ses (for example tariff setting</w:t>
      </w:r>
      <w:r w:rsidR="00794DFE" w:rsidRPr="00794DFE">
        <w:rPr>
          <w:rFonts w:cs="Arial"/>
          <w:szCs w:val="22"/>
          <w:lang w:val="en-GB"/>
        </w:rPr>
        <w:t>) and adaptive management.</w:t>
      </w:r>
    </w:p>
    <w:p w14:paraId="3463B0DA" w14:textId="77777777" w:rsidR="00CD1B2D" w:rsidRPr="00CD1B2D" w:rsidRDefault="0012084C" w:rsidP="0020322F">
      <w:pPr>
        <w:pStyle w:val="a7"/>
        <w:numPr>
          <w:ilvl w:val="0"/>
          <w:numId w:val="9"/>
        </w:numPr>
        <w:tabs>
          <w:tab w:val="clear" w:pos="4153"/>
          <w:tab w:val="clear" w:pos="8306"/>
          <w:tab w:val="left" w:pos="426"/>
          <w:tab w:val="left" w:pos="9356"/>
        </w:tabs>
        <w:spacing w:after="120"/>
        <w:ind w:left="0" w:right="4" w:firstLine="0"/>
        <w:rPr>
          <w:rFonts w:cs="Arial"/>
          <w:szCs w:val="22"/>
          <w:lang w:val="en-GB"/>
        </w:rPr>
      </w:pPr>
      <w:r>
        <w:rPr>
          <w:rFonts w:cs="Arial"/>
          <w:szCs w:val="22"/>
          <w:lang w:val="en-GB"/>
        </w:rPr>
        <w:t>Under</w:t>
      </w:r>
      <w:r w:rsidR="00257B08">
        <w:rPr>
          <w:rFonts w:cs="Arial"/>
          <w:szCs w:val="22"/>
          <w:lang w:val="en-GB"/>
        </w:rPr>
        <w:t xml:space="preserve"> t</w:t>
      </w:r>
      <w:r w:rsidR="000D26BE" w:rsidRPr="006004D1">
        <w:rPr>
          <w:rFonts w:cs="Arial"/>
          <w:szCs w:val="22"/>
          <w:lang w:val="en-GB"/>
        </w:rPr>
        <w:t xml:space="preserve">his </w:t>
      </w:r>
      <w:r w:rsidR="00794DFE">
        <w:rPr>
          <w:rFonts w:cs="Arial"/>
          <w:szCs w:val="22"/>
          <w:lang w:val="en-GB"/>
        </w:rPr>
        <w:t xml:space="preserve">component </w:t>
      </w:r>
      <w:r w:rsidR="00F53FF0">
        <w:rPr>
          <w:rFonts w:cs="Arial"/>
          <w:szCs w:val="22"/>
        </w:rPr>
        <w:t>technical assistance</w:t>
      </w:r>
      <w:r w:rsidR="000D26BE">
        <w:rPr>
          <w:rFonts w:cs="Arial"/>
          <w:szCs w:val="22"/>
          <w:lang w:val="en-GB"/>
        </w:rPr>
        <w:t xml:space="preserve"> </w:t>
      </w:r>
      <w:r w:rsidR="00257B08">
        <w:rPr>
          <w:rFonts w:cs="Arial"/>
          <w:szCs w:val="22"/>
          <w:lang w:val="en-GB"/>
        </w:rPr>
        <w:t xml:space="preserve">will be </w:t>
      </w:r>
      <w:r w:rsidR="0027583B">
        <w:rPr>
          <w:rFonts w:cs="Arial"/>
          <w:szCs w:val="22"/>
          <w:lang w:val="en-GB"/>
        </w:rPr>
        <w:t xml:space="preserve">provided to </w:t>
      </w:r>
      <w:r w:rsidR="000D26BE">
        <w:rPr>
          <w:rFonts w:cs="Arial"/>
          <w:szCs w:val="22"/>
          <w:lang w:val="en-GB"/>
        </w:rPr>
        <w:t>the Ministry of Energy</w:t>
      </w:r>
      <w:r w:rsidR="000D26BE" w:rsidRPr="006004D1">
        <w:rPr>
          <w:rFonts w:cs="Arial"/>
          <w:szCs w:val="22"/>
          <w:lang w:val="en-GB"/>
        </w:rPr>
        <w:t>. Th</w:t>
      </w:r>
      <w:r w:rsidR="000D26BE">
        <w:rPr>
          <w:rFonts w:cs="Arial"/>
          <w:szCs w:val="22"/>
          <w:lang w:val="en-GB"/>
        </w:rPr>
        <w:t>e</w:t>
      </w:r>
      <w:r w:rsidR="000D26BE" w:rsidRPr="006004D1">
        <w:rPr>
          <w:rFonts w:cs="Arial"/>
          <w:szCs w:val="22"/>
          <w:lang w:val="en-GB"/>
        </w:rPr>
        <w:t xml:space="preserve"> component will</w:t>
      </w:r>
      <w:r w:rsidR="008A624A">
        <w:rPr>
          <w:rFonts w:cs="Arial"/>
          <w:szCs w:val="22"/>
          <w:lang w:val="en-GB"/>
        </w:rPr>
        <w:t>,</w:t>
      </w:r>
      <w:r w:rsidR="00B34DA9">
        <w:rPr>
          <w:rFonts w:cs="Arial"/>
          <w:szCs w:val="22"/>
          <w:lang w:val="en-GB"/>
        </w:rPr>
        <w:t xml:space="preserve"> as far as possible</w:t>
      </w:r>
      <w:r w:rsidR="008A624A">
        <w:rPr>
          <w:rFonts w:cs="Arial"/>
          <w:szCs w:val="22"/>
          <w:lang w:val="en-GB"/>
        </w:rPr>
        <w:t>,</w:t>
      </w:r>
      <w:r w:rsidR="000D26BE" w:rsidRPr="006004D1">
        <w:rPr>
          <w:rFonts w:cs="Arial"/>
          <w:szCs w:val="22"/>
          <w:lang w:val="en-GB"/>
        </w:rPr>
        <w:t xml:space="preserve"> </w:t>
      </w:r>
      <w:r w:rsidR="00B34DA9">
        <w:rPr>
          <w:rFonts w:cs="Arial"/>
          <w:szCs w:val="22"/>
          <w:lang w:val="en-GB"/>
        </w:rPr>
        <w:t xml:space="preserve">work in </w:t>
      </w:r>
      <w:r w:rsidR="000D26BE" w:rsidRPr="006004D1">
        <w:rPr>
          <w:rFonts w:cs="Arial"/>
          <w:szCs w:val="22"/>
          <w:lang w:val="en-GB"/>
        </w:rPr>
        <w:t xml:space="preserve">close collaboration and coordination with </w:t>
      </w:r>
      <w:r w:rsidR="000D26BE">
        <w:rPr>
          <w:rFonts w:cs="Arial"/>
          <w:szCs w:val="22"/>
          <w:lang w:val="en-GB"/>
        </w:rPr>
        <w:t>other international organisations including</w:t>
      </w:r>
      <w:r w:rsidR="000D26BE" w:rsidRPr="006004D1">
        <w:rPr>
          <w:rFonts w:cs="Arial"/>
          <w:szCs w:val="22"/>
          <w:lang w:val="en-GB"/>
        </w:rPr>
        <w:t xml:space="preserve"> </w:t>
      </w:r>
      <w:r w:rsidR="000D26BE">
        <w:rPr>
          <w:rFonts w:cs="Arial"/>
          <w:szCs w:val="22"/>
          <w:lang w:val="en-GB"/>
        </w:rPr>
        <w:t xml:space="preserve">IFC, EBRD, USAID, AsDB </w:t>
      </w:r>
      <w:r w:rsidR="000D26BE" w:rsidRPr="006004D1">
        <w:rPr>
          <w:rFonts w:cs="Arial"/>
          <w:szCs w:val="22"/>
          <w:lang w:val="en-GB"/>
        </w:rPr>
        <w:t xml:space="preserve">and the IDB. The focus </w:t>
      </w:r>
      <w:r>
        <w:rPr>
          <w:rFonts w:cs="Arial"/>
          <w:szCs w:val="22"/>
          <w:lang w:val="en-GB"/>
        </w:rPr>
        <w:t xml:space="preserve">of collaboration and coordination </w:t>
      </w:r>
      <w:r w:rsidR="000D26BE" w:rsidRPr="006004D1">
        <w:rPr>
          <w:rFonts w:cs="Arial"/>
          <w:szCs w:val="22"/>
          <w:lang w:val="en-GB"/>
        </w:rPr>
        <w:t>will be on ensuring the overall most efficient and cost-effective approaches to catalysing large-sc</w:t>
      </w:r>
      <w:r w:rsidR="000D26BE">
        <w:rPr>
          <w:rFonts w:cs="Arial"/>
          <w:szCs w:val="22"/>
          <w:lang w:val="en-GB"/>
        </w:rPr>
        <w:t xml:space="preserve">ale renewable energy investment via provision of </w:t>
      </w:r>
      <w:r w:rsidR="00972099">
        <w:rPr>
          <w:rFonts w:cs="Arial"/>
          <w:szCs w:val="22"/>
          <w:lang w:val="en-GB"/>
        </w:rPr>
        <w:t>a combination of financial and policy derisking instruments</w:t>
      </w:r>
      <w:r w:rsidR="000D26BE">
        <w:rPr>
          <w:rFonts w:cs="Arial"/>
          <w:szCs w:val="22"/>
          <w:lang w:val="en-GB"/>
        </w:rPr>
        <w:t xml:space="preserve">. </w:t>
      </w:r>
    </w:p>
    <w:p w14:paraId="6F8462C0" w14:textId="77777777" w:rsidR="00642D86" w:rsidRPr="000C109D" w:rsidRDefault="000D26BE" w:rsidP="00197B58">
      <w:pPr>
        <w:pStyle w:val="a7"/>
        <w:tabs>
          <w:tab w:val="clear" w:pos="4153"/>
          <w:tab w:val="clear" w:pos="8306"/>
          <w:tab w:val="left" w:pos="426"/>
        </w:tabs>
        <w:spacing w:after="120"/>
        <w:ind w:left="1170" w:right="288" w:hanging="1170"/>
        <w:rPr>
          <w:rFonts w:cs="Arial"/>
          <w:szCs w:val="22"/>
          <w:lang w:val="en-GB"/>
        </w:rPr>
      </w:pPr>
      <w:r w:rsidRPr="008E1519">
        <w:rPr>
          <w:rFonts w:cs="Arial"/>
          <w:b/>
          <w:i/>
          <w:szCs w:val="22"/>
          <w:lang w:val="en-GB"/>
        </w:rPr>
        <w:t>Outcome 1: Appropriate policies, programmes and regulations are in place to reduce investors’ risks, scale-up investment and enable the achievement of 2030 RES target</w:t>
      </w:r>
    </w:p>
    <w:p w14:paraId="44CD4B7F" w14:textId="77777777" w:rsidR="000C109D" w:rsidRDefault="00972099" w:rsidP="0020322F">
      <w:pPr>
        <w:pStyle w:val="a7"/>
        <w:numPr>
          <w:ilvl w:val="0"/>
          <w:numId w:val="9"/>
        </w:numPr>
        <w:tabs>
          <w:tab w:val="clear" w:pos="4153"/>
          <w:tab w:val="clear" w:pos="8306"/>
          <w:tab w:val="left" w:pos="426"/>
          <w:tab w:val="left" w:pos="9356"/>
        </w:tabs>
        <w:spacing w:after="120"/>
        <w:ind w:left="0" w:right="4" w:firstLine="0"/>
        <w:rPr>
          <w:rFonts w:cs="Arial"/>
          <w:szCs w:val="22"/>
          <w:lang w:val="en-GB"/>
        </w:rPr>
      </w:pPr>
      <w:r>
        <w:rPr>
          <w:rFonts w:cs="Arial"/>
          <w:szCs w:val="22"/>
          <w:lang w:val="en-GB"/>
        </w:rPr>
        <w:t xml:space="preserve">The DREI Analysis </w:t>
      </w:r>
      <w:r>
        <w:rPr>
          <w:rFonts w:asciiTheme="majorHAnsi" w:hAnsiTheme="majorHAnsi"/>
          <w:szCs w:val="22"/>
        </w:rPr>
        <w:t xml:space="preserve">provides the basis for </w:t>
      </w:r>
      <w:r w:rsidRPr="00227FBA">
        <w:rPr>
          <w:rFonts w:asciiTheme="majorHAnsi" w:hAnsiTheme="majorHAnsi"/>
          <w:szCs w:val="22"/>
        </w:rPr>
        <w:t xml:space="preserve">financial and economic analyses of cost-effective and coordinated design of policy and financial derisking instruments </w:t>
      </w:r>
      <w:r>
        <w:rPr>
          <w:rFonts w:asciiTheme="majorHAnsi" w:hAnsiTheme="majorHAnsi"/>
          <w:szCs w:val="22"/>
        </w:rPr>
        <w:t>for Kazakhstan to a</w:t>
      </w:r>
      <w:r w:rsidRPr="00227FBA">
        <w:rPr>
          <w:rFonts w:asciiTheme="majorHAnsi" w:hAnsiTheme="majorHAnsi"/>
          <w:szCs w:val="22"/>
        </w:rPr>
        <w:t xml:space="preserve">chieve </w:t>
      </w:r>
      <w:r>
        <w:rPr>
          <w:rFonts w:asciiTheme="majorHAnsi" w:hAnsiTheme="majorHAnsi"/>
          <w:szCs w:val="22"/>
        </w:rPr>
        <w:t>its</w:t>
      </w:r>
      <w:r w:rsidRPr="00227FBA">
        <w:rPr>
          <w:rFonts w:asciiTheme="majorHAnsi" w:hAnsiTheme="majorHAnsi"/>
          <w:szCs w:val="22"/>
        </w:rPr>
        <w:t xml:space="preserve"> 2030</w:t>
      </w:r>
      <w:r>
        <w:rPr>
          <w:rFonts w:asciiTheme="majorHAnsi" w:hAnsiTheme="majorHAnsi"/>
          <w:szCs w:val="22"/>
        </w:rPr>
        <w:t xml:space="preserve"> wind and solar PV</w:t>
      </w:r>
      <w:r w:rsidRPr="00227FBA">
        <w:rPr>
          <w:rFonts w:asciiTheme="majorHAnsi" w:hAnsiTheme="majorHAnsi"/>
          <w:szCs w:val="22"/>
        </w:rPr>
        <w:t xml:space="preserve"> target</w:t>
      </w:r>
      <w:r>
        <w:rPr>
          <w:rFonts w:asciiTheme="majorHAnsi" w:hAnsiTheme="majorHAnsi"/>
          <w:szCs w:val="22"/>
        </w:rPr>
        <w:t>s</w:t>
      </w:r>
      <w:r w:rsidRPr="00227FBA">
        <w:rPr>
          <w:rFonts w:asciiTheme="majorHAnsi" w:hAnsiTheme="majorHAnsi"/>
          <w:szCs w:val="22"/>
        </w:rPr>
        <w:t>.</w:t>
      </w:r>
      <w:r>
        <w:rPr>
          <w:rFonts w:cs="Arial"/>
          <w:szCs w:val="22"/>
          <w:lang w:val="en-GB"/>
        </w:rPr>
        <w:t xml:space="preserve">  </w:t>
      </w:r>
      <w:r w:rsidR="000C109D">
        <w:rPr>
          <w:rFonts w:cs="Arial"/>
          <w:szCs w:val="22"/>
          <w:lang w:val="en-GB"/>
        </w:rPr>
        <w:t>The main areas of support</w:t>
      </w:r>
      <w:r w:rsidR="00612836">
        <w:rPr>
          <w:rFonts w:cs="Arial"/>
          <w:szCs w:val="22"/>
          <w:lang w:val="en-GB"/>
        </w:rPr>
        <w:t xml:space="preserve">, reflecting findings from the DREI analysis, </w:t>
      </w:r>
      <w:r w:rsidR="000C109D">
        <w:rPr>
          <w:rFonts w:cs="Arial"/>
          <w:szCs w:val="22"/>
          <w:lang w:val="en-GB"/>
        </w:rPr>
        <w:t>are expected to be:</w:t>
      </w:r>
    </w:p>
    <w:p w14:paraId="12D628C5" w14:textId="77777777" w:rsidR="00012E6B" w:rsidRPr="007029DF" w:rsidRDefault="000C109D" w:rsidP="0020322F">
      <w:pPr>
        <w:pStyle w:val="Normalbullets"/>
        <w:numPr>
          <w:ilvl w:val="0"/>
          <w:numId w:val="49"/>
        </w:numPr>
        <w:contextualSpacing/>
        <w:rPr>
          <w:rFonts w:cs="Arial"/>
          <w:szCs w:val="22"/>
          <w:lang w:eastAsia="ko-KR"/>
        </w:rPr>
      </w:pPr>
      <w:r w:rsidRPr="007029DF">
        <w:rPr>
          <w:rFonts w:cs="Arial"/>
          <w:szCs w:val="22"/>
          <w:lang w:eastAsia="ko-KR"/>
        </w:rPr>
        <w:t xml:space="preserve">Power market </w:t>
      </w:r>
      <w:r w:rsidR="00972099" w:rsidRPr="007029DF">
        <w:rPr>
          <w:rFonts w:cs="Arial"/>
          <w:szCs w:val="22"/>
          <w:lang w:eastAsia="ko-KR"/>
        </w:rPr>
        <w:t>risks</w:t>
      </w:r>
    </w:p>
    <w:p w14:paraId="3CE6DB0B" w14:textId="77777777" w:rsidR="004748B1" w:rsidRPr="007029DF" w:rsidRDefault="004748B1" w:rsidP="0020322F">
      <w:pPr>
        <w:pStyle w:val="Normalbullets"/>
        <w:numPr>
          <w:ilvl w:val="0"/>
          <w:numId w:val="49"/>
        </w:numPr>
        <w:contextualSpacing/>
        <w:rPr>
          <w:rFonts w:cs="Arial"/>
          <w:szCs w:val="22"/>
          <w:lang w:eastAsia="ko-KR"/>
        </w:rPr>
      </w:pPr>
      <w:r w:rsidRPr="007029DF">
        <w:rPr>
          <w:rFonts w:cs="Arial"/>
          <w:szCs w:val="22"/>
          <w:lang w:eastAsia="ko-KR"/>
        </w:rPr>
        <w:t>Permitting risks</w:t>
      </w:r>
    </w:p>
    <w:p w14:paraId="7F6E07CA" w14:textId="77777777" w:rsidR="004748B1" w:rsidRPr="007029DF" w:rsidRDefault="004748B1" w:rsidP="0020322F">
      <w:pPr>
        <w:pStyle w:val="Normalbullets"/>
        <w:numPr>
          <w:ilvl w:val="0"/>
          <w:numId w:val="49"/>
        </w:numPr>
        <w:contextualSpacing/>
        <w:rPr>
          <w:rFonts w:cs="Arial"/>
          <w:szCs w:val="22"/>
          <w:lang w:eastAsia="ko-KR"/>
        </w:rPr>
      </w:pPr>
      <w:r w:rsidRPr="007029DF">
        <w:rPr>
          <w:rFonts w:cs="Arial"/>
          <w:szCs w:val="22"/>
          <w:lang w:eastAsia="ko-KR"/>
        </w:rPr>
        <w:t>Grid and transmission network risks</w:t>
      </w:r>
    </w:p>
    <w:p w14:paraId="3B2DC592" w14:textId="77777777" w:rsidR="00012E6B" w:rsidRPr="007029DF" w:rsidRDefault="00012E6B" w:rsidP="0020322F">
      <w:pPr>
        <w:pStyle w:val="Normalbullets"/>
        <w:numPr>
          <w:ilvl w:val="0"/>
          <w:numId w:val="49"/>
        </w:numPr>
        <w:contextualSpacing/>
        <w:rPr>
          <w:rFonts w:cs="Arial"/>
          <w:szCs w:val="22"/>
          <w:lang w:eastAsia="ko-KR"/>
        </w:rPr>
      </w:pPr>
      <w:r w:rsidRPr="007029DF">
        <w:rPr>
          <w:rFonts w:cs="Arial"/>
          <w:szCs w:val="22"/>
          <w:lang w:eastAsia="ko-KR"/>
        </w:rPr>
        <w:t>Counterparty risks</w:t>
      </w:r>
    </w:p>
    <w:p w14:paraId="66014F2C" w14:textId="77777777" w:rsidR="004748B1" w:rsidRPr="007029DF" w:rsidRDefault="004748B1" w:rsidP="0020322F">
      <w:pPr>
        <w:pStyle w:val="Normalbullets"/>
        <w:numPr>
          <w:ilvl w:val="0"/>
          <w:numId w:val="49"/>
        </w:numPr>
        <w:contextualSpacing/>
        <w:rPr>
          <w:rFonts w:cs="Arial"/>
          <w:szCs w:val="22"/>
          <w:lang w:eastAsia="ko-KR"/>
        </w:rPr>
      </w:pPr>
      <w:r w:rsidRPr="007029DF">
        <w:rPr>
          <w:rFonts w:cs="Arial"/>
          <w:szCs w:val="22"/>
          <w:lang w:eastAsia="ko-KR"/>
        </w:rPr>
        <w:t>Currency risks</w:t>
      </w:r>
      <w:r w:rsidR="0012084C" w:rsidRPr="007029DF">
        <w:rPr>
          <w:rFonts w:cs="Arial"/>
          <w:szCs w:val="22"/>
          <w:lang w:eastAsia="ko-KR"/>
        </w:rPr>
        <w:t>.</w:t>
      </w:r>
    </w:p>
    <w:p w14:paraId="5B4742B8" w14:textId="77777777" w:rsidR="0012084C" w:rsidRPr="00893F45" w:rsidRDefault="000C109D" w:rsidP="0020322F">
      <w:pPr>
        <w:pStyle w:val="a7"/>
        <w:numPr>
          <w:ilvl w:val="0"/>
          <w:numId w:val="9"/>
        </w:numPr>
        <w:tabs>
          <w:tab w:val="clear" w:pos="4153"/>
          <w:tab w:val="clear" w:pos="8306"/>
          <w:tab w:val="left" w:pos="426"/>
          <w:tab w:val="left" w:pos="9356"/>
        </w:tabs>
        <w:spacing w:after="120"/>
        <w:ind w:left="0" w:right="4" w:firstLine="0"/>
        <w:rPr>
          <w:szCs w:val="22"/>
        </w:rPr>
      </w:pPr>
      <w:r>
        <w:rPr>
          <w:szCs w:val="22"/>
        </w:rPr>
        <w:t>Specifically</w:t>
      </w:r>
      <w:r w:rsidR="0012084C">
        <w:rPr>
          <w:szCs w:val="22"/>
        </w:rPr>
        <w:t>,</w:t>
      </w:r>
      <w:r>
        <w:rPr>
          <w:szCs w:val="22"/>
        </w:rPr>
        <w:t xml:space="preserve"> the </w:t>
      </w:r>
      <w:r w:rsidRPr="00A13466">
        <w:rPr>
          <w:szCs w:val="22"/>
        </w:rPr>
        <w:t>work on primary and secondary legislation related to renewable energy</w:t>
      </w:r>
      <w:r>
        <w:rPr>
          <w:szCs w:val="22"/>
        </w:rPr>
        <w:t xml:space="preserve"> </w:t>
      </w:r>
      <w:r w:rsidR="0012084C">
        <w:rPr>
          <w:szCs w:val="22"/>
        </w:rPr>
        <w:t xml:space="preserve">– which will be fully coordinated with donor </w:t>
      </w:r>
      <w:r w:rsidR="0012084C" w:rsidRPr="00AE69B1">
        <w:rPr>
          <w:szCs w:val="22"/>
        </w:rPr>
        <w:t xml:space="preserve">and IFI activities to ensure complementarity and synergies </w:t>
      </w:r>
      <w:r w:rsidR="0012084C" w:rsidRPr="00780BCE">
        <w:rPr>
          <w:szCs w:val="22"/>
        </w:rPr>
        <w:t>–</w:t>
      </w:r>
      <w:r w:rsidR="0012084C" w:rsidRPr="00C40811">
        <w:rPr>
          <w:szCs w:val="22"/>
        </w:rPr>
        <w:t xml:space="preserve"> </w:t>
      </w:r>
      <w:r w:rsidRPr="00893F45">
        <w:rPr>
          <w:szCs w:val="22"/>
        </w:rPr>
        <w:t xml:space="preserve">is expected to include the </w:t>
      </w:r>
      <w:r w:rsidR="0012084C" w:rsidRPr="00893F45">
        <w:rPr>
          <w:szCs w:val="22"/>
        </w:rPr>
        <w:t>measures described in</w:t>
      </w:r>
      <w:r w:rsidR="003F1D67" w:rsidRPr="00893F45">
        <w:rPr>
          <w:szCs w:val="22"/>
        </w:rPr>
        <w:t xml:space="preserve"> </w:t>
      </w:r>
      <w:r w:rsidR="00AD2BEB" w:rsidRPr="002B343A">
        <w:rPr>
          <w:szCs w:val="22"/>
          <w:highlight w:val="red"/>
        </w:rPr>
        <w:fldChar w:fldCharType="begin"/>
      </w:r>
      <w:r w:rsidR="00AD2BEB" w:rsidRPr="00893F45">
        <w:rPr>
          <w:szCs w:val="22"/>
        </w:rPr>
        <w:instrText xml:space="preserve"> REF _Ref464128026 \h </w:instrText>
      </w:r>
      <w:r w:rsidR="00893F45">
        <w:rPr>
          <w:szCs w:val="22"/>
          <w:highlight w:val="red"/>
        </w:rPr>
        <w:instrText xml:space="preserve"> \* MERGEFORMAT </w:instrText>
      </w:r>
      <w:r w:rsidR="00AD2BEB" w:rsidRPr="002B343A">
        <w:rPr>
          <w:szCs w:val="22"/>
          <w:highlight w:val="red"/>
        </w:rPr>
      </w:r>
      <w:r w:rsidR="00AD2BEB" w:rsidRPr="002B343A">
        <w:rPr>
          <w:szCs w:val="22"/>
          <w:highlight w:val="red"/>
        </w:rPr>
        <w:fldChar w:fldCharType="separate"/>
      </w:r>
      <w:r w:rsidR="00921873" w:rsidRPr="00921873">
        <w:rPr>
          <w:szCs w:val="22"/>
        </w:rPr>
        <w:t xml:space="preserve">Table </w:t>
      </w:r>
      <w:r w:rsidR="00921873" w:rsidRPr="00921873">
        <w:rPr>
          <w:noProof/>
          <w:szCs w:val="22"/>
        </w:rPr>
        <w:t>5</w:t>
      </w:r>
      <w:r w:rsidR="00AD2BEB" w:rsidRPr="002B343A">
        <w:rPr>
          <w:szCs w:val="22"/>
          <w:highlight w:val="red"/>
        </w:rPr>
        <w:fldChar w:fldCharType="end"/>
      </w:r>
      <w:r w:rsidR="0012084C" w:rsidRPr="00893F45">
        <w:rPr>
          <w:szCs w:val="22"/>
        </w:rPr>
        <w:t>.</w:t>
      </w:r>
    </w:p>
    <w:p w14:paraId="57D770B9" w14:textId="77777777" w:rsidR="0012084C" w:rsidRDefault="00AD2BEB" w:rsidP="00863DD5">
      <w:pPr>
        <w:pStyle w:val="aff3"/>
        <w:rPr>
          <w:szCs w:val="22"/>
        </w:rPr>
      </w:pPr>
      <w:bookmarkStart w:id="72" w:name="_Ref464128026"/>
      <w:bookmarkStart w:id="73" w:name="_Toc464138780"/>
      <w:bookmarkStart w:id="74" w:name="_Toc479693912"/>
      <w:r w:rsidRPr="00C953AA">
        <w:t xml:space="preserve">Table </w:t>
      </w:r>
      <w:r w:rsidRPr="002B343A">
        <w:fldChar w:fldCharType="begin"/>
      </w:r>
      <w:r w:rsidRPr="004622EC">
        <w:instrText xml:space="preserve"> SEQ Table \* ARABIC </w:instrText>
      </w:r>
      <w:r w:rsidRPr="002B343A">
        <w:fldChar w:fldCharType="separate"/>
      </w:r>
      <w:r w:rsidR="00921873">
        <w:rPr>
          <w:noProof/>
        </w:rPr>
        <w:t>5</w:t>
      </w:r>
      <w:r w:rsidRPr="002B343A">
        <w:fldChar w:fldCharType="end"/>
      </w:r>
      <w:bookmarkEnd w:id="72"/>
      <w:r w:rsidR="002B343A">
        <w:t>:</w:t>
      </w:r>
      <w:r w:rsidRPr="002B343A">
        <w:t xml:space="preserve"> </w:t>
      </w:r>
      <w:r w:rsidR="0012084C" w:rsidRPr="002B343A">
        <w:t>List of measures related to primary and secondary legislation for renewable energy</w:t>
      </w:r>
      <w:bookmarkEnd w:id="73"/>
      <w:bookmarkEnd w:id="74"/>
    </w:p>
    <w:tbl>
      <w:tblPr>
        <w:tblStyle w:val="TableGrid4"/>
        <w:tblW w:w="0" w:type="auto"/>
        <w:tblLook w:val="04A0" w:firstRow="1" w:lastRow="0" w:firstColumn="1" w:lastColumn="0" w:noHBand="0" w:noVBand="1"/>
      </w:tblPr>
      <w:tblGrid>
        <w:gridCol w:w="2281"/>
        <w:gridCol w:w="7176"/>
      </w:tblGrid>
      <w:tr w:rsidR="003F1D67" w:rsidRPr="007029DF" w14:paraId="65C9F043" w14:textId="77777777" w:rsidTr="0012084C">
        <w:tc>
          <w:tcPr>
            <w:tcW w:w="0" w:type="auto"/>
          </w:tcPr>
          <w:p w14:paraId="7F0C47EA" w14:textId="77777777" w:rsidR="0012084C" w:rsidRPr="007029DF" w:rsidRDefault="0012084C" w:rsidP="004622EC">
            <w:pPr>
              <w:keepNext/>
              <w:keepLines/>
              <w:rPr>
                <w:rFonts w:asciiTheme="majorHAnsi" w:hAnsiTheme="majorHAnsi"/>
                <w:b/>
                <w:sz w:val="20"/>
                <w:szCs w:val="19"/>
              </w:rPr>
            </w:pPr>
            <w:r w:rsidRPr="007029DF">
              <w:rPr>
                <w:rFonts w:asciiTheme="majorHAnsi" w:hAnsiTheme="majorHAnsi"/>
                <w:b/>
                <w:sz w:val="20"/>
                <w:szCs w:val="19"/>
              </w:rPr>
              <w:t>Measures</w:t>
            </w:r>
          </w:p>
        </w:tc>
        <w:tc>
          <w:tcPr>
            <w:tcW w:w="0" w:type="auto"/>
          </w:tcPr>
          <w:p w14:paraId="152FCCA1" w14:textId="77777777" w:rsidR="0012084C" w:rsidRPr="007029DF" w:rsidRDefault="0012084C" w:rsidP="00CA6A37">
            <w:pPr>
              <w:keepNext/>
              <w:keepLines/>
              <w:rPr>
                <w:rFonts w:asciiTheme="majorHAnsi" w:hAnsiTheme="majorHAnsi"/>
                <w:b/>
                <w:sz w:val="20"/>
                <w:szCs w:val="19"/>
              </w:rPr>
            </w:pPr>
            <w:r w:rsidRPr="007029DF">
              <w:rPr>
                <w:rFonts w:asciiTheme="majorHAnsi" w:hAnsiTheme="majorHAnsi"/>
                <w:b/>
                <w:sz w:val="20"/>
                <w:szCs w:val="19"/>
              </w:rPr>
              <w:t>Description</w:t>
            </w:r>
          </w:p>
        </w:tc>
      </w:tr>
      <w:tr w:rsidR="003F1D67" w:rsidRPr="007029DF" w14:paraId="40A518F7" w14:textId="77777777" w:rsidTr="0012084C">
        <w:tc>
          <w:tcPr>
            <w:tcW w:w="0" w:type="auto"/>
          </w:tcPr>
          <w:p w14:paraId="0F1327E3" w14:textId="77777777" w:rsidR="0012084C" w:rsidRPr="007029DF" w:rsidRDefault="003F1D67" w:rsidP="00C40593">
            <w:pPr>
              <w:pStyle w:val="a7"/>
              <w:keepNext/>
              <w:keepLines/>
              <w:tabs>
                <w:tab w:val="clear" w:pos="4153"/>
                <w:tab w:val="clear" w:pos="8306"/>
                <w:tab w:val="left" w:pos="426"/>
              </w:tabs>
              <w:spacing w:after="120"/>
              <w:ind w:right="288"/>
              <w:jc w:val="left"/>
              <w:rPr>
                <w:rFonts w:asciiTheme="majorHAnsi" w:hAnsiTheme="majorHAnsi"/>
                <w:sz w:val="20"/>
                <w:szCs w:val="19"/>
              </w:rPr>
            </w:pPr>
            <w:r w:rsidRPr="007029DF">
              <w:rPr>
                <w:rFonts w:asciiTheme="majorHAnsi" w:hAnsiTheme="majorHAnsi" w:cs="Arial"/>
                <w:sz w:val="20"/>
                <w:szCs w:val="19"/>
                <w:lang w:val="en-GB"/>
              </w:rPr>
              <w:t>A</w:t>
            </w:r>
            <w:r w:rsidR="0012084C" w:rsidRPr="007029DF">
              <w:rPr>
                <w:rFonts w:asciiTheme="majorHAnsi" w:hAnsiTheme="majorHAnsi" w:cs="Arial"/>
                <w:sz w:val="20"/>
                <w:szCs w:val="19"/>
                <w:lang w:val="en-GB"/>
              </w:rPr>
              <w:t>ddressing power market risk</w:t>
            </w:r>
          </w:p>
        </w:tc>
        <w:tc>
          <w:tcPr>
            <w:tcW w:w="0" w:type="auto"/>
          </w:tcPr>
          <w:p w14:paraId="6CEDF85E" w14:textId="77777777" w:rsidR="006D5A4D" w:rsidRPr="007029DF" w:rsidRDefault="006D5A4D" w:rsidP="00C40593">
            <w:pPr>
              <w:pStyle w:val="a7"/>
              <w:keepNext/>
              <w:keepLines/>
              <w:numPr>
                <w:ilvl w:val="1"/>
                <w:numId w:val="1"/>
              </w:numPr>
              <w:tabs>
                <w:tab w:val="clear" w:pos="1440"/>
                <w:tab w:val="left" w:pos="470"/>
                <w:tab w:val="num" w:pos="709"/>
              </w:tabs>
              <w:ind w:left="503" w:hanging="317"/>
              <w:jc w:val="left"/>
              <w:rPr>
                <w:rFonts w:asciiTheme="majorHAnsi" w:hAnsiTheme="majorHAnsi"/>
                <w:sz w:val="20"/>
                <w:szCs w:val="19"/>
              </w:rPr>
            </w:pPr>
            <w:r w:rsidRPr="007029DF">
              <w:rPr>
                <w:rFonts w:asciiTheme="majorHAnsi" w:hAnsiTheme="majorHAnsi"/>
                <w:sz w:val="20"/>
                <w:szCs w:val="19"/>
              </w:rPr>
              <w:t>Provide support to the development of procedures for renewable energy auctioning and tender preparation</w:t>
            </w:r>
          </w:p>
          <w:p w14:paraId="005E243D" w14:textId="77777777" w:rsidR="0012084C" w:rsidRPr="007029DF" w:rsidRDefault="0012084C" w:rsidP="00C40593">
            <w:pPr>
              <w:pStyle w:val="a7"/>
              <w:keepNext/>
              <w:keepLines/>
              <w:numPr>
                <w:ilvl w:val="1"/>
                <w:numId w:val="1"/>
              </w:numPr>
              <w:tabs>
                <w:tab w:val="clear" w:pos="1440"/>
                <w:tab w:val="left" w:pos="470"/>
                <w:tab w:val="num" w:pos="709"/>
              </w:tabs>
              <w:ind w:left="503" w:hanging="317"/>
              <w:jc w:val="left"/>
              <w:rPr>
                <w:rFonts w:asciiTheme="majorHAnsi" w:hAnsiTheme="majorHAnsi"/>
                <w:sz w:val="20"/>
                <w:szCs w:val="19"/>
              </w:rPr>
            </w:pPr>
            <w:r w:rsidRPr="007029DF">
              <w:rPr>
                <w:rFonts w:asciiTheme="majorHAnsi" w:hAnsiTheme="majorHAnsi"/>
                <w:sz w:val="20"/>
                <w:szCs w:val="19"/>
              </w:rPr>
              <w:t>Building on models developed by EBRD, implement further analysis of the impact of the FiT on conventional generators and final consumers</w:t>
            </w:r>
          </w:p>
          <w:p w14:paraId="36A0F5D4" w14:textId="77777777" w:rsidR="0012084C" w:rsidRPr="007029DF" w:rsidRDefault="0012084C" w:rsidP="00C40593">
            <w:pPr>
              <w:pStyle w:val="a7"/>
              <w:keepNext/>
              <w:keepLines/>
              <w:numPr>
                <w:ilvl w:val="1"/>
                <w:numId w:val="1"/>
              </w:numPr>
              <w:tabs>
                <w:tab w:val="clear" w:pos="1440"/>
                <w:tab w:val="left" w:pos="470"/>
                <w:tab w:val="num" w:pos="709"/>
              </w:tabs>
              <w:ind w:left="503" w:hanging="317"/>
              <w:jc w:val="left"/>
              <w:rPr>
                <w:rFonts w:asciiTheme="majorHAnsi" w:hAnsiTheme="majorHAnsi"/>
                <w:sz w:val="20"/>
                <w:szCs w:val="19"/>
              </w:rPr>
            </w:pPr>
            <w:r w:rsidRPr="007029DF">
              <w:rPr>
                <w:rFonts w:asciiTheme="majorHAnsi" w:hAnsiTheme="majorHAnsi"/>
                <w:sz w:val="20"/>
                <w:szCs w:val="19"/>
              </w:rPr>
              <w:t>Implement analysis and develop recommendations related to the surcharge on conventional generators’ regulated revenues</w:t>
            </w:r>
          </w:p>
          <w:p w14:paraId="58038C4C" w14:textId="77777777" w:rsidR="0012084C" w:rsidRPr="007029DF" w:rsidRDefault="0012084C" w:rsidP="00C40593">
            <w:pPr>
              <w:pStyle w:val="a7"/>
              <w:keepNext/>
              <w:keepLines/>
              <w:numPr>
                <w:ilvl w:val="1"/>
                <w:numId w:val="1"/>
              </w:numPr>
              <w:tabs>
                <w:tab w:val="clear" w:pos="1440"/>
                <w:tab w:val="left" w:pos="470"/>
                <w:tab w:val="num" w:pos="709"/>
              </w:tabs>
              <w:ind w:left="503" w:hanging="317"/>
              <w:jc w:val="left"/>
              <w:rPr>
                <w:rFonts w:asciiTheme="majorHAnsi" w:hAnsiTheme="majorHAnsi"/>
                <w:sz w:val="20"/>
                <w:szCs w:val="19"/>
              </w:rPr>
            </w:pPr>
            <w:r w:rsidRPr="007029DF">
              <w:rPr>
                <w:rFonts w:asciiTheme="majorHAnsi" w:hAnsiTheme="majorHAnsi"/>
                <w:sz w:val="20"/>
                <w:szCs w:val="19"/>
              </w:rPr>
              <w:t>Implement regular analysis on tariff-setting for different large-scale renewable energy technologies, in order to ensure the feed in tariff is up to date and functioning optimally</w:t>
            </w:r>
          </w:p>
          <w:p w14:paraId="1B2A3660" w14:textId="77777777" w:rsidR="0012084C" w:rsidRPr="007029DF" w:rsidRDefault="0012084C" w:rsidP="00C40593">
            <w:pPr>
              <w:pStyle w:val="a7"/>
              <w:keepNext/>
              <w:keepLines/>
              <w:numPr>
                <w:ilvl w:val="1"/>
                <w:numId w:val="1"/>
              </w:numPr>
              <w:tabs>
                <w:tab w:val="clear" w:pos="1440"/>
                <w:tab w:val="left" w:pos="470"/>
                <w:tab w:val="num" w:pos="709"/>
              </w:tabs>
              <w:ind w:left="503" w:hanging="317"/>
              <w:jc w:val="left"/>
              <w:rPr>
                <w:rFonts w:asciiTheme="majorHAnsi" w:hAnsiTheme="majorHAnsi"/>
                <w:sz w:val="20"/>
                <w:szCs w:val="19"/>
              </w:rPr>
            </w:pPr>
            <w:r w:rsidRPr="007029DF">
              <w:rPr>
                <w:rFonts w:asciiTheme="majorHAnsi" w:hAnsiTheme="majorHAnsi"/>
                <w:sz w:val="20"/>
                <w:szCs w:val="19"/>
              </w:rPr>
              <w:t>Develop recommendations for improvements in mechanisms and procedures for feed-in tariffs and power purchase agreements</w:t>
            </w:r>
          </w:p>
          <w:p w14:paraId="3D74B088" w14:textId="77777777" w:rsidR="0012084C" w:rsidRPr="007029DF" w:rsidRDefault="0012084C" w:rsidP="00C40593">
            <w:pPr>
              <w:pStyle w:val="a7"/>
              <w:keepNext/>
              <w:keepLines/>
              <w:numPr>
                <w:ilvl w:val="1"/>
                <w:numId w:val="1"/>
              </w:numPr>
              <w:tabs>
                <w:tab w:val="clear" w:pos="1440"/>
                <w:tab w:val="left" w:pos="470"/>
                <w:tab w:val="num" w:pos="709"/>
              </w:tabs>
              <w:ind w:left="503" w:hanging="317"/>
              <w:jc w:val="left"/>
              <w:rPr>
                <w:rFonts w:asciiTheme="majorHAnsi" w:hAnsiTheme="majorHAnsi"/>
                <w:sz w:val="20"/>
                <w:szCs w:val="19"/>
              </w:rPr>
            </w:pPr>
            <w:r w:rsidRPr="007029DF">
              <w:rPr>
                <w:rFonts w:asciiTheme="majorHAnsi" w:hAnsiTheme="majorHAnsi"/>
                <w:sz w:val="20"/>
                <w:szCs w:val="19"/>
              </w:rPr>
              <w:t>Develop further assessments of balancing costs for renewable energy</w:t>
            </w:r>
          </w:p>
        </w:tc>
      </w:tr>
      <w:tr w:rsidR="003F1D67" w:rsidRPr="007029DF" w14:paraId="79A5B018" w14:textId="77777777" w:rsidTr="0012084C">
        <w:tc>
          <w:tcPr>
            <w:tcW w:w="0" w:type="auto"/>
          </w:tcPr>
          <w:p w14:paraId="18BB811E" w14:textId="77777777" w:rsidR="0012084C" w:rsidRPr="007029DF" w:rsidRDefault="003F1D67" w:rsidP="00C40593">
            <w:pPr>
              <w:pStyle w:val="a7"/>
              <w:jc w:val="left"/>
              <w:rPr>
                <w:rFonts w:asciiTheme="majorHAnsi" w:hAnsiTheme="majorHAnsi"/>
                <w:sz w:val="20"/>
                <w:szCs w:val="19"/>
              </w:rPr>
            </w:pPr>
            <w:r w:rsidRPr="007029DF">
              <w:rPr>
                <w:rFonts w:asciiTheme="majorHAnsi" w:hAnsiTheme="majorHAnsi" w:cs="Arial"/>
                <w:sz w:val="20"/>
                <w:szCs w:val="19"/>
                <w:lang w:val="en-GB"/>
              </w:rPr>
              <w:t>A</w:t>
            </w:r>
            <w:r w:rsidR="0012084C" w:rsidRPr="007029DF">
              <w:rPr>
                <w:rFonts w:asciiTheme="majorHAnsi" w:hAnsiTheme="majorHAnsi" w:cs="Arial"/>
                <w:sz w:val="20"/>
                <w:szCs w:val="19"/>
                <w:lang w:val="en-GB"/>
              </w:rPr>
              <w:t>d</w:t>
            </w:r>
            <w:r w:rsidR="0012084C" w:rsidRPr="007029DF">
              <w:rPr>
                <w:rFonts w:asciiTheme="majorHAnsi" w:hAnsiTheme="majorHAnsi"/>
                <w:sz w:val="20"/>
                <w:szCs w:val="19"/>
              </w:rPr>
              <w:t>dressing permitting risks</w:t>
            </w:r>
          </w:p>
        </w:tc>
        <w:tc>
          <w:tcPr>
            <w:tcW w:w="0" w:type="auto"/>
          </w:tcPr>
          <w:p w14:paraId="6C551704" w14:textId="77777777" w:rsidR="0012084C" w:rsidRPr="007029DF" w:rsidRDefault="0012084C" w:rsidP="00C40593">
            <w:pPr>
              <w:pStyle w:val="a7"/>
              <w:numPr>
                <w:ilvl w:val="1"/>
                <w:numId w:val="1"/>
              </w:numPr>
              <w:tabs>
                <w:tab w:val="clear" w:pos="1440"/>
                <w:tab w:val="left" w:pos="470"/>
                <w:tab w:val="num" w:pos="709"/>
              </w:tabs>
              <w:ind w:left="503" w:hanging="317"/>
              <w:jc w:val="left"/>
              <w:rPr>
                <w:rFonts w:asciiTheme="majorHAnsi" w:hAnsiTheme="majorHAnsi"/>
                <w:sz w:val="20"/>
                <w:szCs w:val="19"/>
              </w:rPr>
            </w:pPr>
            <w:r w:rsidRPr="007029DF">
              <w:rPr>
                <w:rFonts w:asciiTheme="majorHAnsi" w:hAnsiTheme="majorHAnsi"/>
                <w:sz w:val="20"/>
                <w:szCs w:val="19"/>
              </w:rPr>
              <w:t>Development of siting plans on the recommended allocation of RES facilities</w:t>
            </w:r>
          </w:p>
          <w:p w14:paraId="1760DA5C" w14:textId="77777777" w:rsidR="0012084C" w:rsidRPr="007029DF" w:rsidRDefault="0012084C" w:rsidP="00C40593">
            <w:pPr>
              <w:pStyle w:val="a7"/>
              <w:numPr>
                <w:ilvl w:val="1"/>
                <w:numId w:val="1"/>
              </w:numPr>
              <w:tabs>
                <w:tab w:val="clear" w:pos="1440"/>
                <w:tab w:val="left" w:pos="470"/>
                <w:tab w:val="num" w:pos="709"/>
              </w:tabs>
              <w:ind w:left="503" w:hanging="317"/>
              <w:jc w:val="left"/>
              <w:rPr>
                <w:rFonts w:asciiTheme="majorHAnsi" w:hAnsiTheme="majorHAnsi"/>
                <w:sz w:val="20"/>
                <w:szCs w:val="19"/>
              </w:rPr>
            </w:pPr>
            <w:r w:rsidRPr="007029DF">
              <w:rPr>
                <w:rFonts w:asciiTheme="majorHAnsi" w:hAnsiTheme="majorHAnsi"/>
                <w:sz w:val="20"/>
                <w:szCs w:val="19"/>
              </w:rPr>
              <w:t>Analyse and make recommendations on land allocation rules and procedures to address short-term / long-term needs (as reflected in the 1 July 2016 Land Code)</w:t>
            </w:r>
          </w:p>
        </w:tc>
      </w:tr>
      <w:tr w:rsidR="003F1D67" w:rsidRPr="007029DF" w14:paraId="1C61D654" w14:textId="77777777" w:rsidTr="0012084C">
        <w:tc>
          <w:tcPr>
            <w:tcW w:w="0" w:type="auto"/>
          </w:tcPr>
          <w:p w14:paraId="64617D28" w14:textId="77777777" w:rsidR="0012084C" w:rsidRPr="007029DF" w:rsidRDefault="003F1D67" w:rsidP="00C40593">
            <w:pPr>
              <w:rPr>
                <w:rFonts w:asciiTheme="majorHAnsi" w:hAnsiTheme="majorHAnsi" w:cs="Arial"/>
                <w:sz w:val="20"/>
                <w:szCs w:val="19"/>
                <w:lang w:val="en-GB"/>
              </w:rPr>
            </w:pPr>
            <w:r w:rsidRPr="007029DF">
              <w:rPr>
                <w:rFonts w:asciiTheme="majorHAnsi" w:hAnsiTheme="majorHAnsi" w:cs="Arial"/>
                <w:sz w:val="20"/>
                <w:szCs w:val="19"/>
                <w:lang w:val="en-GB"/>
              </w:rPr>
              <w:t>A</w:t>
            </w:r>
            <w:r w:rsidR="0012084C" w:rsidRPr="007029DF">
              <w:rPr>
                <w:rFonts w:asciiTheme="majorHAnsi" w:hAnsiTheme="majorHAnsi" w:cs="Arial"/>
                <w:sz w:val="20"/>
                <w:szCs w:val="19"/>
                <w:lang w:val="en-GB"/>
              </w:rPr>
              <w:t>ddressing grid and transmission network risks</w:t>
            </w:r>
          </w:p>
        </w:tc>
        <w:tc>
          <w:tcPr>
            <w:tcW w:w="0" w:type="auto"/>
          </w:tcPr>
          <w:p w14:paraId="0B0B4BDD" w14:textId="77777777" w:rsidR="0012084C" w:rsidRPr="007029DF" w:rsidRDefault="0012084C" w:rsidP="00C40593">
            <w:pPr>
              <w:pStyle w:val="a7"/>
              <w:numPr>
                <w:ilvl w:val="1"/>
                <w:numId w:val="1"/>
              </w:numPr>
              <w:tabs>
                <w:tab w:val="clear" w:pos="1440"/>
                <w:tab w:val="left" w:pos="470"/>
                <w:tab w:val="num" w:pos="709"/>
              </w:tabs>
              <w:ind w:left="503" w:hanging="317"/>
              <w:jc w:val="left"/>
              <w:rPr>
                <w:rFonts w:asciiTheme="majorHAnsi" w:hAnsiTheme="majorHAnsi"/>
                <w:sz w:val="20"/>
                <w:szCs w:val="19"/>
              </w:rPr>
            </w:pPr>
            <w:r w:rsidRPr="007029DF">
              <w:rPr>
                <w:rFonts w:asciiTheme="majorHAnsi" w:hAnsiTheme="majorHAnsi"/>
                <w:sz w:val="20"/>
                <w:szCs w:val="19"/>
              </w:rPr>
              <w:t>Further development of a grid code for renewable energy technologies</w:t>
            </w:r>
          </w:p>
          <w:p w14:paraId="4B6A1914" w14:textId="77777777" w:rsidR="0012084C" w:rsidRPr="007029DF" w:rsidRDefault="0012084C" w:rsidP="00C40593">
            <w:pPr>
              <w:pStyle w:val="a7"/>
              <w:numPr>
                <w:ilvl w:val="1"/>
                <w:numId w:val="1"/>
              </w:numPr>
              <w:tabs>
                <w:tab w:val="clear" w:pos="1440"/>
                <w:tab w:val="left" w:pos="470"/>
                <w:tab w:val="num" w:pos="709"/>
              </w:tabs>
              <w:ind w:left="503" w:hanging="317"/>
              <w:jc w:val="left"/>
              <w:rPr>
                <w:rFonts w:asciiTheme="majorHAnsi" w:hAnsiTheme="majorHAnsi"/>
                <w:sz w:val="20"/>
                <w:szCs w:val="19"/>
              </w:rPr>
            </w:pPr>
            <w:r w:rsidRPr="007029DF">
              <w:rPr>
                <w:rFonts w:asciiTheme="majorHAnsi" w:hAnsiTheme="majorHAnsi"/>
                <w:sz w:val="20"/>
                <w:szCs w:val="19"/>
              </w:rPr>
              <w:t>Technical rules for renewables, including analyzing and providing argumentation related to the new obligation on solar PV operators to install and operate batteries at the request of the system operator</w:t>
            </w:r>
          </w:p>
          <w:p w14:paraId="4050EC28" w14:textId="77777777" w:rsidR="0012084C" w:rsidRPr="007029DF" w:rsidRDefault="0012084C" w:rsidP="00C40593">
            <w:pPr>
              <w:pStyle w:val="a7"/>
              <w:numPr>
                <w:ilvl w:val="1"/>
                <w:numId w:val="1"/>
              </w:numPr>
              <w:tabs>
                <w:tab w:val="clear" w:pos="1440"/>
                <w:tab w:val="left" w:pos="470"/>
                <w:tab w:val="num" w:pos="709"/>
              </w:tabs>
              <w:ind w:left="503" w:hanging="317"/>
              <w:jc w:val="left"/>
              <w:rPr>
                <w:rFonts w:asciiTheme="majorHAnsi" w:hAnsiTheme="majorHAnsi"/>
                <w:sz w:val="20"/>
                <w:szCs w:val="19"/>
              </w:rPr>
            </w:pPr>
            <w:r w:rsidRPr="007029DF">
              <w:rPr>
                <w:rFonts w:asciiTheme="majorHAnsi" w:hAnsiTheme="majorHAnsi"/>
                <w:sz w:val="20"/>
                <w:szCs w:val="19"/>
              </w:rPr>
              <w:t>Provide support for grid management and grid planning</w:t>
            </w:r>
          </w:p>
          <w:p w14:paraId="7B8096D7" w14:textId="77777777" w:rsidR="0012084C" w:rsidRPr="007029DF" w:rsidRDefault="0012084C" w:rsidP="00C40593">
            <w:pPr>
              <w:pStyle w:val="a7"/>
              <w:numPr>
                <w:ilvl w:val="1"/>
                <w:numId w:val="1"/>
              </w:numPr>
              <w:tabs>
                <w:tab w:val="clear" w:pos="1440"/>
                <w:tab w:val="left" w:pos="470"/>
                <w:tab w:val="num" w:pos="709"/>
              </w:tabs>
              <w:ind w:left="503" w:hanging="317"/>
              <w:jc w:val="left"/>
              <w:rPr>
                <w:rFonts w:asciiTheme="majorHAnsi" w:hAnsiTheme="majorHAnsi"/>
                <w:sz w:val="20"/>
                <w:szCs w:val="19"/>
              </w:rPr>
            </w:pPr>
            <w:r w:rsidRPr="007029DF">
              <w:rPr>
                <w:rFonts w:asciiTheme="majorHAnsi" w:hAnsiTheme="majorHAnsi"/>
                <w:sz w:val="20"/>
                <w:szCs w:val="19"/>
              </w:rPr>
              <w:t>Development of the connection contract to regulate the relationships between renewable energy operators, network companies and KEGOC, including developing an approved template</w:t>
            </w:r>
          </w:p>
          <w:p w14:paraId="0F27ADEB" w14:textId="77777777" w:rsidR="0012084C" w:rsidRPr="007029DF" w:rsidRDefault="0012084C" w:rsidP="00C40593">
            <w:pPr>
              <w:pStyle w:val="a7"/>
              <w:numPr>
                <w:ilvl w:val="1"/>
                <w:numId w:val="1"/>
              </w:numPr>
              <w:tabs>
                <w:tab w:val="clear" w:pos="1440"/>
                <w:tab w:val="left" w:pos="470"/>
                <w:tab w:val="num" w:pos="709"/>
              </w:tabs>
              <w:ind w:left="503" w:hanging="317"/>
              <w:jc w:val="left"/>
              <w:rPr>
                <w:rFonts w:asciiTheme="majorHAnsi" w:hAnsiTheme="majorHAnsi"/>
                <w:sz w:val="20"/>
                <w:szCs w:val="19"/>
              </w:rPr>
            </w:pPr>
            <w:r w:rsidRPr="007029DF">
              <w:rPr>
                <w:rFonts w:asciiTheme="majorHAnsi" w:hAnsiTheme="majorHAnsi"/>
                <w:sz w:val="20"/>
                <w:szCs w:val="19"/>
              </w:rPr>
              <w:t>Ongoing work to address the questions on the financing of network connections, including who pays for substation extensions and upgrades, and who owns the assets</w:t>
            </w:r>
          </w:p>
          <w:p w14:paraId="0047D4EF" w14:textId="77777777" w:rsidR="0012084C" w:rsidRPr="007029DF" w:rsidRDefault="0012084C" w:rsidP="00C40593">
            <w:pPr>
              <w:pStyle w:val="a7"/>
              <w:numPr>
                <w:ilvl w:val="1"/>
                <w:numId w:val="1"/>
              </w:numPr>
              <w:tabs>
                <w:tab w:val="clear" w:pos="1440"/>
                <w:tab w:val="left" w:pos="470"/>
                <w:tab w:val="num" w:pos="709"/>
              </w:tabs>
              <w:ind w:left="503" w:hanging="317"/>
              <w:jc w:val="left"/>
              <w:rPr>
                <w:rFonts w:asciiTheme="majorHAnsi" w:hAnsiTheme="majorHAnsi"/>
                <w:sz w:val="20"/>
                <w:szCs w:val="19"/>
              </w:rPr>
            </w:pPr>
            <w:r w:rsidRPr="007029DF">
              <w:rPr>
                <w:rFonts w:asciiTheme="majorHAnsi" w:hAnsiTheme="majorHAnsi"/>
                <w:sz w:val="20"/>
                <w:szCs w:val="19"/>
              </w:rPr>
              <w:t>Development of approaches and recommendations on the participation of conventional power producers in the renewable energy market (i.e. when acquiring renewable energy power plants)</w:t>
            </w:r>
          </w:p>
          <w:p w14:paraId="5EC09004" w14:textId="77777777" w:rsidR="0012084C" w:rsidRPr="007029DF" w:rsidRDefault="0012084C" w:rsidP="00C40593">
            <w:pPr>
              <w:pStyle w:val="a7"/>
              <w:numPr>
                <w:ilvl w:val="1"/>
                <w:numId w:val="1"/>
              </w:numPr>
              <w:tabs>
                <w:tab w:val="clear" w:pos="1440"/>
                <w:tab w:val="left" w:pos="470"/>
                <w:tab w:val="num" w:pos="709"/>
              </w:tabs>
              <w:ind w:left="503" w:hanging="317"/>
              <w:jc w:val="left"/>
              <w:rPr>
                <w:rFonts w:asciiTheme="majorHAnsi" w:hAnsiTheme="majorHAnsi"/>
                <w:sz w:val="20"/>
                <w:szCs w:val="19"/>
              </w:rPr>
            </w:pPr>
            <w:r w:rsidRPr="007029DF">
              <w:rPr>
                <w:rFonts w:asciiTheme="majorHAnsi" w:hAnsiTheme="majorHAnsi"/>
                <w:sz w:val="20"/>
                <w:szCs w:val="19"/>
              </w:rPr>
              <w:t>Support and recommendations on integration of renewable energy in the electricity network</w:t>
            </w:r>
          </w:p>
        </w:tc>
      </w:tr>
      <w:tr w:rsidR="003F1D67" w:rsidRPr="007029DF" w14:paraId="73A12869" w14:textId="77777777" w:rsidTr="0012084C">
        <w:tc>
          <w:tcPr>
            <w:tcW w:w="0" w:type="auto"/>
          </w:tcPr>
          <w:p w14:paraId="70681374" w14:textId="77777777" w:rsidR="0012084C" w:rsidRPr="007029DF" w:rsidRDefault="003F1D67" w:rsidP="00C40593">
            <w:pPr>
              <w:pStyle w:val="a7"/>
              <w:jc w:val="left"/>
              <w:rPr>
                <w:rFonts w:asciiTheme="majorHAnsi" w:hAnsiTheme="majorHAnsi"/>
                <w:sz w:val="20"/>
                <w:szCs w:val="19"/>
              </w:rPr>
            </w:pPr>
            <w:r w:rsidRPr="007029DF">
              <w:rPr>
                <w:rFonts w:asciiTheme="majorHAnsi" w:hAnsiTheme="majorHAnsi" w:cs="Arial"/>
                <w:sz w:val="20"/>
                <w:szCs w:val="19"/>
                <w:lang w:val="en-GB"/>
              </w:rPr>
              <w:t>A</w:t>
            </w:r>
            <w:r w:rsidR="0012084C" w:rsidRPr="007029DF">
              <w:rPr>
                <w:rFonts w:asciiTheme="majorHAnsi" w:hAnsiTheme="majorHAnsi" w:cs="Arial"/>
                <w:sz w:val="20"/>
                <w:szCs w:val="19"/>
                <w:lang w:val="en-GB"/>
              </w:rPr>
              <w:t>d</w:t>
            </w:r>
            <w:r w:rsidR="0012084C" w:rsidRPr="007029DF">
              <w:rPr>
                <w:rFonts w:asciiTheme="majorHAnsi" w:hAnsiTheme="majorHAnsi"/>
                <w:sz w:val="20"/>
                <w:szCs w:val="19"/>
              </w:rPr>
              <w:t>dressing counterparty risks</w:t>
            </w:r>
          </w:p>
        </w:tc>
        <w:tc>
          <w:tcPr>
            <w:tcW w:w="0" w:type="auto"/>
          </w:tcPr>
          <w:p w14:paraId="63BF3928" w14:textId="77777777" w:rsidR="0012084C" w:rsidRPr="007029DF" w:rsidRDefault="0012084C" w:rsidP="00C40593">
            <w:pPr>
              <w:pStyle w:val="a7"/>
              <w:numPr>
                <w:ilvl w:val="1"/>
                <w:numId w:val="1"/>
              </w:numPr>
              <w:tabs>
                <w:tab w:val="clear" w:pos="1440"/>
                <w:tab w:val="left" w:pos="470"/>
                <w:tab w:val="num" w:pos="709"/>
              </w:tabs>
              <w:ind w:left="503" w:hanging="317"/>
              <w:jc w:val="left"/>
              <w:rPr>
                <w:rFonts w:asciiTheme="majorHAnsi" w:hAnsiTheme="majorHAnsi"/>
                <w:sz w:val="20"/>
                <w:szCs w:val="19"/>
              </w:rPr>
            </w:pPr>
            <w:r w:rsidRPr="007029DF">
              <w:rPr>
                <w:rFonts w:asciiTheme="majorHAnsi" w:hAnsiTheme="majorHAnsi"/>
                <w:sz w:val="20"/>
                <w:szCs w:val="19"/>
              </w:rPr>
              <w:t>Work to address the long-term creditworthiness of the Settlement Centre</w:t>
            </w:r>
          </w:p>
          <w:p w14:paraId="3A00A2A7" w14:textId="77777777" w:rsidR="0012084C" w:rsidRPr="007029DF" w:rsidRDefault="0012084C" w:rsidP="00C40593">
            <w:pPr>
              <w:pStyle w:val="a7"/>
              <w:numPr>
                <w:ilvl w:val="1"/>
                <w:numId w:val="1"/>
              </w:numPr>
              <w:tabs>
                <w:tab w:val="clear" w:pos="1440"/>
                <w:tab w:val="left" w:pos="470"/>
                <w:tab w:val="num" w:pos="709"/>
              </w:tabs>
              <w:ind w:left="503" w:hanging="317"/>
              <w:jc w:val="left"/>
              <w:rPr>
                <w:rFonts w:asciiTheme="majorHAnsi" w:hAnsiTheme="majorHAnsi"/>
                <w:sz w:val="20"/>
                <w:szCs w:val="19"/>
              </w:rPr>
            </w:pPr>
            <w:r w:rsidRPr="007029DF">
              <w:rPr>
                <w:rFonts w:asciiTheme="majorHAnsi" w:hAnsiTheme="majorHAnsi"/>
                <w:sz w:val="20"/>
                <w:szCs w:val="19"/>
              </w:rPr>
              <w:t>Develop recommendations on a guarantee scheme for PPAs</w:t>
            </w:r>
          </w:p>
          <w:p w14:paraId="456CA274" w14:textId="77777777" w:rsidR="0012084C" w:rsidRPr="007029DF" w:rsidRDefault="0012084C" w:rsidP="00C40593">
            <w:pPr>
              <w:pStyle w:val="a7"/>
              <w:numPr>
                <w:ilvl w:val="1"/>
                <w:numId w:val="1"/>
              </w:numPr>
              <w:tabs>
                <w:tab w:val="clear" w:pos="1440"/>
                <w:tab w:val="left" w:pos="470"/>
                <w:tab w:val="num" w:pos="709"/>
              </w:tabs>
              <w:ind w:left="503" w:hanging="317"/>
              <w:jc w:val="left"/>
              <w:rPr>
                <w:rFonts w:asciiTheme="majorHAnsi" w:hAnsiTheme="majorHAnsi"/>
                <w:sz w:val="20"/>
                <w:szCs w:val="19"/>
              </w:rPr>
            </w:pPr>
            <w:r w:rsidRPr="007029DF">
              <w:rPr>
                <w:rFonts w:asciiTheme="majorHAnsi" w:hAnsiTheme="majorHAnsi"/>
                <w:sz w:val="20"/>
                <w:szCs w:val="19"/>
              </w:rPr>
              <w:t>Support to the creation and operation of the Reserve Fund</w:t>
            </w:r>
          </w:p>
        </w:tc>
      </w:tr>
      <w:tr w:rsidR="003F1D67" w:rsidRPr="007029DF" w14:paraId="737FED6F" w14:textId="77777777" w:rsidTr="00CA6A37">
        <w:trPr>
          <w:trHeight w:val="1115"/>
        </w:trPr>
        <w:tc>
          <w:tcPr>
            <w:tcW w:w="0" w:type="auto"/>
          </w:tcPr>
          <w:p w14:paraId="0898300C" w14:textId="77777777" w:rsidR="0012084C" w:rsidRPr="007029DF" w:rsidRDefault="003F1D67" w:rsidP="00C40593">
            <w:pPr>
              <w:pStyle w:val="a7"/>
              <w:jc w:val="left"/>
              <w:rPr>
                <w:rFonts w:asciiTheme="majorHAnsi" w:hAnsiTheme="majorHAnsi"/>
                <w:sz w:val="20"/>
                <w:szCs w:val="19"/>
              </w:rPr>
            </w:pPr>
            <w:r w:rsidRPr="007029DF">
              <w:rPr>
                <w:rFonts w:asciiTheme="majorHAnsi" w:hAnsiTheme="majorHAnsi" w:cs="Arial"/>
                <w:sz w:val="20"/>
                <w:szCs w:val="19"/>
                <w:lang w:val="en-GB"/>
              </w:rPr>
              <w:t>A</w:t>
            </w:r>
            <w:r w:rsidR="0012084C" w:rsidRPr="007029DF">
              <w:rPr>
                <w:rFonts w:asciiTheme="majorHAnsi" w:hAnsiTheme="majorHAnsi" w:cs="Arial"/>
                <w:sz w:val="20"/>
                <w:szCs w:val="19"/>
                <w:lang w:val="en-GB"/>
              </w:rPr>
              <w:t>d</w:t>
            </w:r>
            <w:r w:rsidR="0012084C" w:rsidRPr="007029DF">
              <w:rPr>
                <w:rFonts w:asciiTheme="majorHAnsi" w:hAnsiTheme="majorHAnsi"/>
                <w:sz w:val="20"/>
                <w:szCs w:val="19"/>
              </w:rPr>
              <w:t>dressing currency risks</w:t>
            </w:r>
          </w:p>
        </w:tc>
        <w:tc>
          <w:tcPr>
            <w:tcW w:w="0" w:type="auto"/>
          </w:tcPr>
          <w:p w14:paraId="5177DF0D" w14:textId="77777777" w:rsidR="0012084C" w:rsidRPr="007029DF" w:rsidRDefault="0012084C" w:rsidP="00C40593">
            <w:pPr>
              <w:pStyle w:val="a7"/>
              <w:numPr>
                <w:ilvl w:val="1"/>
                <w:numId w:val="1"/>
              </w:numPr>
              <w:tabs>
                <w:tab w:val="clear" w:pos="1440"/>
                <w:tab w:val="left" w:pos="470"/>
                <w:tab w:val="num" w:pos="709"/>
              </w:tabs>
              <w:ind w:left="503" w:hanging="317"/>
              <w:jc w:val="left"/>
              <w:rPr>
                <w:rFonts w:asciiTheme="majorHAnsi" w:hAnsiTheme="majorHAnsi"/>
                <w:sz w:val="20"/>
                <w:szCs w:val="19"/>
              </w:rPr>
            </w:pPr>
            <w:r w:rsidRPr="007029DF">
              <w:rPr>
                <w:rFonts w:asciiTheme="majorHAnsi" w:hAnsiTheme="majorHAnsi"/>
                <w:sz w:val="20"/>
                <w:szCs w:val="19"/>
              </w:rPr>
              <w:t>Analysis of payment reflows and risk exposures under the FiT and auction models</w:t>
            </w:r>
          </w:p>
          <w:p w14:paraId="7EB4D361" w14:textId="77777777" w:rsidR="0012084C" w:rsidRPr="007029DF" w:rsidRDefault="0012084C" w:rsidP="00C40593">
            <w:pPr>
              <w:pStyle w:val="a7"/>
              <w:numPr>
                <w:ilvl w:val="1"/>
                <w:numId w:val="1"/>
              </w:numPr>
              <w:tabs>
                <w:tab w:val="clear" w:pos="1440"/>
                <w:tab w:val="left" w:pos="470"/>
                <w:tab w:val="num" w:pos="709"/>
              </w:tabs>
              <w:ind w:left="503" w:hanging="317"/>
              <w:jc w:val="left"/>
              <w:rPr>
                <w:rFonts w:asciiTheme="majorHAnsi" w:hAnsiTheme="majorHAnsi"/>
                <w:sz w:val="20"/>
                <w:szCs w:val="19"/>
              </w:rPr>
            </w:pPr>
            <w:r w:rsidRPr="007029DF">
              <w:rPr>
                <w:rFonts w:asciiTheme="majorHAnsi" w:hAnsiTheme="majorHAnsi"/>
                <w:sz w:val="20"/>
                <w:szCs w:val="19"/>
              </w:rPr>
              <w:t>Analysis and guidance on approaches to address currency risk through, for instance, partial indexation</w:t>
            </w:r>
          </w:p>
          <w:p w14:paraId="7A1E3263" w14:textId="77777777" w:rsidR="0012084C" w:rsidRPr="007029DF" w:rsidRDefault="0012084C" w:rsidP="00C40593">
            <w:pPr>
              <w:pStyle w:val="a7"/>
              <w:numPr>
                <w:ilvl w:val="1"/>
                <w:numId w:val="1"/>
              </w:numPr>
              <w:tabs>
                <w:tab w:val="clear" w:pos="1440"/>
                <w:tab w:val="left" w:pos="470"/>
                <w:tab w:val="num" w:pos="709"/>
              </w:tabs>
              <w:ind w:left="503" w:hanging="317"/>
              <w:jc w:val="left"/>
              <w:rPr>
                <w:rFonts w:asciiTheme="majorHAnsi" w:hAnsiTheme="majorHAnsi"/>
                <w:sz w:val="20"/>
                <w:szCs w:val="19"/>
              </w:rPr>
            </w:pPr>
            <w:r w:rsidRPr="007029DF">
              <w:rPr>
                <w:rFonts w:asciiTheme="majorHAnsi" w:hAnsiTheme="majorHAnsi"/>
                <w:sz w:val="20"/>
                <w:szCs w:val="19"/>
              </w:rPr>
              <w:t>Guidance on the requirement for financial products to address foreign currency risk for project developers</w:t>
            </w:r>
          </w:p>
        </w:tc>
      </w:tr>
    </w:tbl>
    <w:p w14:paraId="0DC4A3B4" w14:textId="77777777" w:rsidR="00012E6B" w:rsidRPr="0012084C" w:rsidRDefault="00012E6B" w:rsidP="004622EC">
      <w:pPr>
        <w:pStyle w:val="a7"/>
        <w:tabs>
          <w:tab w:val="clear" w:pos="4153"/>
          <w:tab w:val="clear" w:pos="8306"/>
          <w:tab w:val="left" w:pos="426"/>
          <w:tab w:val="left" w:pos="9356"/>
        </w:tabs>
        <w:spacing w:after="120"/>
        <w:ind w:right="4"/>
        <w:rPr>
          <w:szCs w:val="22"/>
        </w:rPr>
      </w:pPr>
    </w:p>
    <w:p w14:paraId="4BC8E4EA" w14:textId="77777777" w:rsidR="003F1D67" w:rsidRDefault="000C109D" w:rsidP="0020322F">
      <w:pPr>
        <w:pStyle w:val="a7"/>
        <w:numPr>
          <w:ilvl w:val="0"/>
          <w:numId w:val="9"/>
        </w:numPr>
        <w:tabs>
          <w:tab w:val="clear" w:pos="4153"/>
          <w:tab w:val="clear" w:pos="8306"/>
          <w:tab w:val="left" w:pos="426"/>
          <w:tab w:val="left" w:pos="9356"/>
        </w:tabs>
        <w:spacing w:after="120"/>
        <w:ind w:left="0" w:right="4" w:firstLine="0"/>
        <w:rPr>
          <w:rFonts w:cs="Arial"/>
          <w:szCs w:val="22"/>
          <w:lang w:val="en-GB"/>
        </w:rPr>
      </w:pPr>
      <w:r w:rsidRPr="005E2B6A">
        <w:rPr>
          <w:rFonts w:cs="Arial"/>
          <w:szCs w:val="22"/>
          <w:lang w:val="en-GB"/>
        </w:rPr>
        <w:t xml:space="preserve">The </w:t>
      </w:r>
      <w:r w:rsidR="003F1D67">
        <w:rPr>
          <w:rFonts w:cs="Arial"/>
          <w:szCs w:val="22"/>
          <w:lang w:val="en-GB"/>
        </w:rPr>
        <w:t>approach</w:t>
      </w:r>
      <w:r w:rsidR="003F1D67" w:rsidRPr="005E2B6A">
        <w:rPr>
          <w:rFonts w:cs="Arial"/>
          <w:szCs w:val="22"/>
          <w:lang w:val="en-GB"/>
        </w:rPr>
        <w:t xml:space="preserve"> </w:t>
      </w:r>
      <w:r w:rsidRPr="005E2B6A">
        <w:rPr>
          <w:rFonts w:cs="Arial"/>
          <w:szCs w:val="22"/>
          <w:lang w:val="en-GB"/>
        </w:rPr>
        <w:t xml:space="preserve">to provide this support is to </w:t>
      </w:r>
      <w:r w:rsidR="00F15420" w:rsidRPr="005E2B6A">
        <w:rPr>
          <w:rFonts w:cs="Arial"/>
          <w:szCs w:val="22"/>
          <w:lang w:val="en-GB"/>
        </w:rPr>
        <w:t>reinforce</w:t>
      </w:r>
      <w:r w:rsidRPr="005E2B6A">
        <w:rPr>
          <w:rFonts w:cs="Arial"/>
          <w:szCs w:val="22"/>
          <w:lang w:val="en-GB"/>
        </w:rPr>
        <w:t xml:space="preserve"> the Ministry of Energy to facilitate creation of favourable conditions for renewable energy investment</w:t>
      </w:r>
      <w:r w:rsidR="003F1D67">
        <w:rPr>
          <w:rFonts w:cs="Arial"/>
          <w:szCs w:val="22"/>
          <w:lang w:val="en-GB"/>
        </w:rPr>
        <w:t>,</w:t>
      </w:r>
      <w:r w:rsidRPr="005E2B6A">
        <w:rPr>
          <w:rFonts w:cs="Arial"/>
          <w:szCs w:val="22"/>
          <w:lang w:val="en-GB"/>
        </w:rPr>
        <w:t xml:space="preserve"> and assist with designing and </w:t>
      </w:r>
      <w:r w:rsidR="00C953AA" w:rsidRPr="005E2B6A">
        <w:rPr>
          <w:rFonts w:cs="Arial"/>
          <w:szCs w:val="22"/>
          <w:lang w:val="en-GB"/>
        </w:rPr>
        <w:t>implementing</w:t>
      </w:r>
      <w:r w:rsidRPr="005E2B6A">
        <w:rPr>
          <w:rFonts w:cs="Arial"/>
          <w:szCs w:val="22"/>
          <w:lang w:val="en-GB"/>
        </w:rPr>
        <w:t xml:space="preserve"> derisking policies.</w:t>
      </w:r>
      <w:r w:rsidR="005E2B6A" w:rsidRPr="005E2B6A">
        <w:rPr>
          <w:rFonts w:cs="Arial"/>
          <w:szCs w:val="22"/>
          <w:lang w:val="en-GB"/>
        </w:rPr>
        <w:t xml:space="preserve"> This support may take the form of strengthening the analytical understanding of the </w:t>
      </w:r>
      <w:r w:rsidR="005E2B6A">
        <w:rPr>
          <w:rFonts w:cs="Arial"/>
          <w:szCs w:val="22"/>
          <w:lang w:val="en-GB"/>
        </w:rPr>
        <w:t>implications of policy options, and representing the Ministry in discussions with other government, civil society and private sector discussions.</w:t>
      </w:r>
      <w:r w:rsidRPr="005E2B6A">
        <w:rPr>
          <w:rFonts w:cs="Arial"/>
          <w:szCs w:val="22"/>
          <w:lang w:val="en-GB"/>
        </w:rPr>
        <w:t xml:space="preserve"> The </w:t>
      </w:r>
      <w:r w:rsidR="00F47A43" w:rsidRPr="005E2B6A">
        <w:rPr>
          <w:rFonts w:cs="Arial"/>
          <w:szCs w:val="22"/>
          <w:lang w:val="en-GB"/>
        </w:rPr>
        <w:t xml:space="preserve">Project will engage </w:t>
      </w:r>
      <w:r w:rsidR="00F15420" w:rsidRPr="005E2B6A">
        <w:rPr>
          <w:rFonts w:cs="Arial"/>
          <w:szCs w:val="22"/>
          <w:lang w:val="en-GB"/>
        </w:rPr>
        <w:t xml:space="preserve">local and international </w:t>
      </w:r>
      <w:r w:rsidRPr="005E2B6A">
        <w:rPr>
          <w:rFonts w:cs="Arial"/>
          <w:szCs w:val="22"/>
          <w:lang w:val="en-GB"/>
        </w:rPr>
        <w:t>experts to advi</w:t>
      </w:r>
      <w:r w:rsidR="005535B7">
        <w:rPr>
          <w:rFonts w:cs="Arial"/>
          <w:szCs w:val="22"/>
          <w:lang w:val="en-GB"/>
        </w:rPr>
        <w:t>s</w:t>
      </w:r>
      <w:r w:rsidRPr="005E2B6A">
        <w:rPr>
          <w:rFonts w:cs="Arial"/>
          <w:szCs w:val="22"/>
          <w:lang w:val="en-GB"/>
        </w:rPr>
        <w:t>e on a wide range of renewable energy issues with consideration of best international practices.</w:t>
      </w:r>
    </w:p>
    <w:p w14:paraId="7502CB82" w14:textId="77777777" w:rsidR="005E2B6A" w:rsidRPr="00AD2BEB" w:rsidRDefault="005E2B6A" w:rsidP="0020322F">
      <w:pPr>
        <w:pStyle w:val="a7"/>
        <w:numPr>
          <w:ilvl w:val="0"/>
          <w:numId w:val="9"/>
        </w:numPr>
        <w:tabs>
          <w:tab w:val="clear" w:pos="4153"/>
          <w:tab w:val="clear" w:pos="8306"/>
          <w:tab w:val="left" w:pos="426"/>
          <w:tab w:val="left" w:pos="9356"/>
        </w:tabs>
        <w:spacing w:after="120"/>
        <w:ind w:left="0" w:right="4" w:firstLine="0"/>
        <w:rPr>
          <w:rFonts w:cs="Arial"/>
          <w:szCs w:val="22"/>
          <w:lang w:val="en-GB"/>
        </w:rPr>
      </w:pPr>
      <w:r w:rsidRPr="00AD2BEB">
        <w:rPr>
          <w:rFonts w:cs="Arial"/>
          <w:szCs w:val="22"/>
          <w:lang w:val="en-GB"/>
        </w:rPr>
        <w:t>The work under this component will also benefit from knowledge management activities</w:t>
      </w:r>
      <w:r w:rsidR="00AD2BEB" w:rsidRPr="004622EC">
        <w:rPr>
          <w:rFonts w:cs="Arial"/>
          <w:szCs w:val="22"/>
          <w:lang w:val="en-GB"/>
        </w:rPr>
        <w:t>, including information exchange events, conferences, workshops and seminars focused on large-scale renewable energy issues.</w:t>
      </w:r>
    </w:p>
    <w:p w14:paraId="074626A7" w14:textId="77777777" w:rsidR="000C109D" w:rsidRDefault="000C109D" w:rsidP="00CA6A37">
      <w:pPr>
        <w:pStyle w:val="a7"/>
        <w:keepNext/>
        <w:keepLines/>
        <w:pBdr>
          <w:top w:val="single" w:sz="4" w:space="1" w:color="auto"/>
          <w:left w:val="single" w:sz="4" w:space="4" w:color="auto"/>
          <w:bottom w:val="single" w:sz="4" w:space="1" w:color="auto"/>
          <w:right w:val="single" w:sz="4" w:space="4" w:color="auto"/>
        </w:pBdr>
        <w:tabs>
          <w:tab w:val="clear" w:pos="4153"/>
          <w:tab w:val="clear" w:pos="8306"/>
          <w:tab w:val="left" w:pos="426"/>
        </w:tabs>
        <w:spacing w:after="120"/>
        <w:ind w:right="86"/>
        <w:jc w:val="left"/>
        <w:rPr>
          <w:rFonts w:cs="Arial"/>
          <w:szCs w:val="22"/>
          <w:lang w:val="en-GB"/>
        </w:rPr>
      </w:pPr>
      <w:r w:rsidRPr="00FA4DEA">
        <w:rPr>
          <w:rFonts w:cs="Arial"/>
          <w:b/>
          <w:i/>
          <w:szCs w:val="22"/>
          <w:lang w:val="en-GB"/>
        </w:rPr>
        <w:t>Output 1.1</w:t>
      </w:r>
      <w:r>
        <w:rPr>
          <w:rFonts w:cs="Arial"/>
          <w:szCs w:val="22"/>
          <w:lang w:val="en-GB"/>
        </w:rPr>
        <w:t xml:space="preserve"> Technical, economic, financial, environmental and social analysis carried out to support the Ministry of Energy and other stakeholders in the design and implementation of appropriate policies, programmes and regulations, including development of briefings for decision-makers</w:t>
      </w:r>
    </w:p>
    <w:p w14:paraId="294581DA" w14:textId="77777777" w:rsidR="001D3636" w:rsidRPr="004C0DE9" w:rsidRDefault="001D3636" w:rsidP="0020322F">
      <w:pPr>
        <w:pStyle w:val="a7"/>
        <w:numPr>
          <w:ilvl w:val="0"/>
          <w:numId w:val="9"/>
        </w:numPr>
        <w:tabs>
          <w:tab w:val="clear" w:pos="4153"/>
          <w:tab w:val="clear" w:pos="8306"/>
          <w:tab w:val="left" w:pos="426"/>
          <w:tab w:val="left" w:pos="9356"/>
        </w:tabs>
        <w:spacing w:after="120"/>
        <w:ind w:left="0" w:right="4" w:firstLine="0"/>
        <w:rPr>
          <w:rFonts w:cs="Arial"/>
          <w:szCs w:val="22"/>
          <w:lang w:val="en-GB"/>
        </w:rPr>
      </w:pPr>
      <w:r w:rsidRPr="004C0DE9">
        <w:rPr>
          <w:rFonts w:cs="Arial"/>
          <w:szCs w:val="22"/>
          <w:lang w:val="en-GB"/>
        </w:rPr>
        <w:t xml:space="preserve">The activities </w:t>
      </w:r>
      <w:r w:rsidR="003F1D67" w:rsidRPr="004C0DE9">
        <w:rPr>
          <w:rFonts w:cs="Arial"/>
          <w:szCs w:val="22"/>
          <w:lang w:val="en-GB"/>
        </w:rPr>
        <w:t xml:space="preserve">to achieve </w:t>
      </w:r>
      <w:r w:rsidRPr="004C0DE9">
        <w:rPr>
          <w:rFonts w:cs="Arial"/>
          <w:szCs w:val="22"/>
          <w:lang w:val="en-GB"/>
        </w:rPr>
        <w:t xml:space="preserve">this output are </w:t>
      </w:r>
      <w:r w:rsidR="003F1D67" w:rsidRPr="004C0DE9">
        <w:rPr>
          <w:rFonts w:cs="Arial"/>
          <w:szCs w:val="22"/>
          <w:lang w:val="en-GB"/>
        </w:rPr>
        <w:t xml:space="preserve">described below and </w:t>
      </w:r>
      <w:r w:rsidRPr="004C0DE9">
        <w:rPr>
          <w:rFonts w:cs="Arial"/>
          <w:szCs w:val="22"/>
          <w:lang w:val="en-GB"/>
        </w:rPr>
        <w:t>will be reviewed, in light of new developments and in coordination with other donors and IFIs</w:t>
      </w:r>
      <w:r w:rsidR="00D12F08" w:rsidRPr="004C0DE9">
        <w:rPr>
          <w:rFonts w:cs="Arial"/>
          <w:szCs w:val="22"/>
          <w:lang w:val="en-GB"/>
        </w:rPr>
        <w:t>,</w:t>
      </w:r>
      <w:r w:rsidRPr="004C0DE9">
        <w:rPr>
          <w:rFonts w:cs="Arial"/>
          <w:szCs w:val="22"/>
          <w:lang w:val="en-GB"/>
        </w:rPr>
        <w:t xml:space="preserve"> during the project</w:t>
      </w:r>
      <w:r w:rsidR="003F1D67" w:rsidRPr="004C0DE9">
        <w:rPr>
          <w:rFonts w:cs="Arial"/>
          <w:szCs w:val="22"/>
          <w:lang w:val="en-GB"/>
        </w:rPr>
        <w:t>’s</w:t>
      </w:r>
      <w:r w:rsidRPr="004C0DE9">
        <w:rPr>
          <w:rFonts w:cs="Arial"/>
          <w:szCs w:val="22"/>
          <w:lang w:val="en-GB"/>
        </w:rPr>
        <w:t xml:space="preserve"> </w:t>
      </w:r>
      <w:r w:rsidR="003F1D67" w:rsidRPr="004C0DE9">
        <w:rPr>
          <w:rFonts w:cs="Arial"/>
          <w:szCs w:val="22"/>
          <w:lang w:val="en-GB"/>
        </w:rPr>
        <w:t>Inception P</w:t>
      </w:r>
      <w:r w:rsidRPr="004C0DE9">
        <w:rPr>
          <w:rFonts w:cs="Arial"/>
          <w:szCs w:val="22"/>
          <w:lang w:val="en-GB"/>
        </w:rPr>
        <w:t>hase</w:t>
      </w:r>
      <w:r w:rsidR="005E2B6A" w:rsidRPr="004C0DE9">
        <w:rPr>
          <w:rFonts w:cs="Arial"/>
          <w:szCs w:val="22"/>
          <w:lang w:val="en-GB"/>
        </w:rPr>
        <w:t xml:space="preserve"> and regularly during the course of the project</w:t>
      </w:r>
      <w:r w:rsidR="003F1D67" w:rsidRPr="004C0DE9">
        <w:rPr>
          <w:rFonts w:cs="Arial"/>
          <w:szCs w:val="22"/>
          <w:lang w:val="en-GB"/>
        </w:rPr>
        <w:t>’s implementation</w:t>
      </w:r>
      <w:r w:rsidRPr="004C0DE9">
        <w:rPr>
          <w:rFonts w:cs="Arial"/>
          <w:szCs w:val="22"/>
          <w:lang w:val="en-GB"/>
        </w:rPr>
        <w:t>.</w:t>
      </w:r>
      <w:r w:rsidR="004C0DE9" w:rsidRPr="004C0DE9">
        <w:rPr>
          <w:rFonts w:cs="Arial"/>
          <w:szCs w:val="22"/>
          <w:lang w:val="en-GB"/>
        </w:rPr>
        <w:t xml:space="preserve"> The DREI Analysis will form the basis of financial and economic analyses for cost-effective and coordinated design of policy and financial derisking instruments for </w:t>
      </w:r>
      <w:r w:rsidR="005E5031" w:rsidRPr="004C0DE9">
        <w:rPr>
          <w:rFonts w:cs="Arial"/>
          <w:szCs w:val="22"/>
          <w:lang w:val="en-GB"/>
        </w:rPr>
        <w:t>Kazakhstan</w:t>
      </w:r>
      <w:r w:rsidR="004C0DE9" w:rsidRPr="004C0DE9">
        <w:rPr>
          <w:rFonts w:cs="Arial"/>
          <w:szCs w:val="22"/>
          <w:lang w:val="en-GB"/>
        </w:rPr>
        <w:t xml:space="preserve"> to achieve its 2030 targets in wind energy and solar PV. </w:t>
      </w:r>
    </w:p>
    <w:p w14:paraId="6A934FF9" w14:textId="77777777" w:rsidR="001D3636" w:rsidRPr="00780BCE" w:rsidRDefault="001D3636" w:rsidP="001D3636">
      <w:pPr>
        <w:pStyle w:val="a7"/>
        <w:tabs>
          <w:tab w:val="clear" w:pos="4153"/>
          <w:tab w:val="clear" w:pos="8306"/>
          <w:tab w:val="left" w:pos="426"/>
        </w:tabs>
        <w:spacing w:after="120"/>
        <w:ind w:right="288"/>
        <w:jc w:val="left"/>
        <w:rPr>
          <w:szCs w:val="22"/>
        </w:rPr>
      </w:pPr>
      <w:r w:rsidRPr="00AE69B1">
        <w:rPr>
          <w:rFonts w:cs="Arial"/>
          <w:b/>
          <w:i/>
          <w:szCs w:val="22"/>
          <w:lang w:val="en-GB"/>
        </w:rPr>
        <w:t>Measures addressing power market risk</w:t>
      </w:r>
    </w:p>
    <w:p w14:paraId="3070041C" w14:textId="77777777" w:rsidR="00615DD4" w:rsidRPr="007029DF" w:rsidRDefault="000C109D" w:rsidP="004C0DE9">
      <w:pPr>
        <w:ind w:left="1267" w:hanging="1260"/>
        <w:contextualSpacing/>
        <w:rPr>
          <w:szCs w:val="22"/>
        </w:rPr>
      </w:pPr>
      <w:r w:rsidRPr="007029DF">
        <w:rPr>
          <w:rFonts w:cs="Arial"/>
          <w:szCs w:val="22"/>
          <w:lang w:val="en-GB"/>
        </w:rPr>
        <w:t xml:space="preserve">Activity 1.1.1: </w:t>
      </w:r>
      <w:r w:rsidR="006D5A4D" w:rsidRPr="007029DF">
        <w:rPr>
          <w:szCs w:val="22"/>
        </w:rPr>
        <w:t xml:space="preserve">Support the ministry of Energy, in coordination with other donors, to develop methods for renewable energy auctions, to ensure cost effective actions, and necessary parallel operation </w:t>
      </w:r>
      <w:r w:rsidR="00A94FE7" w:rsidRPr="007029DF">
        <w:rPr>
          <w:szCs w:val="22"/>
        </w:rPr>
        <w:t>of the feed in tariff (for those with already approved PPAs).</w:t>
      </w:r>
      <w:r w:rsidR="006D5A4D" w:rsidRPr="007029DF">
        <w:rPr>
          <w:szCs w:val="22"/>
        </w:rPr>
        <w:t xml:space="preserve">  </w:t>
      </w:r>
    </w:p>
    <w:p w14:paraId="545A7B4A" w14:textId="77777777" w:rsidR="001D3636" w:rsidRPr="007029DF" w:rsidRDefault="001D3636" w:rsidP="004622EC">
      <w:pPr>
        <w:ind w:left="1267" w:hanging="1260"/>
        <w:contextualSpacing/>
        <w:rPr>
          <w:szCs w:val="22"/>
        </w:rPr>
      </w:pPr>
      <w:r w:rsidRPr="007029DF">
        <w:rPr>
          <w:szCs w:val="22"/>
        </w:rPr>
        <w:t>Activity 1.1.2:</w:t>
      </w:r>
      <w:r w:rsidR="008A78FB" w:rsidRPr="007029DF">
        <w:rPr>
          <w:szCs w:val="22"/>
        </w:rPr>
        <w:t xml:space="preserve"> Develop</w:t>
      </w:r>
      <w:r w:rsidRPr="007029DF">
        <w:rPr>
          <w:szCs w:val="22"/>
        </w:rPr>
        <w:t xml:space="preserve"> </w:t>
      </w:r>
      <w:r w:rsidR="00CF3C5B" w:rsidRPr="007029DF">
        <w:rPr>
          <w:szCs w:val="22"/>
        </w:rPr>
        <w:t xml:space="preserve">recommendations for </w:t>
      </w:r>
      <w:r w:rsidR="008A78FB" w:rsidRPr="007029DF">
        <w:rPr>
          <w:szCs w:val="22"/>
        </w:rPr>
        <w:t>i</w:t>
      </w:r>
      <w:r w:rsidRPr="007029DF">
        <w:rPr>
          <w:szCs w:val="22"/>
        </w:rPr>
        <w:t>mprovements in the methodology for setting and reviewing the feed in tariff</w:t>
      </w:r>
      <w:r w:rsidR="003F1D67" w:rsidRPr="007029DF">
        <w:rPr>
          <w:szCs w:val="22"/>
        </w:rPr>
        <w:t>.</w:t>
      </w:r>
    </w:p>
    <w:p w14:paraId="2E38ACE9" w14:textId="77777777" w:rsidR="00E577E9" w:rsidRPr="007029DF" w:rsidRDefault="00E577E9" w:rsidP="004622EC">
      <w:pPr>
        <w:pStyle w:val="a7"/>
        <w:tabs>
          <w:tab w:val="clear" w:pos="4153"/>
          <w:tab w:val="clear" w:pos="8306"/>
          <w:tab w:val="left" w:pos="426"/>
        </w:tabs>
        <w:spacing w:after="120"/>
        <w:rPr>
          <w:rFonts w:cs="Arial"/>
          <w:b/>
          <w:i/>
          <w:szCs w:val="22"/>
          <w:lang w:val="en-GB"/>
        </w:rPr>
      </w:pPr>
      <w:r w:rsidRPr="007029DF">
        <w:rPr>
          <w:rFonts w:cs="Arial"/>
          <w:b/>
          <w:i/>
          <w:szCs w:val="22"/>
          <w:lang w:val="en-GB"/>
        </w:rPr>
        <w:t>Measures addressing permitting risks</w:t>
      </w:r>
    </w:p>
    <w:p w14:paraId="4F4E371E" w14:textId="77777777" w:rsidR="00E577E9" w:rsidRPr="007029DF" w:rsidRDefault="00E577E9" w:rsidP="004622EC">
      <w:pPr>
        <w:ind w:left="1260" w:hanging="1260"/>
        <w:rPr>
          <w:szCs w:val="22"/>
        </w:rPr>
      </w:pPr>
      <w:r w:rsidRPr="007029DF">
        <w:rPr>
          <w:szCs w:val="22"/>
        </w:rPr>
        <w:t>Activity 1.1.</w:t>
      </w:r>
      <w:r w:rsidR="000B16C3" w:rsidRPr="007029DF">
        <w:rPr>
          <w:szCs w:val="22"/>
        </w:rPr>
        <w:t>3</w:t>
      </w:r>
      <w:r w:rsidRPr="007029DF">
        <w:rPr>
          <w:szCs w:val="22"/>
        </w:rPr>
        <w:t>: Develop analysis and recommendations on land allocation rules and procedures to address short-term / long-term needs (as reflected in the 1 July 2016 Land Code)</w:t>
      </w:r>
      <w:r w:rsidR="003F1D67" w:rsidRPr="007029DF">
        <w:rPr>
          <w:szCs w:val="22"/>
        </w:rPr>
        <w:t>.</w:t>
      </w:r>
    </w:p>
    <w:p w14:paraId="06A556E3" w14:textId="77777777" w:rsidR="00E577E9" w:rsidRPr="007029DF" w:rsidRDefault="00E577E9" w:rsidP="004622EC">
      <w:pPr>
        <w:pStyle w:val="a7"/>
        <w:tabs>
          <w:tab w:val="clear" w:pos="4153"/>
          <w:tab w:val="clear" w:pos="8306"/>
          <w:tab w:val="left" w:pos="426"/>
        </w:tabs>
        <w:spacing w:after="120"/>
        <w:rPr>
          <w:rFonts w:cs="Arial"/>
          <w:b/>
          <w:i/>
          <w:szCs w:val="22"/>
          <w:lang w:val="en-GB"/>
        </w:rPr>
      </w:pPr>
      <w:r w:rsidRPr="007029DF">
        <w:rPr>
          <w:rFonts w:cs="Arial"/>
          <w:b/>
          <w:i/>
          <w:szCs w:val="22"/>
          <w:lang w:val="en-GB"/>
        </w:rPr>
        <w:t>Measures addressing grid and transmission network</w:t>
      </w:r>
    </w:p>
    <w:p w14:paraId="100305E7" w14:textId="77777777" w:rsidR="00E577E9" w:rsidRPr="007029DF" w:rsidRDefault="00E577E9" w:rsidP="004622EC">
      <w:pPr>
        <w:pStyle w:val="a7"/>
        <w:ind w:left="1267" w:hanging="1267"/>
        <w:contextualSpacing/>
        <w:rPr>
          <w:szCs w:val="22"/>
        </w:rPr>
      </w:pPr>
      <w:r w:rsidRPr="007029DF">
        <w:rPr>
          <w:szCs w:val="22"/>
        </w:rPr>
        <w:t>Activity 1.1.</w:t>
      </w:r>
      <w:r w:rsidR="000B16C3" w:rsidRPr="007029DF">
        <w:rPr>
          <w:szCs w:val="22"/>
        </w:rPr>
        <w:t>4</w:t>
      </w:r>
      <w:r w:rsidRPr="007029DF">
        <w:rPr>
          <w:szCs w:val="22"/>
        </w:rPr>
        <w:t xml:space="preserve">: </w:t>
      </w:r>
      <w:r w:rsidR="00CF3C5B" w:rsidRPr="007029DF">
        <w:rPr>
          <w:szCs w:val="22"/>
        </w:rPr>
        <w:t xml:space="preserve">Improve the proposals for </w:t>
      </w:r>
      <w:r w:rsidRPr="007029DF">
        <w:rPr>
          <w:szCs w:val="22"/>
        </w:rPr>
        <w:t>technical rules for renewables, including analyzing and providing argumentation related to the new obligation on solar PV operators to install and operate batteries at the request of the system operator</w:t>
      </w:r>
      <w:r w:rsidR="003F1D67" w:rsidRPr="007029DF">
        <w:rPr>
          <w:szCs w:val="22"/>
        </w:rPr>
        <w:t>.</w:t>
      </w:r>
    </w:p>
    <w:p w14:paraId="5F0634AD" w14:textId="77777777" w:rsidR="00E577E9" w:rsidRPr="007029DF" w:rsidRDefault="00E577E9" w:rsidP="004622EC">
      <w:pPr>
        <w:pStyle w:val="a7"/>
        <w:ind w:left="1267" w:hanging="1267"/>
        <w:contextualSpacing/>
        <w:rPr>
          <w:szCs w:val="22"/>
        </w:rPr>
      </w:pPr>
      <w:r w:rsidRPr="007029DF">
        <w:rPr>
          <w:szCs w:val="22"/>
        </w:rPr>
        <w:t>Activity 1.1.</w:t>
      </w:r>
      <w:r w:rsidR="000B16C3" w:rsidRPr="007029DF">
        <w:rPr>
          <w:szCs w:val="22"/>
        </w:rPr>
        <w:t>5</w:t>
      </w:r>
      <w:r w:rsidRPr="007029DF">
        <w:rPr>
          <w:szCs w:val="22"/>
        </w:rPr>
        <w:t>: Develop approaches and recommendations on the participation of conventional power producers in the renewable energy market (i.e. when acquiring renewable energy power plants)</w:t>
      </w:r>
      <w:r w:rsidR="003F1D67" w:rsidRPr="007029DF">
        <w:rPr>
          <w:szCs w:val="22"/>
        </w:rPr>
        <w:t>.</w:t>
      </w:r>
    </w:p>
    <w:p w14:paraId="0C1FAED0" w14:textId="77777777" w:rsidR="00615DD4" w:rsidRPr="007029DF" w:rsidRDefault="00615DD4" w:rsidP="004622EC">
      <w:pPr>
        <w:pStyle w:val="a7"/>
        <w:tabs>
          <w:tab w:val="clear" w:pos="4153"/>
          <w:tab w:val="clear" w:pos="8306"/>
          <w:tab w:val="left" w:pos="426"/>
        </w:tabs>
        <w:spacing w:after="120"/>
        <w:rPr>
          <w:rFonts w:cs="Arial"/>
          <w:b/>
          <w:i/>
          <w:szCs w:val="22"/>
          <w:lang w:val="en-GB"/>
        </w:rPr>
      </w:pPr>
      <w:r w:rsidRPr="007029DF">
        <w:rPr>
          <w:rFonts w:cs="Arial"/>
          <w:b/>
          <w:i/>
          <w:szCs w:val="22"/>
          <w:lang w:val="en-GB"/>
        </w:rPr>
        <w:t>Measures addressing counterparty</w:t>
      </w:r>
      <w:r w:rsidR="005E2B6A" w:rsidRPr="007029DF">
        <w:rPr>
          <w:rFonts w:cs="Arial"/>
          <w:b/>
          <w:i/>
          <w:szCs w:val="22"/>
          <w:lang w:val="en-GB"/>
        </w:rPr>
        <w:t xml:space="preserve"> risks</w:t>
      </w:r>
    </w:p>
    <w:p w14:paraId="36820C7F" w14:textId="77777777" w:rsidR="001D3636" w:rsidRPr="007029DF" w:rsidRDefault="001D3636" w:rsidP="004622EC">
      <w:pPr>
        <w:pStyle w:val="a7"/>
        <w:tabs>
          <w:tab w:val="clear" w:pos="4153"/>
          <w:tab w:val="clear" w:pos="8306"/>
          <w:tab w:val="left" w:pos="426"/>
        </w:tabs>
        <w:spacing w:after="120"/>
        <w:ind w:left="1267" w:hanging="1267"/>
        <w:contextualSpacing/>
        <w:rPr>
          <w:rFonts w:cs="Arial"/>
          <w:szCs w:val="22"/>
          <w:lang w:val="en-GB"/>
        </w:rPr>
      </w:pPr>
      <w:r w:rsidRPr="007029DF">
        <w:rPr>
          <w:rFonts w:cs="Arial"/>
          <w:szCs w:val="22"/>
          <w:lang w:val="en-GB"/>
        </w:rPr>
        <w:t>Activity 1.1.</w:t>
      </w:r>
      <w:r w:rsidR="000B16C3" w:rsidRPr="007029DF">
        <w:rPr>
          <w:rFonts w:cs="Arial"/>
          <w:szCs w:val="22"/>
          <w:lang w:val="en-GB"/>
        </w:rPr>
        <w:t>6</w:t>
      </w:r>
      <w:r w:rsidRPr="007029DF">
        <w:rPr>
          <w:rFonts w:cs="Arial"/>
          <w:szCs w:val="22"/>
          <w:lang w:val="en-GB"/>
        </w:rPr>
        <w:t xml:space="preserve">: </w:t>
      </w:r>
      <w:r w:rsidR="00067F8E" w:rsidRPr="007029DF">
        <w:rPr>
          <w:rFonts w:cs="Arial"/>
          <w:szCs w:val="22"/>
          <w:lang w:val="en-GB"/>
        </w:rPr>
        <w:t>Carry out analytical and legal w</w:t>
      </w:r>
      <w:r w:rsidRPr="007029DF">
        <w:rPr>
          <w:rFonts w:cs="Arial"/>
          <w:szCs w:val="22"/>
          <w:lang w:val="en-GB"/>
        </w:rPr>
        <w:t>ork to address the long-term creditworthiness of the Settlement Centre</w:t>
      </w:r>
      <w:r w:rsidR="00781328" w:rsidRPr="007029DF">
        <w:rPr>
          <w:rFonts w:cs="Arial"/>
          <w:szCs w:val="22"/>
          <w:lang w:val="en-GB"/>
        </w:rPr>
        <w:t>.</w:t>
      </w:r>
    </w:p>
    <w:p w14:paraId="3626410C" w14:textId="77777777" w:rsidR="00615DD4" w:rsidRPr="007029DF" w:rsidRDefault="00673257" w:rsidP="004622EC">
      <w:pPr>
        <w:pStyle w:val="a7"/>
        <w:ind w:left="1267" w:hanging="1267"/>
        <w:contextualSpacing/>
        <w:rPr>
          <w:szCs w:val="22"/>
        </w:rPr>
      </w:pPr>
      <w:r w:rsidRPr="007029DF">
        <w:rPr>
          <w:szCs w:val="22"/>
        </w:rPr>
        <w:t>Activity 1.1.</w:t>
      </w:r>
      <w:r w:rsidR="000B16C3" w:rsidRPr="007029DF">
        <w:rPr>
          <w:szCs w:val="22"/>
        </w:rPr>
        <w:t>7</w:t>
      </w:r>
      <w:r w:rsidRPr="007029DF">
        <w:rPr>
          <w:szCs w:val="22"/>
        </w:rPr>
        <w:t xml:space="preserve">: </w:t>
      </w:r>
      <w:r w:rsidR="00A63FCA" w:rsidRPr="007029DF">
        <w:rPr>
          <w:szCs w:val="22"/>
        </w:rPr>
        <w:t>Develop r</w:t>
      </w:r>
      <w:r w:rsidRPr="007029DF">
        <w:rPr>
          <w:szCs w:val="22"/>
        </w:rPr>
        <w:t>ecommendations on a guarantee scheme for PPAs</w:t>
      </w:r>
      <w:r w:rsidR="00781328" w:rsidRPr="007029DF">
        <w:rPr>
          <w:szCs w:val="22"/>
        </w:rPr>
        <w:t>.</w:t>
      </w:r>
    </w:p>
    <w:p w14:paraId="749A4C30" w14:textId="77777777" w:rsidR="00E577E9" w:rsidRPr="007029DF" w:rsidRDefault="00E577E9" w:rsidP="004622EC">
      <w:pPr>
        <w:pStyle w:val="a7"/>
        <w:tabs>
          <w:tab w:val="clear" w:pos="4153"/>
          <w:tab w:val="clear" w:pos="8306"/>
          <w:tab w:val="left" w:pos="426"/>
        </w:tabs>
        <w:spacing w:before="120" w:after="120"/>
        <w:rPr>
          <w:rFonts w:cs="Arial"/>
          <w:b/>
          <w:i/>
          <w:szCs w:val="22"/>
          <w:lang w:val="en-GB"/>
        </w:rPr>
      </w:pPr>
      <w:r w:rsidRPr="007029DF">
        <w:rPr>
          <w:rFonts w:cs="Arial"/>
          <w:b/>
          <w:i/>
          <w:szCs w:val="22"/>
          <w:lang w:val="en-GB"/>
        </w:rPr>
        <w:t>Measures addressing currency risks</w:t>
      </w:r>
    </w:p>
    <w:p w14:paraId="5E69BDAE" w14:textId="77777777" w:rsidR="00E577E9" w:rsidRPr="007029DF" w:rsidRDefault="00E577E9" w:rsidP="004622EC">
      <w:pPr>
        <w:pStyle w:val="a7"/>
        <w:ind w:left="1267" w:hanging="1267"/>
        <w:contextualSpacing/>
        <w:rPr>
          <w:szCs w:val="22"/>
        </w:rPr>
      </w:pPr>
      <w:r w:rsidRPr="007029DF">
        <w:rPr>
          <w:szCs w:val="22"/>
        </w:rPr>
        <w:t>Activity 1.1.</w:t>
      </w:r>
      <w:r w:rsidR="000B16C3" w:rsidRPr="007029DF">
        <w:rPr>
          <w:szCs w:val="22"/>
        </w:rPr>
        <w:t>8</w:t>
      </w:r>
      <w:r w:rsidRPr="007029DF">
        <w:rPr>
          <w:szCs w:val="22"/>
        </w:rPr>
        <w:t>: Implement analysis of payment reflows and risk exposures under the FiT and auction models</w:t>
      </w:r>
      <w:r w:rsidR="00781328" w:rsidRPr="007029DF">
        <w:rPr>
          <w:szCs w:val="22"/>
        </w:rPr>
        <w:t>.</w:t>
      </w:r>
    </w:p>
    <w:p w14:paraId="199E99F3" w14:textId="77777777" w:rsidR="00E577E9" w:rsidRPr="007029DF" w:rsidRDefault="000B16C3" w:rsidP="004622EC">
      <w:pPr>
        <w:pStyle w:val="a7"/>
        <w:spacing w:after="120"/>
        <w:ind w:left="1267" w:hanging="1267"/>
        <w:contextualSpacing/>
        <w:rPr>
          <w:szCs w:val="22"/>
        </w:rPr>
      </w:pPr>
      <w:r w:rsidRPr="007029DF">
        <w:rPr>
          <w:szCs w:val="22"/>
        </w:rPr>
        <w:t>Activity 1.1.9</w:t>
      </w:r>
      <w:r w:rsidR="00E577E9" w:rsidRPr="007029DF">
        <w:rPr>
          <w:szCs w:val="22"/>
        </w:rPr>
        <w:t>: Implement analysis and guidance on approaches to address currency risk through, for instance, partial indexation</w:t>
      </w:r>
      <w:r w:rsidR="005535B7" w:rsidRPr="007029DF">
        <w:rPr>
          <w:szCs w:val="22"/>
        </w:rPr>
        <w:t>.</w:t>
      </w:r>
    </w:p>
    <w:p w14:paraId="7484BBAB" w14:textId="77777777" w:rsidR="00893F45" w:rsidRPr="007029DF" w:rsidRDefault="00893F45" w:rsidP="004622EC">
      <w:pPr>
        <w:pStyle w:val="a7"/>
        <w:spacing w:after="120"/>
        <w:ind w:left="1267" w:hanging="1267"/>
        <w:contextualSpacing/>
        <w:rPr>
          <w:szCs w:val="22"/>
        </w:rPr>
      </w:pPr>
    </w:p>
    <w:p w14:paraId="23207866" w14:textId="77777777" w:rsidR="000C109D" w:rsidRPr="007029DF" w:rsidRDefault="000C109D" w:rsidP="004622EC">
      <w:pPr>
        <w:pStyle w:val="a7"/>
        <w:keepNext/>
        <w:pBdr>
          <w:top w:val="single" w:sz="4" w:space="1" w:color="auto"/>
          <w:left w:val="single" w:sz="4" w:space="4" w:color="auto"/>
          <w:bottom w:val="single" w:sz="4" w:space="1" w:color="auto"/>
          <w:right w:val="single" w:sz="4" w:space="4" w:color="auto"/>
        </w:pBdr>
        <w:tabs>
          <w:tab w:val="clear" w:pos="4153"/>
          <w:tab w:val="clear" w:pos="8306"/>
          <w:tab w:val="left" w:pos="426"/>
        </w:tabs>
        <w:spacing w:before="120" w:after="120"/>
        <w:rPr>
          <w:rFonts w:cs="Arial"/>
          <w:szCs w:val="22"/>
          <w:lang w:val="en-GB"/>
        </w:rPr>
      </w:pPr>
      <w:r w:rsidRPr="007029DF">
        <w:rPr>
          <w:rFonts w:cs="Arial"/>
          <w:b/>
          <w:i/>
          <w:szCs w:val="22"/>
          <w:lang w:val="en-GB"/>
        </w:rPr>
        <w:t>Output 1.</w:t>
      </w:r>
      <w:r w:rsidR="00E577E9" w:rsidRPr="007029DF">
        <w:rPr>
          <w:rFonts w:cs="Arial"/>
          <w:b/>
          <w:i/>
          <w:szCs w:val="22"/>
          <w:lang w:val="en-GB"/>
        </w:rPr>
        <w:t>2</w:t>
      </w:r>
      <w:r w:rsidRPr="007029DF">
        <w:rPr>
          <w:rFonts w:cs="Arial"/>
          <w:szCs w:val="22"/>
          <w:lang w:val="en-GB"/>
        </w:rPr>
        <w:t xml:space="preserve"> Capacity building of key stakeholders through coaching and training seminars / study tours</w:t>
      </w:r>
    </w:p>
    <w:p w14:paraId="2FB79C79" w14:textId="77777777" w:rsidR="000C109D" w:rsidRPr="007029DF" w:rsidRDefault="000C109D" w:rsidP="004622EC">
      <w:pPr>
        <w:pStyle w:val="a7"/>
        <w:tabs>
          <w:tab w:val="clear" w:pos="4153"/>
          <w:tab w:val="clear" w:pos="8306"/>
          <w:tab w:val="left" w:pos="426"/>
        </w:tabs>
        <w:spacing w:after="120"/>
        <w:ind w:left="1267" w:hanging="1267"/>
        <w:contextualSpacing/>
        <w:rPr>
          <w:rFonts w:cs="Arial"/>
          <w:szCs w:val="22"/>
          <w:lang w:val="en-GB"/>
        </w:rPr>
      </w:pPr>
      <w:r w:rsidRPr="007029DF">
        <w:rPr>
          <w:rFonts w:cs="Arial"/>
          <w:szCs w:val="22"/>
          <w:lang w:val="en-GB"/>
        </w:rPr>
        <w:t>Activity 1.</w:t>
      </w:r>
      <w:r w:rsidR="000B16C3" w:rsidRPr="007029DF">
        <w:rPr>
          <w:rFonts w:cs="Arial"/>
          <w:szCs w:val="22"/>
          <w:lang w:val="en-GB"/>
        </w:rPr>
        <w:t>2</w:t>
      </w:r>
      <w:r w:rsidRPr="007029DF">
        <w:rPr>
          <w:rFonts w:cs="Arial"/>
          <w:szCs w:val="22"/>
          <w:lang w:val="en-GB"/>
        </w:rPr>
        <w:t xml:space="preserve">.1: </w:t>
      </w:r>
      <w:r w:rsidR="0023631F" w:rsidRPr="007029DF">
        <w:rPr>
          <w:rFonts w:cs="Arial"/>
          <w:szCs w:val="22"/>
          <w:lang w:val="en-GB"/>
        </w:rPr>
        <w:t>Carry</w:t>
      </w:r>
      <w:r w:rsidRPr="007029DF">
        <w:rPr>
          <w:rFonts w:cs="Arial"/>
          <w:szCs w:val="22"/>
          <w:lang w:val="en-GB"/>
        </w:rPr>
        <w:t xml:space="preserve"> out trainin</w:t>
      </w:r>
      <w:r w:rsidR="0023631F" w:rsidRPr="007029DF">
        <w:rPr>
          <w:rFonts w:cs="Arial"/>
          <w:szCs w:val="22"/>
          <w:lang w:val="en-GB"/>
        </w:rPr>
        <w:t>g needs assessment</w:t>
      </w:r>
      <w:r w:rsidR="00CF3C5B" w:rsidRPr="007029DF">
        <w:rPr>
          <w:rFonts w:cs="Arial"/>
          <w:szCs w:val="22"/>
          <w:lang w:val="en-GB"/>
        </w:rPr>
        <w:t>, design a training programme,</w:t>
      </w:r>
      <w:r w:rsidR="0023631F" w:rsidRPr="007029DF">
        <w:rPr>
          <w:rFonts w:cs="Arial"/>
          <w:szCs w:val="22"/>
          <w:lang w:val="en-GB"/>
        </w:rPr>
        <w:t xml:space="preserve"> and provide</w:t>
      </w:r>
      <w:r w:rsidRPr="007029DF">
        <w:rPr>
          <w:rFonts w:cs="Arial"/>
          <w:szCs w:val="22"/>
          <w:lang w:val="en-GB"/>
        </w:rPr>
        <w:t xml:space="preserve"> training for local staff-members</w:t>
      </w:r>
      <w:r w:rsidR="00FC31B1" w:rsidRPr="007029DF">
        <w:rPr>
          <w:rFonts w:cs="Arial"/>
          <w:szCs w:val="22"/>
          <w:lang w:val="en-GB"/>
        </w:rPr>
        <w:t xml:space="preserve"> on large-scale renewable energy development issues. </w:t>
      </w:r>
    </w:p>
    <w:p w14:paraId="31FAA95F" w14:textId="77777777" w:rsidR="000C109D" w:rsidRPr="007029DF" w:rsidRDefault="0023631F" w:rsidP="004622EC">
      <w:pPr>
        <w:pStyle w:val="a7"/>
        <w:tabs>
          <w:tab w:val="clear" w:pos="4153"/>
          <w:tab w:val="clear" w:pos="8306"/>
          <w:tab w:val="left" w:pos="426"/>
        </w:tabs>
        <w:spacing w:after="120"/>
        <w:ind w:left="1267" w:hanging="1267"/>
        <w:contextualSpacing/>
        <w:rPr>
          <w:rFonts w:cs="Arial"/>
          <w:szCs w:val="22"/>
          <w:lang w:val="en-GB"/>
        </w:rPr>
      </w:pPr>
      <w:r w:rsidRPr="007029DF">
        <w:rPr>
          <w:rFonts w:cs="Arial"/>
          <w:szCs w:val="22"/>
          <w:lang w:val="en-GB"/>
        </w:rPr>
        <w:t>Activity 1.</w:t>
      </w:r>
      <w:r w:rsidR="000B16C3" w:rsidRPr="007029DF">
        <w:rPr>
          <w:rFonts w:cs="Arial"/>
          <w:szCs w:val="22"/>
          <w:lang w:val="en-GB"/>
        </w:rPr>
        <w:t>2</w:t>
      </w:r>
      <w:r w:rsidRPr="007029DF">
        <w:rPr>
          <w:rFonts w:cs="Arial"/>
          <w:szCs w:val="22"/>
          <w:lang w:val="en-GB"/>
        </w:rPr>
        <w:t xml:space="preserve">.2: Organise </w:t>
      </w:r>
      <w:r w:rsidR="000C109D" w:rsidRPr="007029DF">
        <w:rPr>
          <w:rFonts w:cs="Arial"/>
          <w:szCs w:val="22"/>
          <w:lang w:val="en-GB"/>
        </w:rPr>
        <w:t>regular information exchange events, conferences, workshops and seminars</w:t>
      </w:r>
      <w:r w:rsidR="00FC31B1" w:rsidRPr="007029DF">
        <w:rPr>
          <w:rFonts w:cs="Arial"/>
          <w:szCs w:val="22"/>
          <w:lang w:val="en-GB"/>
        </w:rPr>
        <w:t xml:space="preserve"> on large-scale renewable energy issues.</w:t>
      </w:r>
    </w:p>
    <w:p w14:paraId="78406C10" w14:textId="77777777" w:rsidR="000D26BE" w:rsidRPr="007029DF" w:rsidRDefault="000D26BE" w:rsidP="00CA6A37">
      <w:pPr>
        <w:pStyle w:val="a7"/>
        <w:keepNext/>
        <w:keepLines/>
        <w:spacing w:before="360" w:after="120"/>
        <w:rPr>
          <w:b/>
          <w:bCs/>
          <w:szCs w:val="22"/>
        </w:rPr>
      </w:pPr>
      <w:r w:rsidRPr="007029DF">
        <w:rPr>
          <w:b/>
          <w:bCs/>
          <w:szCs w:val="22"/>
        </w:rPr>
        <w:t>Component 2: Renewable Energy for Life: Policy Derisking</w:t>
      </w:r>
    </w:p>
    <w:p w14:paraId="5A7E97C0" w14:textId="77777777" w:rsidR="000D26BE" w:rsidRPr="007029DF" w:rsidRDefault="000D26BE" w:rsidP="0020322F">
      <w:pPr>
        <w:pStyle w:val="a7"/>
        <w:numPr>
          <w:ilvl w:val="0"/>
          <w:numId w:val="9"/>
        </w:numPr>
        <w:tabs>
          <w:tab w:val="clear" w:pos="4153"/>
          <w:tab w:val="clear" w:pos="8306"/>
          <w:tab w:val="left" w:pos="426"/>
          <w:tab w:val="left" w:pos="9356"/>
        </w:tabs>
        <w:spacing w:after="120"/>
        <w:ind w:left="0" w:right="4" w:firstLine="0"/>
        <w:rPr>
          <w:rFonts w:cs="Arial"/>
          <w:szCs w:val="22"/>
          <w:lang w:val="en-GB"/>
        </w:rPr>
      </w:pPr>
      <w:r w:rsidRPr="007029DF">
        <w:rPr>
          <w:rFonts w:cs="Arial"/>
          <w:szCs w:val="22"/>
          <w:lang w:val="en-GB"/>
        </w:rPr>
        <w:t>This component will support the design and implementation of government policies and measures to address specific barriers and risks to investment in small-scale renewable energy for homeowners and businesses. This will address both on-grid and off-grid solutions.</w:t>
      </w:r>
    </w:p>
    <w:p w14:paraId="459076FE" w14:textId="77777777" w:rsidR="000D26BE" w:rsidRPr="007029DF" w:rsidRDefault="003B19A0" w:rsidP="0020322F">
      <w:pPr>
        <w:pStyle w:val="a7"/>
        <w:numPr>
          <w:ilvl w:val="0"/>
          <w:numId w:val="9"/>
        </w:numPr>
        <w:tabs>
          <w:tab w:val="clear" w:pos="4153"/>
          <w:tab w:val="clear" w:pos="8306"/>
          <w:tab w:val="left" w:pos="426"/>
          <w:tab w:val="left" w:pos="9356"/>
        </w:tabs>
        <w:spacing w:after="120"/>
        <w:ind w:left="0" w:right="4" w:firstLine="0"/>
        <w:rPr>
          <w:rFonts w:cs="Arial"/>
          <w:szCs w:val="22"/>
          <w:lang w:val="en-GB"/>
        </w:rPr>
      </w:pPr>
      <w:r w:rsidRPr="007029DF">
        <w:rPr>
          <w:rFonts w:cs="Arial"/>
          <w:szCs w:val="22"/>
          <w:lang w:val="en-GB"/>
        </w:rPr>
        <w:t>C</w:t>
      </w:r>
      <w:r w:rsidR="000D26BE" w:rsidRPr="007029DF">
        <w:rPr>
          <w:rFonts w:cs="Arial"/>
          <w:szCs w:val="22"/>
          <w:lang w:val="en-GB"/>
        </w:rPr>
        <w:t xml:space="preserve">omponent 2 </w:t>
      </w:r>
      <w:r w:rsidRPr="007029DF">
        <w:rPr>
          <w:rFonts w:cs="Arial"/>
          <w:szCs w:val="22"/>
          <w:lang w:val="en-GB"/>
        </w:rPr>
        <w:t xml:space="preserve">activities </w:t>
      </w:r>
      <w:r w:rsidR="000D26BE" w:rsidRPr="007029DF">
        <w:rPr>
          <w:rFonts w:cs="Arial"/>
          <w:szCs w:val="22"/>
          <w:lang w:val="en-GB"/>
        </w:rPr>
        <w:t>will be implemented</w:t>
      </w:r>
      <w:r w:rsidR="00EE4CC8" w:rsidRPr="007029DF">
        <w:rPr>
          <w:rFonts w:cs="Arial"/>
          <w:szCs w:val="22"/>
          <w:lang w:val="en-GB"/>
        </w:rPr>
        <w:t xml:space="preserve"> </w:t>
      </w:r>
      <w:r w:rsidRPr="007029DF">
        <w:rPr>
          <w:rFonts w:cs="Arial"/>
          <w:szCs w:val="22"/>
          <w:lang w:val="en-GB"/>
        </w:rPr>
        <w:t>through</w:t>
      </w:r>
      <w:r w:rsidR="00EE4CC8" w:rsidRPr="007029DF">
        <w:rPr>
          <w:rFonts w:cs="Arial"/>
          <w:szCs w:val="22"/>
          <w:lang w:val="en-GB"/>
        </w:rPr>
        <w:t xml:space="preserve"> technical assistance </w:t>
      </w:r>
      <w:r w:rsidRPr="007029DF">
        <w:rPr>
          <w:rFonts w:cs="Arial"/>
          <w:szCs w:val="22"/>
          <w:lang w:val="en-GB"/>
        </w:rPr>
        <w:t xml:space="preserve">provided </w:t>
      </w:r>
      <w:r w:rsidR="00EE4CC8" w:rsidRPr="007029DF">
        <w:rPr>
          <w:rFonts w:cs="Arial"/>
          <w:szCs w:val="22"/>
          <w:lang w:val="en-GB"/>
        </w:rPr>
        <w:t>to</w:t>
      </w:r>
      <w:r w:rsidR="000D26BE" w:rsidRPr="007029DF">
        <w:rPr>
          <w:rFonts w:cs="Arial"/>
          <w:szCs w:val="22"/>
          <w:lang w:val="en-GB"/>
        </w:rPr>
        <w:t xml:space="preserve"> the Ministry of Energy</w:t>
      </w:r>
      <w:r w:rsidR="00EE4CC8" w:rsidRPr="007029DF">
        <w:rPr>
          <w:rFonts w:cs="Arial"/>
          <w:szCs w:val="22"/>
          <w:lang w:val="en-GB"/>
        </w:rPr>
        <w:t xml:space="preserve"> and local authorities (municipalities)</w:t>
      </w:r>
      <w:r w:rsidR="000D26BE" w:rsidRPr="007029DF">
        <w:rPr>
          <w:rFonts w:cs="Arial"/>
          <w:szCs w:val="22"/>
          <w:lang w:val="en-GB"/>
        </w:rPr>
        <w:t>.</w:t>
      </w:r>
    </w:p>
    <w:p w14:paraId="5231CABC" w14:textId="77777777" w:rsidR="006E1868" w:rsidRPr="007029DF" w:rsidRDefault="006E1868" w:rsidP="0020322F">
      <w:pPr>
        <w:pStyle w:val="a7"/>
        <w:numPr>
          <w:ilvl w:val="0"/>
          <w:numId w:val="9"/>
        </w:numPr>
        <w:tabs>
          <w:tab w:val="clear" w:pos="4153"/>
          <w:tab w:val="clear" w:pos="8306"/>
          <w:tab w:val="left" w:pos="426"/>
          <w:tab w:val="left" w:pos="9356"/>
        </w:tabs>
        <w:spacing w:after="120"/>
        <w:ind w:left="0" w:right="4" w:firstLine="0"/>
        <w:rPr>
          <w:rFonts w:cs="Arial"/>
          <w:szCs w:val="22"/>
          <w:lang w:val="en-GB"/>
        </w:rPr>
      </w:pPr>
      <w:r w:rsidRPr="007029DF">
        <w:rPr>
          <w:rFonts w:cs="Arial"/>
          <w:szCs w:val="22"/>
          <w:lang w:val="en-GB"/>
        </w:rPr>
        <w:t>Component 2 will be developed in an integrated manner with component 3</w:t>
      </w:r>
      <w:r w:rsidR="000B16C3" w:rsidRPr="007029DF">
        <w:rPr>
          <w:rFonts w:cs="Arial"/>
          <w:szCs w:val="22"/>
          <w:lang w:val="en-GB"/>
        </w:rPr>
        <w:t>, thereby addressing identified DREI market risks in the small</w:t>
      </w:r>
      <w:r w:rsidR="003B19A0" w:rsidRPr="007029DF">
        <w:rPr>
          <w:rFonts w:cs="Arial"/>
          <w:szCs w:val="22"/>
          <w:lang w:val="en-GB"/>
        </w:rPr>
        <w:t>-</w:t>
      </w:r>
      <w:r w:rsidR="000B16C3" w:rsidRPr="007029DF">
        <w:rPr>
          <w:rFonts w:cs="Arial"/>
          <w:szCs w:val="22"/>
          <w:lang w:val="en-GB"/>
        </w:rPr>
        <w:t xml:space="preserve">scale </w:t>
      </w:r>
      <w:r w:rsidR="004C0DE9" w:rsidRPr="007029DF">
        <w:rPr>
          <w:rFonts w:cs="Arial"/>
          <w:szCs w:val="22"/>
          <w:lang w:val="en-GB"/>
        </w:rPr>
        <w:t xml:space="preserve">renewable energy </w:t>
      </w:r>
      <w:r w:rsidR="000B16C3" w:rsidRPr="007029DF">
        <w:rPr>
          <w:rFonts w:cs="Arial"/>
          <w:szCs w:val="22"/>
          <w:lang w:val="en-GB"/>
        </w:rPr>
        <w:t>sector</w:t>
      </w:r>
      <w:r w:rsidRPr="007029DF">
        <w:rPr>
          <w:rFonts w:cs="Arial"/>
          <w:szCs w:val="22"/>
          <w:lang w:val="en-GB"/>
        </w:rPr>
        <w:t xml:space="preserve">. Targets, policies and regulations to be developed </w:t>
      </w:r>
      <w:r w:rsidR="000B16C3" w:rsidRPr="007029DF">
        <w:rPr>
          <w:rFonts w:cs="Arial"/>
          <w:szCs w:val="22"/>
          <w:lang w:val="en-GB"/>
        </w:rPr>
        <w:t xml:space="preserve">in component 2 </w:t>
      </w:r>
      <w:r w:rsidRPr="007029DF">
        <w:rPr>
          <w:rFonts w:cs="Arial"/>
          <w:szCs w:val="22"/>
          <w:lang w:val="en-GB"/>
        </w:rPr>
        <w:t xml:space="preserve">will prioritise those that support the financial derisking </w:t>
      </w:r>
      <w:r w:rsidR="004C0DE9" w:rsidRPr="007029DF">
        <w:rPr>
          <w:rFonts w:cs="Arial"/>
          <w:szCs w:val="22"/>
          <w:lang w:val="en-GB"/>
        </w:rPr>
        <w:t xml:space="preserve">and incentive </w:t>
      </w:r>
      <w:r w:rsidRPr="007029DF">
        <w:rPr>
          <w:rFonts w:cs="Arial"/>
          <w:szCs w:val="22"/>
          <w:lang w:val="en-GB"/>
        </w:rPr>
        <w:t>strategies being developed under component 3</w:t>
      </w:r>
      <w:r w:rsidR="00EE252F" w:rsidRPr="007029DF">
        <w:rPr>
          <w:rFonts w:cs="Arial"/>
          <w:szCs w:val="22"/>
          <w:lang w:val="en-GB"/>
        </w:rPr>
        <w:t>, including</w:t>
      </w:r>
      <w:r w:rsidRPr="007029DF">
        <w:rPr>
          <w:rFonts w:cs="Arial"/>
          <w:szCs w:val="22"/>
          <w:lang w:val="en-GB"/>
        </w:rPr>
        <w:t xml:space="preserve"> reform of the subsidy mechanism, renewable heat and performance contracting in the public sector.</w:t>
      </w:r>
    </w:p>
    <w:p w14:paraId="5B3B6DAE" w14:textId="77777777" w:rsidR="000D26BE" w:rsidRPr="007029DF" w:rsidRDefault="000D26BE" w:rsidP="00197B58">
      <w:pPr>
        <w:pStyle w:val="a7"/>
        <w:tabs>
          <w:tab w:val="clear" w:pos="4153"/>
          <w:tab w:val="clear" w:pos="8306"/>
          <w:tab w:val="left" w:pos="426"/>
        </w:tabs>
        <w:spacing w:after="120"/>
        <w:ind w:left="990" w:right="288" w:hanging="990"/>
        <w:rPr>
          <w:rFonts w:cs="Arial"/>
          <w:szCs w:val="22"/>
          <w:lang w:val="en-GB"/>
        </w:rPr>
      </w:pPr>
      <w:r w:rsidRPr="007029DF">
        <w:rPr>
          <w:rFonts w:cs="Arial"/>
          <w:b/>
          <w:i/>
          <w:szCs w:val="22"/>
          <w:lang w:val="en-GB"/>
        </w:rPr>
        <w:t>Outcome 2: Appropriate policies, programmes and capacities are in place to reduce risk and attract investment in small-scale (on-grid and off-grid) renewables</w:t>
      </w:r>
    </w:p>
    <w:p w14:paraId="11EB8ED2" w14:textId="77777777" w:rsidR="00673257" w:rsidRPr="007029DF" w:rsidRDefault="000D26BE" w:rsidP="00893F45">
      <w:pPr>
        <w:pStyle w:val="a7"/>
        <w:pBdr>
          <w:top w:val="single" w:sz="4" w:space="1" w:color="auto"/>
          <w:left w:val="single" w:sz="4" w:space="4" w:color="auto"/>
          <w:bottom w:val="single" w:sz="4" w:space="1" w:color="auto"/>
          <w:right w:val="single" w:sz="4" w:space="4" w:color="auto"/>
        </w:pBdr>
        <w:tabs>
          <w:tab w:val="clear" w:pos="4153"/>
          <w:tab w:val="clear" w:pos="8306"/>
          <w:tab w:val="left" w:pos="426"/>
        </w:tabs>
        <w:spacing w:after="120"/>
        <w:jc w:val="left"/>
        <w:rPr>
          <w:rFonts w:cs="Arial"/>
          <w:szCs w:val="22"/>
          <w:lang w:val="en-GB"/>
        </w:rPr>
      </w:pPr>
      <w:r w:rsidRPr="007029DF">
        <w:rPr>
          <w:rFonts w:cs="Arial"/>
          <w:b/>
          <w:i/>
          <w:szCs w:val="22"/>
          <w:lang w:val="en-GB"/>
        </w:rPr>
        <w:t>Output 2.1</w:t>
      </w:r>
      <w:r w:rsidRPr="007029DF">
        <w:rPr>
          <w:rFonts w:cs="Arial"/>
          <w:szCs w:val="22"/>
          <w:lang w:val="en-GB"/>
        </w:rPr>
        <w:t xml:space="preserve"> Appropriate policies, programmes and regulat</w:t>
      </w:r>
      <w:r w:rsidR="004622EC" w:rsidRPr="007029DF">
        <w:rPr>
          <w:rFonts w:cs="Arial"/>
          <w:szCs w:val="22"/>
          <w:lang w:val="en-GB"/>
        </w:rPr>
        <w:t>ions for on- and off-grid small-</w:t>
      </w:r>
      <w:r w:rsidRPr="007029DF">
        <w:rPr>
          <w:rFonts w:cs="Arial"/>
          <w:szCs w:val="22"/>
          <w:lang w:val="en-GB"/>
        </w:rPr>
        <w:t>scale renewables</w:t>
      </w:r>
      <w:r w:rsidR="00EE4CC8" w:rsidRPr="007029DF" w:rsidDel="00EE4CC8">
        <w:rPr>
          <w:rFonts w:cs="Arial"/>
          <w:szCs w:val="22"/>
          <w:lang w:val="en-GB"/>
        </w:rPr>
        <w:t xml:space="preserve"> </w:t>
      </w:r>
      <w:r w:rsidR="00673257" w:rsidRPr="007029DF">
        <w:rPr>
          <w:rFonts w:cs="Arial"/>
          <w:szCs w:val="22"/>
          <w:lang w:val="en-GB"/>
        </w:rPr>
        <w:t>designed and implemented</w:t>
      </w:r>
    </w:p>
    <w:p w14:paraId="14D2C344" w14:textId="77777777" w:rsidR="00810913" w:rsidRPr="007029DF" w:rsidRDefault="00673257" w:rsidP="004622EC">
      <w:pPr>
        <w:spacing w:after="120"/>
        <w:ind w:left="1354" w:hanging="1350"/>
        <w:contextualSpacing/>
        <w:rPr>
          <w:rFonts w:cs="Arial"/>
          <w:szCs w:val="22"/>
          <w:lang w:val="en-GB"/>
        </w:rPr>
      </w:pPr>
      <w:r w:rsidRPr="007029DF">
        <w:rPr>
          <w:rFonts w:cs="Arial"/>
          <w:szCs w:val="22"/>
          <w:lang w:val="en-GB"/>
        </w:rPr>
        <w:t>Activity 2.1.1:</w:t>
      </w:r>
      <w:r w:rsidR="000E5989" w:rsidRPr="007029DF">
        <w:rPr>
          <w:rFonts w:cs="Arial"/>
          <w:szCs w:val="22"/>
          <w:lang w:val="en-GB"/>
        </w:rPr>
        <w:t xml:space="preserve"> Design and implement</w:t>
      </w:r>
      <w:r w:rsidRPr="007029DF">
        <w:rPr>
          <w:rFonts w:cs="Arial"/>
          <w:szCs w:val="22"/>
          <w:lang w:val="en-GB"/>
        </w:rPr>
        <w:t xml:space="preserve"> appropriate policies, programmes and regulations</w:t>
      </w:r>
      <w:r w:rsidR="00810913" w:rsidRPr="007029DF">
        <w:rPr>
          <w:rFonts w:cs="Arial"/>
          <w:szCs w:val="22"/>
          <w:lang w:val="en-GB"/>
        </w:rPr>
        <w:t>. The approach used will follow the UNDP DREI f</w:t>
      </w:r>
      <w:r w:rsidR="004622EC" w:rsidRPr="007029DF">
        <w:rPr>
          <w:rFonts w:cs="Arial"/>
          <w:szCs w:val="22"/>
          <w:lang w:val="en-GB"/>
        </w:rPr>
        <w:t>ramework, as adjusted for small-</w:t>
      </w:r>
      <w:r w:rsidR="00810913" w:rsidRPr="007029DF">
        <w:rPr>
          <w:rFonts w:cs="Arial"/>
          <w:szCs w:val="22"/>
          <w:lang w:val="en-GB"/>
        </w:rPr>
        <w:t xml:space="preserve">scale renewables – this will inform the selection and design of appropriate policy derisking tools. </w:t>
      </w:r>
    </w:p>
    <w:p w14:paraId="7499CB49" w14:textId="77777777" w:rsidR="00673257" w:rsidRPr="007029DF" w:rsidRDefault="00810913" w:rsidP="004622EC">
      <w:pPr>
        <w:spacing w:after="120"/>
        <w:ind w:left="1354"/>
        <w:contextualSpacing/>
        <w:rPr>
          <w:rFonts w:cs="Arial"/>
          <w:szCs w:val="22"/>
          <w:lang w:val="en-GB"/>
        </w:rPr>
      </w:pPr>
      <w:r w:rsidRPr="007029DF">
        <w:rPr>
          <w:rFonts w:cs="Arial"/>
          <w:szCs w:val="22"/>
          <w:lang w:val="en-GB"/>
        </w:rPr>
        <w:t>Areas to be addressed include</w:t>
      </w:r>
      <w:r w:rsidR="00673257" w:rsidRPr="007029DF">
        <w:rPr>
          <w:rFonts w:cs="Arial"/>
          <w:szCs w:val="22"/>
          <w:lang w:val="en-GB"/>
        </w:rPr>
        <w:t>: adoption of national and regional targets for small-scale RE</w:t>
      </w:r>
      <w:r w:rsidR="000B16C3" w:rsidRPr="007029DF">
        <w:rPr>
          <w:rFonts w:cs="Arial"/>
          <w:szCs w:val="22"/>
          <w:lang w:val="en-GB"/>
        </w:rPr>
        <w:t xml:space="preserve"> (addressing DREI power market risks)</w:t>
      </w:r>
      <w:r w:rsidR="00673257" w:rsidRPr="007029DF">
        <w:rPr>
          <w:rFonts w:cs="Arial"/>
          <w:szCs w:val="22"/>
          <w:lang w:val="en-GB"/>
        </w:rPr>
        <w:t xml:space="preserve">; regulations for small RES (i.e. net-metering policy) and application of the Feed in Tariff </w:t>
      </w:r>
      <w:r w:rsidR="00A94FE7" w:rsidRPr="007029DF">
        <w:rPr>
          <w:rFonts w:cs="Arial"/>
          <w:szCs w:val="22"/>
          <w:lang w:val="en-GB"/>
        </w:rPr>
        <w:t xml:space="preserve">or performance based grant </w:t>
      </w:r>
      <w:r w:rsidR="00673257" w:rsidRPr="007029DF">
        <w:rPr>
          <w:rFonts w:cs="Arial"/>
          <w:szCs w:val="22"/>
          <w:lang w:val="en-GB"/>
        </w:rPr>
        <w:t>for such projects</w:t>
      </w:r>
      <w:r w:rsidR="000B16C3" w:rsidRPr="007029DF">
        <w:rPr>
          <w:rFonts w:cs="Arial"/>
          <w:szCs w:val="22"/>
          <w:lang w:val="en-GB"/>
        </w:rPr>
        <w:t xml:space="preserve"> (also addressing DREI power market </w:t>
      </w:r>
      <w:r w:rsidR="00A94FE7" w:rsidRPr="007029DF">
        <w:rPr>
          <w:rFonts w:cs="Arial"/>
          <w:szCs w:val="22"/>
          <w:lang w:val="en-GB"/>
        </w:rPr>
        <w:t xml:space="preserve">and payment and credit </w:t>
      </w:r>
      <w:r w:rsidR="000B16C3" w:rsidRPr="007029DF">
        <w:rPr>
          <w:rFonts w:cs="Arial"/>
          <w:szCs w:val="22"/>
          <w:lang w:val="en-GB"/>
        </w:rPr>
        <w:t>risks)</w:t>
      </w:r>
      <w:r w:rsidR="00673257" w:rsidRPr="007029DF">
        <w:rPr>
          <w:rFonts w:cs="Arial"/>
          <w:szCs w:val="22"/>
          <w:lang w:val="en-GB"/>
        </w:rPr>
        <w:t xml:space="preserve">; reform of </w:t>
      </w:r>
      <w:r w:rsidR="004C0DE9" w:rsidRPr="007029DF">
        <w:rPr>
          <w:rFonts w:cs="Arial"/>
          <w:szCs w:val="22"/>
          <w:lang w:val="en-GB"/>
        </w:rPr>
        <w:t xml:space="preserve">existing </w:t>
      </w:r>
      <w:r w:rsidR="00673257" w:rsidRPr="007029DF">
        <w:rPr>
          <w:rFonts w:cs="Arial"/>
          <w:szCs w:val="22"/>
          <w:lang w:val="en-GB"/>
        </w:rPr>
        <w:t>subsidy systems to stimulate renewable markets better, without neglecting local content objectives</w:t>
      </w:r>
      <w:r w:rsidR="000B16C3" w:rsidRPr="007029DF">
        <w:rPr>
          <w:rFonts w:cs="Arial"/>
          <w:szCs w:val="22"/>
          <w:lang w:val="en-GB"/>
        </w:rPr>
        <w:t xml:space="preserve"> (addressing DREI financial sector </w:t>
      </w:r>
      <w:r w:rsidR="004C0DE9" w:rsidRPr="007029DF">
        <w:rPr>
          <w:rFonts w:cs="Arial"/>
          <w:szCs w:val="22"/>
          <w:lang w:val="en-GB"/>
        </w:rPr>
        <w:t xml:space="preserve">and other </w:t>
      </w:r>
      <w:r w:rsidR="000B16C3" w:rsidRPr="007029DF">
        <w:rPr>
          <w:rFonts w:cs="Arial"/>
          <w:szCs w:val="22"/>
          <w:lang w:val="en-GB"/>
        </w:rPr>
        <w:t>risks)</w:t>
      </w:r>
      <w:r w:rsidR="00673257" w:rsidRPr="007029DF">
        <w:rPr>
          <w:rFonts w:cs="Arial"/>
          <w:szCs w:val="22"/>
          <w:lang w:val="en-GB"/>
        </w:rPr>
        <w:t>; policies, targets and regulations to promote RES-based heat generation and integr</w:t>
      </w:r>
      <w:r w:rsidR="00EC139A" w:rsidRPr="007029DF">
        <w:rPr>
          <w:rFonts w:cs="Arial"/>
          <w:szCs w:val="22"/>
          <w:lang w:val="en-GB"/>
        </w:rPr>
        <w:t>ation of RES in building design.</w:t>
      </w:r>
    </w:p>
    <w:p w14:paraId="4B18A994" w14:textId="77777777" w:rsidR="00673257" w:rsidRPr="007029DF" w:rsidRDefault="00673257" w:rsidP="004622EC">
      <w:pPr>
        <w:spacing w:after="120"/>
        <w:ind w:left="1354" w:hanging="1350"/>
        <w:contextualSpacing/>
        <w:rPr>
          <w:rFonts w:cs="Arial"/>
          <w:szCs w:val="22"/>
          <w:lang w:val="en-GB"/>
        </w:rPr>
      </w:pPr>
      <w:r w:rsidRPr="007029DF">
        <w:rPr>
          <w:rFonts w:cs="Arial"/>
          <w:szCs w:val="22"/>
          <w:lang w:val="en-GB"/>
        </w:rPr>
        <w:t xml:space="preserve">Activity 2.1.2: </w:t>
      </w:r>
      <w:r w:rsidR="00D05778" w:rsidRPr="007029DF">
        <w:rPr>
          <w:rFonts w:cs="Arial"/>
          <w:szCs w:val="22"/>
          <w:lang w:val="en-GB"/>
        </w:rPr>
        <w:t>Develop and recommend improvements</w:t>
      </w:r>
      <w:r w:rsidRPr="007029DF">
        <w:rPr>
          <w:rFonts w:cs="Arial"/>
          <w:szCs w:val="22"/>
          <w:lang w:val="en-GB"/>
        </w:rPr>
        <w:t xml:space="preserve"> for small</w:t>
      </w:r>
      <w:r w:rsidR="004C0DE9" w:rsidRPr="007029DF">
        <w:rPr>
          <w:rFonts w:cs="Arial"/>
          <w:szCs w:val="22"/>
          <w:lang w:val="en-GB"/>
        </w:rPr>
        <w:t>-scale</w:t>
      </w:r>
      <w:r w:rsidRPr="007029DF">
        <w:rPr>
          <w:rFonts w:cs="Arial"/>
          <w:szCs w:val="22"/>
          <w:lang w:val="en-GB"/>
        </w:rPr>
        <w:t xml:space="preserve"> on-grid RE approval, permits and grid connection</w:t>
      </w:r>
      <w:r w:rsidR="000B16C3" w:rsidRPr="007029DF">
        <w:rPr>
          <w:rFonts w:cs="Arial"/>
          <w:szCs w:val="22"/>
          <w:lang w:val="en-GB"/>
        </w:rPr>
        <w:t xml:space="preserve"> (addressing DREI permits risks)</w:t>
      </w:r>
      <w:r w:rsidRPr="007029DF">
        <w:rPr>
          <w:rFonts w:cs="Arial"/>
          <w:szCs w:val="22"/>
          <w:lang w:val="en-GB"/>
        </w:rPr>
        <w:t>: streamlined and simplified approval procedures for permits, grid-connection procedures and contracts with grid operator</w:t>
      </w:r>
      <w:r w:rsidR="00EC139A" w:rsidRPr="007029DF">
        <w:rPr>
          <w:rFonts w:cs="Arial"/>
          <w:szCs w:val="22"/>
          <w:lang w:val="en-GB"/>
        </w:rPr>
        <w:t>.</w:t>
      </w:r>
    </w:p>
    <w:p w14:paraId="0C2E6890" w14:textId="77777777" w:rsidR="001B25A0" w:rsidRPr="007029DF" w:rsidRDefault="001B25A0" w:rsidP="004622EC">
      <w:pPr>
        <w:spacing w:after="120"/>
        <w:ind w:left="1354" w:hanging="1350"/>
        <w:contextualSpacing/>
        <w:rPr>
          <w:rFonts w:cs="Arial"/>
          <w:szCs w:val="22"/>
          <w:lang w:val="en-GB"/>
        </w:rPr>
      </w:pPr>
      <w:r w:rsidRPr="007029DF">
        <w:rPr>
          <w:rFonts w:cs="Arial"/>
          <w:szCs w:val="22"/>
          <w:lang w:val="en-GB"/>
        </w:rPr>
        <w:t>Activity 2.1.</w:t>
      </w:r>
      <w:r w:rsidR="00EC139A" w:rsidRPr="007029DF">
        <w:rPr>
          <w:rFonts w:cs="Arial"/>
          <w:szCs w:val="22"/>
          <w:lang w:val="en-GB"/>
        </w:rPr>
        <w:t>3</w:t>
      </w:r>
      <w:r w:rsidR="00673257" w:rsidRPr="007029DF">
        <w:rPr>
          <w:rFonts w:cs="Arial"/>
          <w:szCs w:val="22"/>
          <w:lang w:val="en-GB"/>
        </w:rPr>
        <w:t>:</w:t>
      </w:r>
      <w:r w:rsidRPr="007029DF">
        <w:rPr>
          <w:rFonts w:cs="Arial"/>
          <w:szCs w:val="22"/>
          <w:lang w:val="en-GB"/>
        </w:rPr>
        <w:t xml:space="preserve"> Organise </w:t>
      </w:r>
      <w:r w:rsidR="000E5989" w:rsidRPr="007029DF">
        <w:rPr>
          <w:rFonts w:cs="Arial"/>
          <w:szCs w:val="22"/>
          <w:lang w:val="en-GB"/>
        </w:rPr>
        <w:t xml:space="preserve">and implement </w:t>
      </w:r>
      <w:r w:rsidRPr="007029DF">
        <w:rPr>
          <w:rFonts w:cs="Arial"/>
          <w:szCs w:val="22"/>
          <w:lang w:val="en-GB"/>
        </w:rPr>
        <w:t xml:space="preserve">training to build capacity of local </w:t>
      </w:r>
      <w:r w:rsidR="00A94FE7" w:rsidRPr="007029DF">
        <w:rPr>
          <w:rFonts w:cs="Arial"/>
          <w:szCs w:val="22"/>
          <w:lang w:val="en-GB"/>
        </w:rPr>
        <w:t xml:space="preserve">officials and </w:t>
      </w:r>
      <w:r w:rsidRPr="007029DF">
        <w:rPr>
          <w:rFonts w:cs="Arial"/>
          <w:szCs w:val="22"/>
          <w:lang w:val="en-GB"/>
        </w:rPr>
        <w:t>expert</w:t>
      </w:r>
      <w:r w:rsidR="004C0DE9" w:rsidRPr="007029DF">
        <w:rPr>
          <w:rFonts w:cs="Arial"/>
          <w:szCs w:val="22"/>
          <w:lang w:val="en-GB"/>
        </w:rPr>
        <w:t>s</w:t>
      </w:r>
      <w:r w:rsidRPr="007029DF">
        <w:rPr>
          <w:rFonts w:cs="Arial"/>
          <w:szCs w:val="22"/>
          <w:lang w:val="en-GB"/>
        </w:rPr>
        <w:t xml:space="preserve"> to develop policy interventions for small-scale renewable energy development.</w:t>
      </w:r>
    </w:p>
    <w:p w14:paraId="6B6E0EF6" w14:textId="77777777" w:rsidR="00321AC7" w:rsidRPr="007029DF" w:rsidRDefault="00321AC7" w:rsidP="004622EC">
      <w:pPr>
        <w:pStyle w:val="a7"/>
        <w:keepNext/>
        <w:keepLines/>
        <w:pBdr>
          <w:top w:val="single" w:sz="4" w:space="1" w:color="auto"/>
          <w:left w:val="single" w:sz="4" w:space="4" w:color="auto"/>
          <w:bottom w:val="single" w:sz="4" w:space="1" w:color="auto"/>
          <w:right w:val="single" w:sz="4" w:space="4" w:color="auto"/>
        </w:pBdr>
        <w:tabs>
          <w:tab w:val="clear" w:pos="4153"/>
          <w:tab w:val="clear" w:pos="8306"/>
          <w:tab w:val="left" w:pos="426"/>
        </w:tabs>
        <w:spacing w:after="120"/>
        <w:jc w:val="left"/>
        <w:rPr>
          <w:rFonts w:cs="Arial"/>
          <w:szCs w:val="22"/>
          <w:lang w:val="en-GB"/>
        </w:rPr>
      </w:pPr>
      <w:r w:rsidRPr="007029DF">
        <w:rPr>
          <w:rFonts w:cs="Arial"/>
          <w:b/>
          <w:i/>
          <w:szCs w:val="22"/>
          <w:lang w:val="en-GB"/>
        </w:rPr>
        <w:t>Output 2.2</w:t>
      </w:r>
      <w:r w:rsidRPr="007029DF">
        <w:rPr>
          <w:rFonts w:cs="Arial"/>
          <w:szCs w:val="22"/>
          <w:lang w:val="en-GB"/>
        </w:rPr>
        <w:t xml:space="preserve"> Functioning MRV for the small-scale renewables sector</w:t>
      </w:r>
    </w:p>
    <w:p w14:paraId="7840EB79" w14:textId="77777777" w:rsidR="00911BD2" w:rsidRPr="007029DF" w:rsidRDefault="006649BA" w:rsidP="004622EC">
      <w:pPr>
        <w:spacing w:after="120"/>
        <w:ind w:left="1267" w:hanging="1267"/>
        <w:contextualSpacing/>
        <w:rPr>
          <w:rFonts w:cs="Arial"/>
          <w:szCs w:val="22"/>
          <w:lang w:val="en-GB"/>
        </w:rPr>
      </w:pPr>
      <w:r w:rsidRPr="007029DF">
        <w:rPr>
          <w:rFonts w:cs="Arial"/>
          <w:szCs w:val="22"/>
          <w:lang w:val="en-GB"/>
        </w:rPr>
        <w:t xml:space="preserve">Activity 2.2.1: </w:t>
      </w:r>
      <w:r w:rsidR="00911BD2" w:rsidRPr="007029DF">
        <w:rPr>
          <w:rFonts w:cs="Arial"/>
          <w:szCs w:val="22"/>
          <w:lang w:val="en-GB"/>
        </w:rPr>
        <w:t xml:space="preserve">Review the current practice of international MRV systems </w:t>
      </w:r>
      <w:r w:rsidR="0067745D" w:rsidRPr="007029DF">
        <w:rPr>
          <w:rFonts w:cs="Arial"/>
          <w:szCs w:val="22"/>
          <w:lang w:val="en-GB"/>
        </w:rPr>
        <w:t xml:space="preserve">in small-scale renewable energy </w:t>
      </w:r>
      <w:r w:rsidR="00911BD2" w:rsidRPr="007029DF">
        <w:rPr>
          <w:rFonts w:cs="Arial"/>
          <w:szCs w:val="22"/>
          <w:lang w:val="en-GB"/>
        </w:rPr>
        <w:t>and requirements for improving existing MRV practices</w:t>
      </w:r>
      <w:r w:rsidR="0067745D" w:rsidRPr="007029DF">
        <w:rPr>
          <w:rFonts w:cs="Arial"/>
          <w:szCs w:val="22"/>
          <w:lang w:val="en-GB"/>
        </w:rPr>
        <w:t xml:space="preserve"> in Kazakhstan</w:t>
      </w:r>
      <w:r w:rsidR="00911BD2" w:rsidRPr="007029DF">
        <w:rPr>
          <w:rFonts w:cs="Arial"/>
          <w:szCs w:val="22"/>
          <w:lang w:val="en-GB"/>
        </w:rPr>
        <w:t xml:space="preserve">. </w:t>
      </w:r>
    </w:p>
    <w:p w14:paraId="6D9687C0" w14:textId="77777777" w:rsidR="00A94FE7" w:rsidRPr="007029DF" w:rsidRDefault="00A94FE7" w:rsidP="00A94FE7">
      <w:pPr>
        <w:spacing w:after="120"/>
        <w:ind w:left="1267" w:hanging="1267"/>
        <w:contextualSpacing/>
        <w:rPr>
          <w:rFonts w:cs="Arial"/>
          <w:szCs w:val="22"/>
          <w:lang w:val="en-GB"/>
        </w:rPr>
      </w:pPr>
      <w:r w:rsidRPr="007029DF">
        <w:rPr>
          <w:rFonts w:cs="Arial"/>
          <w:szCs w:val="22"/>
          <w:lang w:val="en-GB"/>
        </w:rPr>
        <w:t xml:space="preserve">Activity 2.2.2: Propose appropriate financial and institutional arrangements for the MRV system for small-scale renewable sector in Kazakhstan. </w:t>
      </w:r>
    </w:p>
    <w:p w14:paraId="42E2C843" w14:textId="77777777" w:rsidR="006649BA" w:rsidRPr="007029DF" w:rsidRDefault="006649BA" w:rsidP="004622EC">
      <w:pPr>
        <w:spacing w:after="120"/>
        <w:ind w:left="1267" w:hanging="1267"/>
        <w:contextualSpacing/>
        <w:rPr>
          <w:rFonts w:cs="Arial"/>
          <w:szCs w:val="22"/>
          <w:lang w:val="en-GB"/>
        </w:rPr>
      </w:pPr>
      <w:r w:rsidRPr="007029DF">
        <w:rPr>
          <w:rFonts w:cs="Arial"/>
          <w:szCs w:val="22"/>
          <w:lang w:val="en-GB"/>
        </w:rPr>
        <w:t>Activity 2.2.</w:t>
      </w:r>
      <w:r w:rsidR="00A94FE7" w:rsidRPr="007029DF">
        <w:rPr>
          <w:rFonts w:cs="Arial"/>
          <w:szCs w:val="22"/>
          <w:lang w:val="en-GB"/>
        </w:rPr>
        <w:t>3</w:t>
      </w:r>
      <w:r w:rsidRPr="007029DF">
        <w:rPr>
          <w:rFonts w:cs="Arial"/>
          <w:szCs w:val="22"/>
          <w:lang w:val="en-GB"/>
        </w:rPr>
        <w:t xml:space="preserve">: </w:t>
      </w:r>
      <w:r w:rsidR="00911BD2" w:rsidRPr="007029DF">
        <w:rPr>
          <w:rFonts w:cs="Arial"/>
          <w:szCs w:val="22"/>
          <w:lang w:val="en-GB"/>
        </w:rPr>
        <w:t xml:space="preserve">Establish </w:t>
      </w:r>
      <w:r w:rsidR="00EC139A" w:rsidRPr="007029DF">
        <w:rPr>
          <w:rFonts w:cs="Arial"/>
          <w:szCs w:val="22"/>
          <w:lang w:val="en-GB"/>
        </w:rPr>
        <w:t>an</w:t>
      </w:r>
      <w:r w:rsidR="00911BD2" w:rsidRPr="007029DF">
        <w:rPr>
          <w:rFonts w:cs="Arial"/>
          <w:szCs w:val="22"/>
          <w:lang w:val="en-GB"/>
        </w:rPr>
        <w:t xml:space="preserve"> MRV system of international standard for regular measurement, reporting, and verification of relevant indicators for </w:t>
      </w:r>
      <w:r w:rsidR="00A94FE7" w:rsidRPr="007029DF">
        <w:rPr>
          <w:rFonts w:cs="Arial"/>
          <w:szCs w:val="22"/>
          <w:lang w:val="en-GB"/>
        </w:rPr>
        <w:t xml:space="preserve">the </w:t>
      </w:r>
      <w:r w:rsidR="00911BD2" w:rsidRPr="007029DF">
        <w:rPr>
          <w:rFonts w:cs="Arial"/>
          <w:szCs w:val="22"/>
          <w:lang w:val="en-GB"/>
        </w:rPr>
        <w:t>small-scale renewable sector</w:t>
      </w:r>
      <w:r w:rsidRPr="007029DF">
        <w:rPr>
          <w:rFonts w:cs="Arial"/>
          <w:szCs w:val="22"/>
          <w:lang w:val="en-GB"/>
        </w:rPr>
        <w:t>.</w:t>
      </w:r>
    </w:p>
    <w:p w14:paraId="11298164" w14:textId="77777777" w:rsidR="00321AC7" w:rsidRPr="007029DF" w:rsidRDefault="006649BA" w:rsidP="004622EC">
      <w:pPr>
        <w:spacing w:after="120"/>
        <w:ind w:left="1267" w:hanging="1267"/>
        <w:contextualSpacing/>
        <w:rPr>
          <w:rFonts w:cs="Arial"/>
          <w:szCs w:val="22"/>
          <w:lang w:val="en-GB"/>
        </w:rPr>
      </w:pPr>
      <w:r w:rsidRPr="007029DF">
        <w:rPr>
          <w:rFonts w:cs="Arial"/>
          <w:szCs w:val="22"/>
          <w:lang w:val="en-GB"/>
        </w:rPr>
        <w:t xml:space="preserve">Activity 2.2.4: Design </w:t>
      </w:r>
      <w:r w:rsidR="0067745D" w:rsidRPr="007029DF">
        <w:rPr>
          <w:rFonts w:cs="Arial"/>
          <w:szCs w:val="22"/>
          <w:lang w:val="en-GB"/>
        </w:rPr>
        <w:t xml:space="preserve">and deliver </w:t>
      </w:r>
      <w:r w:rsidRPr="007029DF">
        <w:rPr>
          <w:rFonts w:cs="Arial"/>
          <w:szCs w:val="22"/>
          <w:lang w:val="en-GB"/>
        </w:rPr>
        <w:t>training materials</w:t>
      </w:r>
      <w:r w:rsidR="00EC139A" w:rsidRPr="007029DF">
        <w:rPr>
          <w:rFonts w:cs="Arial"/>
          <w:szCs w:val="22"/>
          <w:lang w:val="en-GB"/>
        </w:rPr>
        <w:t xml:space="preserve"> to support operation of the MRV system</w:t>
      </w:r>
      <w:r w:rsidR="00F15420" w:rsidRPr="007029DF">
        <w:rPr>
          <w:rFonts w:cs="Arial"/>
          <w:szCs w:val="22"/>
          <w:lang w:val="en-GB"/>
        </w:rPr>
        <w:t>.</w:t>
      </w:r>
    </w:p>
    <w:p w14:paraId="0055A503" w14:textId="77777777" w:rsidR="00321AC7" w:rsidRPr="007029DF" w:rsidRDefault="00321AC7" w:rsidP="00893F45">
      <w:pPr>
        <w:pStyle w:val="a7"/>
        <w:pBdr>
          <w:top w:val="single" w:sz="4" w:space="1" w:color="auto"/>
          <w:left w:val="single" w:sz="4" w:space="4" w:color="auto"/>
          <w:bottom w:val="single" w:sz="4" w:space="1" w:color="auto"/>
          <w:right w:val="single" w:sz="4" w:space="4" w:color="auto"/>
        </w:pBdr>
        <w:tabs>
          <w:tab w:val="clear" w:pos="4153"/>
          <w:tab w:val="clear" w:pos="8306"/>
          <w:tab w:val="left" w:pos="426"/>
        </w:tabs>
        <w:spacing w:after="120"/>
        <w:jc w:val="left"/>
        <w:rPr>
          <w:rFonts w:cs="Arial"/>
          <w:szCs w:val="22"/>
          <w:lang w:val="en-GB"/>
        </w:rPr>
      </w:pPr>
      <w:r w:rsidRPr="007029DF">
        <w:rPr>
          <w:rFonts w:cs="Arial"/>
          <w:b/>
          <w:i/>
          <w:szCs w:val="22"/>
          <w:lang w:val="en-GB"/>
        </w:rPr>
        <w:t>Output 2.3</w:t>
      </w:r>
      <w:r w:rsidRPr="007029DF">
        <w:rPr>
          <w:rFonts w:cs="Arial"/>
          <w:szCs w:val="22"/>
          <w:lang w:val="en-GB"/>
        </w:rPr>
        <w:t xml:space="preserve"> Media campaigns and training for suppliers / developers to promote and market small-scale renewables in their target markets</w:t>
      </w:r>
    </w:p>
    <w:p w14:paraId="70A802BC" w14:textId="77777777" w:rsidR="000B16C3" w:rsidRPr="007029DF" w:rsidRDefault="000B16C3" w:rsidP="0020322F">
      <w:pPr>
        <w:pStyle w:val="a7"/>
        <w:numPr>
          <w:ilvl w:val="0"/>
          <w:numId w:val="9"/>
        </w:numPr>
        <w:tabs>
          <w:tab w:val="clear" w:pos="4153"/>
          <w:tab w:val="clear" w:pos="8306"/>
          <w:tab w:val="left" w:pos="426"/>
          <w:tab w:val="left" w:pos="9356"/>
        </w:tabs>
        <w:spacing w:after="120"/>
        <w:ind w:left="0" w:right="4" w:firstLine="0"/>
        <w:rPr>
          <w:rFonts w:cs="Arial"/>
          <w:szCs w:val="22"/>
          <w:lang w:val="en-GB"/>
        </w:rPr>
      </w:pPr>
      <w:r w:rsidRPr="007029DF">
        <w:rPr>
          <w:rFonts w:cs="Arial"/>
          <w:szCs w:val="22"/>
          <w:lang w:val="en-GB"/>
        </w:rPr>
        <w:t xml:space="preserve">To address the identified DREI social acceptance risks, the project will carry out awareness raising activities focused on building the profile of small-scale renewables and </w:t>
      </w:r>
      <w:r w:rsidR="0067745D" w:rsidRPr="007029DF">
        <w:rPr>
          <w:rFonts w:cs="Arial"/>
          <w:szCs w:val="22"/>
          <w:lang w:val="en-GB"/>
        </w:rPr>
        <w:t xml:space="preserve">of </w:t>
      </w:r>
      <w:r w:rsidRPr="007029DF">
        <w:rPr>
          <w:rFonts w:cs="Arial"/>
          <w:szCs w:val="22"/>
          <w:lang w:val="en-GB"/>
        </w:rPr>
        <w:t>reliable suppliers and designers.</w:t>
      </w:r>
    </w:p>
    <w:p w14:paraId="787DCB4C" w14:textId="77777777" w:rsidR="001A0273" w:rsidRPr="007029DF" w:rsidRDefault="00B76C8B" w:rsidP="004622EC">
      <w:pPr>
        <w:pStyle w:val="a7"/>
        <w:tabs>
          <w:tab w:val="clear" w:pos="4153"/>
          <w:tab w:val="clear" w:pos="8306"/>
          <w:tab w:val="left" w:pos="426"/>
        </w:tabs>
        <w:spacing w:after="120"/>
        <w:ind w:left="1350" w:right="90" w:hanging="1350"/>
        <w:contextualSpacing/>
        <w:rPr>
          <w:rFonts w:cs="Arial"/>
          <w:szCs w:val="22"/>
          <w:lang w:val="en-GB"/>
        </w:rPr>
      </w:pPr>
      <w:r w:rsidRPr="007029DF">
        <w:rPr>
          <w:rFonts w:cs="Arial"/>
          <w:szCs w:val="22"/>
          <w:lang w:val="en-GB"/>
        </w:rPr>
        <w:t xml:space="preserve">Activity 2.3.1: </w:t>
      </w:r>
      <w:r w:rsidR="001A0273" w:rsidRPr="007029DF">
        <w:rPr>
          <w:rFonts w:cs="Arial"/>
          <w:szCs w:val="22"/>
          <w:lang w:val="en-GB"/>
        </w:rPr>
        <w:t>Consult with stakeholders and assess the types of intervention required to achieve optimum awareness for on and off-grid small-scale developments</w:t>
      </w:r>
      <w:r w:rsidR="00F15420" w:rsidRPr="007029DF">
        <w:rPr>
          <w:rFonts w:cs="Arial"/>
          <w:szCs w:val="22"/>
          <w:lang w:val="en-GB"/>
        </w:rPr>
        <w:t>.</w:t>
      </w:r>
    </w:p>
    <w:p w14:paraId="0CED2B82" w14:textId="77777777" w:rsidR="00321AC7" w:rsidRPr="007029DF" w:rsidRDefault="000E76FF" w:rsidP="004622EC">
      <w:pPr>
        <w:pStyle w:val="a7"/>
        <w:tabs>
          <w:tab w:val="clear" w:pos="4153"/>
          <w:tab w:val="clear" w:pos="8306"/>
          <w:tab w:val="left" w:pos="426"/>
        </w:tabs>
        <w:spacing w:after="120"/>
        <w:ind w:left="1350" w:right="90" w:hanging="1350"/>
        <w:contextualSpacing/>
        <w:rPr>
          <w:rFonts w:cs="Arial"/>
          <w:szCs w:val="22"/>
          <w:lang w:val="en-GB"/>
        </w:rPr>
      </w:pPr>
      <w:r w:rsidRPr="007029DF">
        <w:rPr>
          <w:rFonts w:cs="Arial"/>
          <w:szCs w:val="22"/>
          <w:lang w:val="en-GB"/>
        </w:rPr>
        <w:t xml:space="preserve">Activity 2.3.2: Develop </w:t>
      </w:r>
      <w:r w:rsidR="0067745D" w:rsidRPr="007029DF">
        <w:rPr>
          <w:rFonts w:cs="Arial"/>
          <w:szCs w:val="22"/>
          <w:lang w:val="en-GB"/>
        </w:rPr>
        <w:t xml:space="preserve">a </w:t>
      </w:r>
      <w:r w:rsidRPr="007029DF">
        <w:rPr>
          <w:rFonts w:cs="Arial"/>
          <w:szCs w:val="22"/>
          <w:lang w:val="en-GB"/>
        </w:rPr>
        <w:t>media plan including the scope of the</w:t>
      </w:r>
      <w:r w:rsidR="001A0273" w:rsidRPr="007029DF">
        <w:rPr>
          <w:rFonts w:cs="Arial"/>
          <w:szCs w:val="22"/>
          <w:lang w:val="en-GB"/>
        </w:rPr>
        <w:t xml:space="preserve"> media campaign</w:t>
      </w:r>
      <w:r w:rsidR="00197B58" w:rsidRPr="007029DF">
        <w:rPr>
          <w:rFonts w:cs="Arial"/>
          <w:szCs w:val="22"/>
          <w:lang w:val="en-GB"/>
        </w:rPr>
        <w:t>;</w:t>
      </w:r>
      <w:r w:rsidRPr="007029DF">
        <w:rPr>
          <w:rFonts w:cs="Arial"/>
          <w:szCs w:val="22"/>
          <w:lang w:val="en-GB"/>
        </w:rPr>
        <w:t xml:space="preserve"> interventions required</w:t>
      </w:r>
      <w:r w:rsidR="00197B58" w:rsidRPr="007029DF">
        <w:rPr>
          <w:rFonts w:cs="Arial"/>
          <w:szCs w:val="22"/>
          <w:lang w:val="en-GB"/>
        </w:rPr>
        <w:t>;</w:t>
      </w:r>
      <w:r w:rsidRPr="007029DF">
        <w:rPr>
          <w:rFonts w:cs="Arial"/>
          <w:szCs w:val="22"/>
          <w:lang w:val="en-GB"/>
        </w:rPr>
        <w:t xml:space="preserve"> </w:t>
      </w:r>
      <w:r w:rsidR="00197B58" w:rsidRPr="007029DF">
        <w:rPr>
          <w:rFonts w:cs="Arial"/>
          <w:szCs w:val="22"/>
          <w:lang w:val="en-GB"/>
        </w:rPr>
        <w:t xml:space="preserve">and the </w:t>
      </w:r>
      <w:r w:rsidRPr="007029DF">
        <w:rPr>
          <w:rFonts w:cs="Arial"/>
          <w:szCs w:val="22"/>
          <w:lang w:val="en-GB"/>
        </w:rPr>
        <w:t>human, financial and technical resources needed to support implementation of the plan</w:t>
      </w:r>
      <w:r w:rsidR="001512BB" w:rsidRPr="007029DF">
        <w:rPr>
          <w:rFonts w:cs="Arial"/>
          <w:szCs w:val="22"/>
          <w:lang w:val="en-GB"/>
        </w:rPr>
        <w:t>.</w:t>
      </w:r>
    </w:p>
    <w:p w14:paraId="01AAC850" w14:textId="77777777" w:rsidR="00BB4200" w:rsidRPr="007029DF" w:rsidRDefault="00BB4200" w:rsidP="004622EC">
      <w:pPr>
        <w:pStyle w:val="a7"/>
        <w:tabs>
          <w:tab w:val="clear" w:pos="4153"/>
          <w:tab w:val="clear" w:pos="8306"/>
          <w:tab w:val="left" w:pos="426"/>
        </w:tabs>
        <w:spacing w:after="120"/>
        <w:ind w:left="1350" w:right="90" w:hanging="1350"/>
        <w:contextualSpacing/>
        <w:rPr>
          <w:rFonts w:cs="Arial"/>
          <w:szCs w:val="22"/>
          <w:lang w:val="en-GB"/>
        </w:rPr>
      </w:pPr>
      <w:r w:rsidRPr="007029DF">
        <w:rPr>
          <w:rFonts w:cs="Arial"/>
          <w:szCs w:val="22"/>
          <w:lang w:val="en-GB"/>
        </w:rPr>
        <w:t>Activity 2.3.</w:t>
      </w:r>
      <w:r w:rsidR="001512BB" w:rsidRPr="007029DF">
        <w:rPr>
          <w:rFonts w:cs="Arial"/>
          <w:szCs w:val="22"/>
          <w:lang w:val="en-GB"/>
        </w:rPr>
        <w:t>3:</w:t>
      </w:r>
      <w:r w:rsidRPr="007029DF">
        <w:rPr>
          <w:rFonts w:cs="Arial"/>
          <w:szCs w:val="22"/>
          <w:lang w:val="en-GB"/>
        </w:rPr>
        <w:t xml:space="preserve"> </w:t>
      </w:r>
      <w:r w:rsidR="001512BB" w:rsidRPr="007029DF">
        <w:rPr>
          <w:rFonts w:cs="Arial"/>
          <w:szCs w:val="22"/>
          <w:lang w:val="en-GB"/>
        </w:rPr>
        <w:t>Plan and execut</w:t>
      </w:r>
      <w:r w:rsidR="00EC139A" w:rsidRPr="007029DF">
        <w:rPr>
          <w:rFonts w:cs="Arial"/>
          <w:szCs w:val="22"/>
          <w:lang w:val="en-GB"/>
        </w:rPr>
        <w:t>e</w:t>
      </w:r>
      <w:r w:rsidR="001512BB" w:rsidRPr="007029DF">
        <w:rPr>
          <w:rFonts w:cs="Arial"/>
          <w:szCs w:val="22"/>
          <w:lang w:val="en-GB"/>
        </w:rPr>
        <w:t xml:space="preserve"> awareness raising interventions in on- and offline media as per developed media plan.</w:t>
      </w:r>
    </w:p>
    <w:p w14:paraId="0FD34D61" w14:textId="77777777" w:rsidR="00893F45" w:rsidRPr="007029DF" w:rsidRDefault="001512BB" w:rsidP="004622EC">
      <w:pPr>
        <w:pStyle w:val="a7"/>
        <w:tabs>
          <w:tab w:val="clear" w:pos="4153"/>
          <w:tab w:val="clear" w:pos="8306"/>
          <w:tab w:val="left" w:pos="426"/>
        </w:tabs>
        <w:spacing w:after="120"/>
        <w:ind w:left="1350" w:right="90" w:hanging="1350"/>
        <w:contextualSpacing/>
        <w:rPr>
          <w:rFonts w:cs="Arial"/>
          <w:szCs w:val="22"/>
          <w:lang w:val="en-GB"/>
        </w:rPr>
      </w:pPr>
      <w:r w:rsidRPr="007029DF">
        <w:rPr>
          <w:rFonts w:cs="Arial"/>
          <w:szCs w:val="22"/>
          <w:lang w:val="en-GB"/>
        </w:rPr>
        <w:t>Activity 2.3.4: Facilitat</w:t>
      </w:r>
      <w:r w:rsidR="00EC139A" w:rsidRPr="007029DF">
        <w:rPr>
          <w:rFonts w:cs="Arial"/>
          <w:szCs w:val="22"/>
          <w:lang w:val="en-GB"/>
        </w:rPr>
        <w:t>e</w:t>
      </w:r>
      <w:r w:rsidRPr="007029DF">
        <w:rPr>
          <w:rFonts w:cs="Arial"/>
          <w:szCs w:val="22"/>
          <w:lang w:val="en-GB"/>
        </w:rPr>
        <w:t xml:space="preserve"> information exchange via organisation of targeted training and workshops including inter alia for small</w:t>
      </w:r>
      <w:r w:rsidR="00F15420" w:rsidRPr="007029DF">
        <w:rPr>
          <w:rFonts w:cs="Arial"/>
          <w:szCs w:val="22"/>
          <w:lang w:val="en-GB"/>
        </w:rPr>
        <w:t>-</w:t>
      </w:r>
      <w:r w:rsidRPr="007029DF">
        <w:rPr>
          <w:rFonts w:cs="Arial"/>
          <w:szCs w:val="22"/>
          <w:lang w:val="en-GB"/>
        </w:rPr>
        <w:t xml:space="preserve">scale </w:t>
      </w:r>
      <w:r w:rsidR="00C953AA" w:rsidRPr="007029DF">
        <w:rPr>
          <w:rFonts w:cs="Arial"/>
          <w:szCs w:val="22"/>
          <w:lang w:val="en-GB"/>
        </w:rPr>
        <w:t>equipment suppliers</w:t>
      </w:r>
      <w:r w:rsidRPr="007029DF">
        <w:rPr>
          <w:rFonts w:cs="Arial"/>
          <w:szCs w:val="22"/>
          <w:lang w:val="en-GB"/>
        </w:rPr>
        <w:t>.</w:t>
      </w:r>
    </w:p>
    <w:p w14:paraId="384C2B14" w14:textId="77777777" w:rsidR="001A0273" w:rsidRPr="007029DF" w:rsidRDefault="001A0273" w:rsidP="004622EC">
      <w:pPr>
        <w:pStyle w:val="a7"/>
        <w:tabs>
          <w:tab w:val="clear" w:pos="4153"/>
          <w:tab w:val="clear" w:pos="8306"/>
          <w:tab w:val="left" w:pos="426"/>
        </w:tabs>
        <w:spacing w:after="120"/>
        <w:ind w:left="1350" w:right="90" w:hanging="1350"/>
        <w:contextualSpacing/>
        <w:rPr>
          <w:rFonts w:eastAsia="Times New Roman"/>
        </w:rPr>
      </w:pPr>
    </w:p>
    <w:p w14:paraId="5D1D6885" w14:textId="77777777" w:rsidR="00321AC7" w:rsidRPr="007029DF" w:rsidRDefault="00321AC7" w:rsidP="00087334">
      <w:pPr>
        <w:pStyle w:val="a7"/>
        <w:keepNext/>
        <w:keepLines/>
        <w:pBdr>
          <w:top w:val="single" w:sz="4" w:space="1" w:color="auto"/>
          <w:left w:val="single" w:sz="4" w:space="4" w:color="auto"/>
          <w:bottom w:val="single" w:sz="4" w:space="1" w:color="auto"/>
          <w:right w:val="single" w:sz="4" w:space="4" w:color="auto"/>
        </w:pBdr>
        <w:tabs>
          <w:tab w:val="clear" w:pos="4153"/>
          <w:tab w:val="clear" w:pos="8306"/>
          <w:tab w:val="left" w:pos="426"/>
        </w:tabs>
        <w:spacing w:after="120"/>
        <w:jc w:val="left"/>
        <w:rPr>
          <w:rFonts w:cs="Arial"/>
          <w:szCs w:val="22"/>
          <w:lang w:val="en-GB"/>
        </w:rPr>
      </w:pPr>
      <w:r w:rsidRPr="007029DF">
        <w:rPr>
          <w:rFonts w:cs="Arial"/>
          <w:b/>
          <w:i/>
          <w:szCs w:val="22"/>
          <w:lang w:val="en-GB"/>
        </w:rPr>
        <w:t xml:space="preserve">Output 2.4 </w:t>
      </w:r>
      <w:r w:rsidRPr="007029DF">
        <w:rPr>
          <w:rFonts w:cs="Arial"/>
          <w:szCs w:val="22"/>
          <w:lang w:val="en-GB"/>
        </w:rPr>
        <w:t>Functioning and enforced quality control system in place for small-scale technology</w:t>
      </w:r>
    </w:p>
    <w:p w14:paraId="4C3F9061" w14:textId="77777777" w:rsidR="000B16C3" w:rsidRPr="007029DF" w:rsidRDefault="000B16C3" w:rsidP="0020322F">
      <w:pPr>
        <w:pStyle w:val="a7"/>
        <w:numPr>
          <w:ilvl w:val="0"/>
          <w:numId w:val="9"/>
        </w:numPr>
        <w:tabs>
          <w:tab w:val="clear" w:pos="4153"/>
          <w:tab w:val="clear" w:pos="8306"/>
          <w:tab w:val="left" w:pos="426"/>
          <w:tab w:val="left" w:pos="9356"/>
        </w:tabs>
        <w:spacing w:after="120"/>
        <w:ind w:left="0" w:right="4" w:firstLine="0"/>
        <w:rPr>
          <w:rFonts w:cs="Arial"/>
          <w:szCs w:val="22"/>
          <w:lang w:val="en-GB"/>
        </w:rPr>
      </w:pPr>
      <w:r w:rsidRPr="007029DF">
        <w:rPr>
          <w:rFonts w:cs="Arial"/>
          <w:szCs w:val="22"/>
          <w:lang w:val="en-GB"/>
        </w:rPr>
        <w:t xml:space="preserve">To address the identified DREI </w:t>
      </w:r>
      <w:r w:rsidR="005A1734" w:rsidRPr="007029DF">
        <w:rPr>
          <w:rFonts w:cs="Arial"/>
          <w:szCs w:val="22"/>
          <w:lang w:val="en-GB"/>
        </w:rPr>
        <w:t>hardware</w:t>
      </w:r>
      <w:r w:rsidRPr="007029DF">
        <w:rPr>
          <w:rFonts w:cs="Arial"/>
          <w:szCs w:val="22"/>
          <w:lang w:val="en-GB"/>
        </w:rPr>
        <w:t xml:space="preserve"> risks (and indirectly the labour risks), the project will carry out awareness raising activities focused on building the profile of small-scale renewables and reliable suppliers and designers</w:t>
      </w:r>
      <w:r w:rsidR="005142E9" w:rsidRPr="007029DF">
        <w:rPr>
          <w:rFonts w:cs="Arial"/>
          <w:szCs w:val="22"/>
          <w:lang w:val="en-GB"/>
        </w:rPr>
        <w:t xml:space="preserve"> in the sector</w:t>
      </w:r>
      <w:r w:rsidRPr="007029DF">
        <w:rPr>
          <w:rFonts w:cs="Arial"/>
          <w:szCs w:val="22"/>
          <w:lang w:val="en-GB"/>
        </w:rPr>
        <w:t>.</w:t>
      </w:r>
    </w:p>
    <w:p w14:paraId="3D92BFD1" w14:textId="77777777" w:rsidR="00345867" w:rsidRPr="007029DF" w:rsidRDefault="00345867" w:rsidP="004622EC">
      <w:pPr>
        <w:pStyle w:val="a7"/>
        <w:tabs>
          <w:tab w:val="clear" w:pos="4153"/>
          <w:tab w:val="clear" w:pos="8306"/>
          <w:tab w:val="left" w:pos="426"/>
        </w:tabs>
        <w:spacing w:after="120"/>
        <w:ind w:left="1354" w:hanging="1354"/>
        <w:contextualSpacing/>
        <w:rPr>
          <w:rFonts w:eastAsia="Times New Roman"/>
          <w:szCs w:val="22"/>
        </w:rPr>
      </w:pPr>
      <w:r w:rsidRPr="007029DF">
        <w:rPr>
          <w:rFonts w:eastAsia="Times New Roman"/>
          <w:szCs w:val="22"/>
        </w:rPr>
        <w:t>Activity 2.</w:t>
      </w:r>
      <w:r w:rsidR="00EC139A" w:rsidRPr="007029DF">
        <w:rPr>
          <w:rFonts w:eastAsia="Times New Roman"/>
          <w:szCs w:val="22"/>
        </w:rPr>
        <w:t>1</w:t>
      </w:r>
      <w:r w:rsidRPr="007029DF">
        <w:rPr>
          <w:rFonts w:eastAsia="Times New Roman"/>
          <w:szCs w:val="22"/>
        </w:rPr>
        <w:t xml:space="preserve">.1: </w:t>
      </w:r>
      <w:r w:rsidR="00371767" w:rsidRPr="007029DF">
        <w:rPr>
          <w:rFonts w:eastAsia="Times New Roman"/>
          <w:szCs w:val="22"/>
        </w:rPr>
        <w:t xml:space="preserve">Hold </w:t>
      </w:r>
      <w:r w:rsidRPr="007029DF">
        <w:rPr>
          <w:rFonts w:eastAsia="Times New Roman"/>
          <w:szCs w:val="22"/>
        </w:rPr>
        <w:t xml:space="preserve">consultations with producers, sellers, buyers, users and/or regulators of small-scale renewable energy equipment and facilitate a dialogue on technology standards.  </w:t>
      </w:r>
    </w:p>
    <w:p w14:paraId="41D581F4" w14:textId="77777777" w:rsidR="00345867" w:rsidRPr="007029DF" w:rsidRDefault="00345867" w:rsidP="004622EC">
      <w:pPr>
        <w:pStyle w:val="a7"/>
        <w:tabs>
          <w:tab w:val="clear" w:pos="4153"/>
          <w:tab w:val="clear" w:pos="8306"/>
          <w:tab w:val="left" w:pos="426"/>
        </w:tabs>
        <w:spacing w:after="120"/>
        <w:ind w:left="1354" w:hanging="1354"/>
        <w:contextualSpacing/>
        <w:rPr>
          <w:rFonts w:eastAsia="Times New Roman"/>
          <w:szCs w:val="22"/>
        </w:rPr>
      </w:pPr>
      <w:r w:rsidRPr="007029DF">
        <w:rPr>
          <w:rFonts w:eastAsia="Times New Roman"/>
          <w:szCs w:val="22"/>
        </w:rPr>
        <w:t>Activity 2.</w:t>
      </w:r>
      <w:r w:rsidR="00EC139A" w:rsidRPr="007029DF">
        <w:rPr>
          <w:rFonts w:eastAsia="Times New Roman"/>
          <w:szCs w:val="22"/>
        </w:rPr>
        <w:t>4</w:t>
      </w:r>
      <w:r w:rsidRPr="007029DF">
        <w:rPr>
          <w:rFonts w:eastAsia="Times New Roman"/>
          <w:szCs w:val="22"/>
        </w:rPr>
        <w:t xml:space="preserve">.2: Develop proposals </w:t>
      </w:r>
      <w:r w:rsidR="0067745D" w:rsidRPr="007029DF">
        <w:rPr>
          <w:rFonts w:eastAsia="Times New Roman"/>
          <w:szCs w:val="22"/>
        </w:rPr>
        <w:t xml:space="preserve">for </w:t>
      </w:r>
      <w:r w:rsidRPr="007029DF">
        <w:rPr>
          <w:rFonts w:eastAsia="Times New Roman"/>
          <w:szCs w:val="22"/>
        </w:rPr>
        <w:t>small-scale technology standards</w:t>
      </w:r>
      <w:r w:rsidR="0067745D" w:rsidRPr="007029DF">
        <w:rPr>
          <w:rFonts w:eastAsia="Times New Roman"/>
          <w:szCs w:val="22"/>
        </w:rPr>
        <w:t>, in consultation with the identified stakeholders</w:t>
      </w:r>
    </w:p>
    <w:p w14:paraId="36E73CFE" w14:textId="77777777" w:rsidR="00655D8B" w:rsidRPr="007029DF" w:rsidRDefault="00EC139A" w:rsidP="004622EC">
      <w:pPr>
        <w:pStyle w:val="a7"/>
        <w:tabs>
          <w:tab w:val="clear" w:pos="4153"/>
          <w:tab w:val="clear" w:pos="8306"/>
          <w:tab w:val="left" w:pos="426"/>
        </w:tabs>
        <w:spacing w:after="120"/>
        <w:ind w:left="1354" w:hanging="1354"/>
        <w:contextualSpacing/>
        <w:rPr>
          <w:rFonts w:eastAsia="Times New Roman"/>
          <w:szCs w:val="22"/>
        </w:rPr>
      </w:pPr>
      <w:r w:rsidRPr="007029DF">
        <w:rPr>
          <w:rFonts w:eastAsia="Times New Roman"/>
          <w:szCs w:val="22"/>
        </w:rPr>
        <w:t>Activity 2.4</w:t>
      </w:r>
      <w:r w:rsidR="00345867" w:rsidRPr="007029DF">
        <w:rPr>
          <w:rFonts w:eastAsia="Times New Roman"/>
          <w:szCs w:val="22"/>
        </w:rPr>
        <w:t xml:space="preserve">.3: </w:t>
      </w:r>
      <w:r w:rsidR="00655D8B" w:rsidRPr="007029DF">
        <w:rPr>
          <w:rFonts w:eastAsia="Times New Roman"/>
          <w:szCs w:val="22"/>
        </w:rPr>
        <w:t>Establish small-scale technology</w:t>
      </w:r>
      <w:r w:rsidR="00DE641A" w:rsidRPr="007029DF">
        <w:rPr>
          <w:rFonts w:eastAsia="Times New Roman"/>
          <w:szCs w:val="22"/>
        </w:rPr>
        <w:t xml:space="preserve"> </w:t>
      </w:r>
      <w:r w:rsidR="004123A3" w:rsidRPr="007029DF">
        <w:rPr>
          <w:rFonts w:eastAsia="Times New Roman"/>
          <w:szCs w:val="22"/>
        </w:rPr>
        <w:t>platform, which</w:t>
      </w:r>
      <w:r w:rsidR="00655D8B" w:rsidRPr="007029DF">
        <w:rPr>
          <w:rFonts w:eastAsia="Times New Roman"/>
          <w:szCs w:val="22"/>
        </w:rPr>
        <w:t xml:space="preserve"> includes information on small-scale technologies and quality and performance standards.</w:t>
      </w:r>
      <w:r w:rsidR="00371767" w:rsidRPr="007029DF">
        <w:rPr>
          <w:rFonts w:eastAsia="Times New Roman"/>
          <w:szCs w:val="22"/>
        </w:rPr>
        <w:t xml:space="preserve"> This </w:t>
      </w:r>
      <w:r w:rsidR="001624E8" w:rsidRPr="007029DF">
        <w:rPr>
          <w:rFonts w:eastAsia="Times New Roman"/>
          <w:szCs w:val="22"/>
        </w:rPr>
        <w:t xml:space="preserve">platform </w:t>
      </w:r>
      <w:r w:rsidR="00371767" w:rsidRPr="007029DF">
        <w:rPr>
          <w:rFonts w:eastAsia="Times New Roman"/>
          <w:szCs w:val="22"/>
        </w:rPr>
        <w:t xml:space="preserve">will </w:t>
      </w:r>
      <w:r w:rsidR="001624E8" w:rsidRPr="007029DF">
        <w:rPr>
          <w:rFonts w:eastAsia="Times New Roman"/>
          <w:szCs w:val="22"/>
        </w:rPr>
        <w:t>be</w:t>
      </w:r>
      <w:r w:rsidR="00371767" w:rsidRPr="007029DF">
        <w:rPr>
          <w:rFonts w:eastAsia="Times New Roman"/>
          <w:szCs w:val="22"/>
        </w:rPr>
        <w:t xml:space="preserve"> an online web</w:t>
      </w:r>
      <w:r w:rsidR="001624E8" w:rsidRPr="007029DF">
        <w:rPr>
          <w:rFonts w:eastAsia="Times New Roman"/>
          <w:szCs w:val="22"/>
        </w:rPr>
        <w:t>-based</w:t>
      </w:r>
      <w:r w:rsidR="00371767" w:rsidRPr="007029DF">
        <w:rPr>
          <w:rFonts w:eastAsia="Times New Roman"/>
          <w:szCs w:val="22"/>
        </w:rPr>
        <w:t xml:space="preserve"> platform that allows purchasers to identify suppliers and equipment that meets minimum quality and performance standards, and provides information to purchasers to assist in their decision-making processes.</w:t>
      </w:r>
    </w:p>
    <w:p w14:paraId="601B9D76" w14:textId="77777777" w:rsidR="00197B58" w:rsidRPr="007029DF" w:rsidRDefault="00EC139A" w:rsidP="004622EC">
      <w:pPr>
        <w:pStyle w:val="a7"/>
        <w:tabs>
          <w:tab w:val="clear" w:pos="4153"/>
          <w:tab w:val="clear" w:pos="8306"/>
          <w:tab w:val="left" w:pos="426"/>
        </w:tabs>
        <w:spacing w:after="120"/>
        <w:ind w:left="1354" w:hanging="1354"/>
        <w:contextualSpacing/>
        <w:rPr>
          <w:rFonts w:eastAsia="Times New Roman"/>
          <w:szCs w:val="22"/>
        </w:rPr>
      </w:pPr>
      <w:r w:rsidRPr="007029DF">
        <w:rPr>
          <w:rFonts w:eastAsia="Times New Roman"/>
          <w:szCs w:val="22"/>
        </w:rPr>
        <w:t>Activity 2.4</w:t>
      </w:r>
      <w:r w:rsidR="00655D8B" w:rsidRPr="007029DF">
        <w:rPr>
          <w:rFonts w:eastAsia="Times New Roman"/>
          <w:szCs w:val="22"/>
        </w:rPr>
        <w:t xml:space="preserve">.4: </w:t>
      </w:r>
      <w:r w:rsidR="00681984" w:rsidRPr="007029DF">
        <w:rPr>
          <w:rFonts w:eastAsia="Times New Roman"/>
          <w:szCs w:val="22"/>
        </w:rPr>
        <w:t xml:space="preserve">Develop </w:t>
      </w:r>
      <w:r w:rsidR="00DE641A" w:rsidRPr="007029DF">
        <w:rPr>
          <w:rFonts w:eastAsia="Times New Roman"/>
          <w:szCs w:val="22"/>
        </w:rPr>
        <w:t xml:space="preserve">appropriate institutional and organizational arrangements for monitoring and enforcing quality standards. </w:t>
      </w:r>
      <w:r w:rsidR="00371767" w:rsidRPr="007029DF">
        <w:rPr>
          <w:rFonts w:eastAsia="Times New Roman"/>
          <w:szCs w:val="22"/>
        </w:rPr>
        <w:t>The approach to be taken will be integrated with the financial incentives that are developed and implemented in component 3</w:t>
      </w:r>
      <w:r w:rsidR="00854E42" w:rsidRPr="007029DF">
        <w:rPr>
          <w:rFonts w:eastAsia="Times New Roman"/>
          <w:szCs w:val="22"/>
        </w:rPr>
        <w:t xml:space="preserve">, so that, for instance, only approved products and suppliers are </w:t>
      </w:r>
      <w:r w:rsidR="00C953AA" w:rsidRPr="007029DF">
        <w:rPr>
          <w:rFonts w:eastAsia="Times New Roman"/>
          <w:szCs w:val="22"/>
        </w:rPr>
        <w:t>eligible</w:t>
      </w:r>
      <w:r w:rsidR="00854E42" w:rsidRPr="007029DF">
        <w:rPr>
          <w:rFonts w:eastAsia="Times New Roman"/>
          <w:szCs w:val="22"/>
        </w:rPr>
        <w:t xml:space="preserve"> to receive the incentives.</w:t>
      </w:r>
    </w:p>
    <w:p w14:paraId="1E7492C2" w14:textId="77777777" w:rsidR="001B25A0" w:rsidRPr="007029DF" w:rsidRDefault="00EC139A" w:rsidP="004622EC">
      <w:pPr>
        <w:pStyle w:val="a7"/>
        <w:tabs>
          <w:tab w:val="clear" w:pos="4153"/>
          <w:tab w:val="clear" w:pos="8306"/>
          <w:tab w:val="left" w:pos="426"/>
        </w:tabs>
        <w:spacing w:after="120"/>
        <w:ind w:left="1354" w:right="288" w:hanging="1354"/>
        <w:contextualSpacing/>
        <w:rPr>
          <w:rFonts w:eastAsia="Times New Roman"/>
          <w:szCs w:val="22"/>
        </w:rPr>
      </w:pPr>
      <w:r w:rsidRPr="007029DF">
        <w:rPr>
          <w:rFonts w:eastAsia="Times New Roman"/>
          <w:szCs w:val="22"/>
        </w:rPr>
        <w:t>Activity 2.4.5:</w:t>
      </w:r>
      <w:r w:rsidR="001B25A0" w:rsidRPr="007029DF">
        <w:rPr>
          <w:rFonts w:eastAsia="Times New Roman"/>
          <w:szCs w:val="22"/>
        </w:rPr>
        <w:t xml:space="preserve"> Organiz</w:t>
      </w:r>
      <w:r w:rsidRPr="007029DF">
        <w:rPr>
          <w:rFonts w:eastAsia="Times New Roman"/>
          <w:szCs w:val="22"/>
        </w:rPr>
        <w:t>e</w:t>
      </w:r>
      <w:r w:rsidR="001B25A0" w:rsidRPr="007029DF">
        <w:rPr>
          <w:rFonts w:eastAsia="Times New Roman"/>
          <w:szCs w:val="22"/>
        </w:rPr>
        <w:t xml:space="preserve"> </w:t>
      </w:r>
      <w:r w:rsidR="00C946EF" w:rsidRPr="007029DF">
        <w:rPr>
          <w:rFonts w:eastAsia="Times New Roman"/>
          <w:szCs w:val="22"/>
        </w:rPr>
        <w:t xml:space="preserve">and implement </w:t>
      </w:r>
      <w:r w:rsidR="001B25A0" w:rsidRPr="007029DF">
        <w:rPr>
          <w:rFonts w:eastAsia="Times New Roman"/>
          <w:szCs w:val="22"/>
        </w:rPr>
        <w:t>relevant training to develop skills for support of quality control system.</w:t>
      </w:r>
    </w:p>
    <w:p w14:paraId="792EDC9D" w14:textId="77777777" w:rsidR="000D26BE" w:rsidRPr="004622EC" w:rsidRDefault="000D26BE" w:rsidP="004622EC">
      <w:pPr>
        <w:pStyle w:val="a7"/>
        <w:spacing w:before="360" w:after="120"/>
        <w:rPr>
          <w:b/>
          <w:bCs/>
          <w:szCs w:val="22"/>
        </w:rPr>
      </w:pPr>
      <w:r w:rsidRPr="004622EC">
        <w:rPr>
          <w:b/>
          <w:bCs/>
          <w:szCs w:val="22"/>
        </w:rPr>
        <w:t>Component 3: Renewable Energy for Life: Financial Derisking and Incentives</w:t>
      </w:r>
    </w:p>
    <w:p w14:paraId="15D25F76" w14:textId="77777777" w:rsidR="009D3E4D" w:rsidRDefault="000D26BE" w:rsidP="0020322F">
      <w:pPr>
        <w:pStyle w:val="a7"/>
        <w:numPr>
          <w:ilvl w:val="0"/>
          <w:numId w:val="9"/>
        </w:numPr>
        <w:tabs>
          <w:tab w:val="clear" w:pos="4153"/>
          <w:tab w:val="clear" w:pos="8306"/>
          <w:tab w:val="left" w:pos="426"/>
          <w:tab w:val="left" w:pos="9356"/>
        </w:tabs>
        <w:spacing w:after="120"/>
        <w:ind w:left="0" w:right="4" w:firstLine="0"/>
        <w:rPr>
          <w:rFonts w:cs="Arial"/>
          <w:szCs w:val="22"/>
          <w:lang w:val="en-GB"/>
        </w:rPr>
      </w:pPr>
      <w:r w:rsidRPr="006004D1">
        <w:rPr>
          <w:rFonts w:cs="Arial"/>
          <w:szCs w:val="22"/>
          <w:lang w:val="en-GB"/>
        </w:rPr>
        <w:t xml:space="preserve">This component will provide both technical assistance and direct financial support (through financial derisking instruments and direct financial incentives) to develop and test business models for implementation and financing for small-scale renewable energy, focusing on two sub-components: </w:t>
      </w:r>
      <w:r w:rsidR="00197B58">
        <w:rPr>
          <w:rFonts w:cs="Arial"/>
          <w:szCs w:val="22"/>
          <w:lang w:val="en-GB"/>
        </w:rPr>
        <w:t>Renewable Energy</w:t>
      </w:r>
      <w:r w:rsidR="00197B58" w:rsidRPr="006004D1">
        <w:rPr>
          <w:rFonts w:cs="Arial"/>
          <w:szCs w:val="22"/>
          <w:lang w:val="en-GB"/>
        </w:rPr>
        <w:t xml:space="preserve"> </w:t>
      </w:r>
      <w:r w:rsidRPr="006004D1">
        <w:rPr>
          <w:rFonts w:cs="Arial"/>
          <w:szCs w:val="22"/>
          <w:lang w:val="en-GB"/>
        </w:rPr>
        <w:t xml:space="preserve">for Urban Life (e.g. building-level </w:t>
      </w:r>
      <w:r w:rsidR="00197B58">
        <w:rPr>
          <w:rFonts w:cs="Arial"/>
          <w:szCs w:val="22"/>
          <w:lang w:val="en-GB"/>
        </w:rPr>
        <w:t>renewable energy</w:t>
      </w:r>
      <w:r w:rsidR="00197B58" w:rsidRPr="006004D1">
        <w:rPr>
          <w:rFonts w:cs="Arial"/>
          <w:szCs w:val="22"/>
          <w:lang w:val="en-GB"/>
        </w:rPr>
        <w:t xml:space="preserve"> </w:t>
      </w:r>
      <w:r w:rsidRPr="006004D1">
        <w:rPr>
          <w:rFonts w:cs="Arial"/>
          <w:szCs w:val="22"/>
          <w:lang w:val="en-GB"/>
        </w:rPr>
        <w:t>applications</w:t>
      </w:r>
      <w:r>
        <w:rPr>
          <w:rFonts w:cs="Arial"/>
          <w:szCs w:val="22"/>
          <w:lang w:val="en-GB"/>
        </w:rPr>
        <w:t>, principally for the tertiary sector</w:t>
      </w:r>
      <w:r w:rsidRPr="006004D1">
        <w:rPr>
          <w:rFonts w:cs="Arial"/>
          <w:szCs w:val="22"/>
          <w:lang w:val="en-GB"/>
        </w:rPr>
        <w:t xml:space="preserve">) and </w:t>
      </w:r>
      <w:r w:rsidR="00197B58">
        <w:rPr>
          <w:rFonts w:cs="Arial"/>
          <w:szCs w:val="22"/>
          <w:lang w:val="en-GB"/>
        </w:rPr>
        <w:t>Renewable Energy</w:t>
      </w:r>
      <w:r w:rsidR="00197B58" w:rsidRPr="006004D1">
        <w:rPr>
          <w:rFonts w:cs="Arial"/>
          <w:szCs w:val="22"/>
          <w:lang w:val="en-GB"/>
        </w:rPr>
        <w:t xml:space="preserve"> </w:t>
      </w:r>
      <w:r w:rsidRPr="006004D1">
        <w:rPr>
          <w:rFonts w:cs="Arial"/>
          <w:szCs w:val="22"/>
          <w:lang w:val="en-GB"/>
        </w:rPr>
        <w:t xml:space="preserve">for Rural Life (use of </w:t>
      </w:r>
      <w:r w:rsidR="00197B58">
        <w:rPr>
          <w:rFonts w:cs="Arial"/>
          <w:szCs w:val="22"/>
          <w:lang w:val="en-GB"/>
        </w:rPr>
        <w:t>renewable energy</w:t>
      </w:r>
      <w:r w:rsidR="00197B58" w:rsidRPr="006004D1">
        <w:rPr>
          <w:rFonts w:cs="Arial"/>
          <w:szCs w:val="22"/>
          <w:lang w:val="en-GB"/>
        </w:rPr>
        <w:t xml:space="preserve"> </w:t>
      </w:r>
      <w:r w:rsidRPr="006004D1">
        <w:rPr>
          <w:rFonts w:cs="Arial"/>
          <w:szCs w:val="22"/>
          <w:lang w:val="en-GB"/>
        </w:rPr>
        <w:t xml:space="preserve">in rural areas and in agriculture). </w:t>
      </w:r>
    </w:p>
    <w:p w14:paraId="42A4DF0D" w14:textId="77777777" w:rsidR="00DA6720" w:rsidRDefault="000D26BE" w:rsidP="0020322F">
      <w:pPr>
        <w:pStyle w:val="a7"/>
        <w:numPr>
          <w:ilvl w:val="0"/>
          <w:numId w:val="9"/>
        </w:numPr>
        <w:tabs>
          <w:tab w:val="clear" w:pos="4153"/>
          <w:tab w:val="clear" w:pos="8306"/>
          <w:tab w:val="left" w:pos="426"/>
          <w:tab w:val="left" w:pos="9356"/>
        </w:tabs>
        <w:spacing w:after="120"/>
        <w:ind w:left="0" w:right="4" w:firstLine="0"/>
        <w:rPr>
          <w:rFonts w:cs="Arial"/>
          <w:szCs w:val="22"/>
          <w:lang w:val="en-GB"/>
        </w:rPr>
      </w:pPr>
      <w:r w:rsidRPr="006004D1">
        <w:rPr>
          <w:rFonts w:cs="Arial"/>
          <w:szCs w:val="22"/>
          <w:lang w:val="en-GB"/>
        </w:rPr>
        <w:t xml:space="preserve">Financial and business models will be identified based on economic analyses of the financial viability of small-scale renewable energy for different categories and profiles of buildings, houses and businesses and in partnership with private sector “champions” interested in experimenting with such business models and technologies. </w:t>
      </w:r>
      <w:r w:rsidRPr="00C5169F">
        <w:rPr>
          <w:rFonts w:cs="Arial"/>
          <w:szCs w:val="22"/>
          <w:lang w:val="en-GB"/>
        </w:rPr>
        <w:t>This work will incorporate and build on existing government policies and baseline funding schemes</w:t>
      </w:r>
      <w:r w:rsidR="000B16C3">
        <w:rPr>
          <w:rFonts w:cs="Arial"/>
          <w:szCs w:val="22"/>
          <w:lang w:val="en-GB"/>
        </w:rPr>
        <w:t xml:space="preserve">, and reflect the identified </w:t>
      </w:r>
      <w:r w:rsidR="004A11F0">
        <w:rPr>
          <w:rFonts w:cs="Arial"/>
          <w:szCs w:val="22"/>
          <w:lang w:val="en-GB"/>
        </w:rPr>
        <w:t xml:space="preserve">priority </w:t>
      </w:r>
      <w:r w:rsidR="000B16C3">
        <w:rPr>
          <w:rFonts w:cs="Arial"/>
          <w:szCs w:val="22"/>
          <w:lang w:val="en-GB"/>
        </w:rPr>
        <w:t>DREI risks, in particular the DREI Develop</w:t>
      </w:r>
      <w:r w:rsidR="005A1734">
        <w:rPr>
          <w:rFonts w:cs="Arial"/>
          <w:szCs w:val="22"/>
          <w:lang w:val="en-GB"/>
        </w:rPr>
        <w:t>er</w:t>
      </w:r>
      <w:r w:rsidR="000B16C3">
        <w:rPr>
          <w:rFonts w:cs="Arial"/>
          <w:szCs w:val="22"/>
          <w:lang w:val="en-GB"/>
        </w:rPr>
        <w:t xml:space="preserve"> risks</w:t>
      </w:r>
      <w:r w:rsidRPr="00C5169F">
        <w:rPr>
          <w:rFonts w:cs="Arial"/>
          <w:szCs w:val="22"/>
          <w:lang w:val="en-GB"/>
        </w:rPr>
        <w:t>.</w:t>
      </w:r>
    </w:p>
    <w:p w14:paraId="4A0DBD81" w14:textId="77777777" w:rsidR="00C5169F" w:rsidRPr="004D4619" w:rsidRDefault="00C5169F" w:rsidP="0020322F">
      <w:pPr>
        <w:pStyle w:val="a7"/>
        <w:numPr>
          <w:ilvl w:val="0"/>
          <w:numId w:val="9"/>
        </w:numPr>
        <w:tabs>
          <w:tab w:val="clear" w:pos="4153"/>
          <w:tab w:val="clear" w:pos="8306"/>
          <w:tab w:val="left" w:pos="426"/>
          <w:tab w:val="left" w:pos="9356"/>
        </w:tabs>
        <w:spacing w:after="120"/>
        <w:ind w:left="0" w:right="4" w:firstLine="0"/>
        <w:rPr>
          <w:rFonts w:cs="Arial"/>
          <w:szCs w:val="22"/>
          <w:lang w:val="en-GB"/>
        </w:rPr>
      </w:pPr>
      <w:r w:rsidRPr="004D4619">
        <w:rPr>
          <w:rFonts w:cs="Arial"/>
          <w:szCs w:val="22"/>
          <w:lang w:val="en-GB"/>
        </w:rPr>
        <w:t>In urban areas, the project will focus on the development of commercial markets for solar hot water heating in the tertiary sector, in particular public buildings (nurseries, schools, clinics), and commercial buildings (hospitality sector, restaurants) – especially those that current</w:t>
      </w:r>
      <w:r w:rsidR="009D3E4D">
        <w:rPr>
          <w:rFonts w:cs="Arial"/>
          <w:szCs w:val="22"/>
          <w:lang w:val="en-GB"/>
        </w:rPr>
        <w:t>ly</w:t>
      </w:r>
      <w:r w:rsidRPr="004D4619">
        <w:rPr>
          <w:rFonts w:cs="Arial"/>
          <w:szCs w:val="22"/>
          <w:lang w:val="en-GB"/>
        </w:rPr>
        <w:t xml:space="preserve"> heat with electricity. These sectors are the closest in the Urban Renewable Energy sector to being financially viable under present conditions and it is a viable starting point for creating </w:t>
      </w:r>
      <w:r w:rsidR="005142E9">
        <w:rPr>
          <w:rFonts w:cs="Arial"/>
          <w:szCs w:val="22"/>
          <w:lang w:val="en-GB"/>
        </w:rPr>
        <w:t xml:space="preserve">a </w:t>
      </w:r>
      <w:r w:rsidRPr="004D4619">
        <w:rPr>
          <w:rFonts w:cs="Arial"/>
          <w:szCs w:val="22"/>
          <w:lang w:val="en-GB"/>
        </w:rPr>
        <w:t xml:space="preserve">functioning, self-sustaining commercial market. </w:t>
      </w:r>
      <w:r>
        <w:rPr>
          <w:rFonts w:cs="Arial"/>
          <w:szCs w:val="22"/>
          <w:lang w:val="en-GB"/>
        </w:rPr>
        <w:t>Related technologies such as heat pumps will also benefit from the growth of the solar hot water heating market. At present, the market barriers for other technologies such as PV (very high cost of generation compared to the grid) and other market segments such as multi-family apartments (highly complex decision-making and financing structures) are not yet viable commercially without very substantial incentives.</w:t>
      </w:r>
      <w:r w:rsidR="005B3ECC">
        <w:rPr>
          <w:rFonts w:cs="Arial"/>
          <w:szCs w:val="22"/>
          <w:lang w:val="en-GB"/>
        </w:rPr>
        <w:t xml:space="preserve"> This may change within the course of project implementation so will be kept under review. </w:t>
      </w:r>
    </w:p>
    <w:p w14:paraId="0C2BD828" w14:textId="77777777" w:rsidR="00C5169F" w:rsidRPr="00C51F30" w:rsidRDefault="00C5169F" w:rsidP="009B08EF">
      <w:pPr>
        <w:pStyle w:val="a7"/>
        <w:numPr>
          <w:ilvl w:val="0"/>
          <w:numId w:val="9"/>
        </w:numPr>
        <w:tabs>
          <w:tab w:val="clear" w:pos="4153"/>
          <w:tab w:val="clear" w:pos="8306"/>
          <w:tab w:val="left" w:pos="426"/>
        </w:tabs>
        <w:ind w:right="288"/>
        <w:rPr>
          <w:rFonts w:cs="Arial"/>
          <w:szCs w:val="22"/>
          <w:lang w:val="en-GB"/>
        </w:rPr>
      </w:pPr>
      <w:r w:rsidRPr="00C51F30">
        <w:rPr>
          <w:rFonts w:cs="Arial"/>
          <w:szCs w:val="22"/>
          <w:lang w:val="en-GB"/>
        </w:rPr>
        <w:t>Support will be provided to:</w:t>
      </w:r>
    </w:p>
    <w:p w14:paraId="0910254A" w14:textId="0DCBCE3E" w:rsidR="00C5169F" w:rsidRPr="007029DF" w:rsidRDefault="00C5169F" w:rsidP="0020322F">
      <w:pPr>
        <w:pStyle w:val="Normalbullets"/>
        <w:numPr>
          <w:ilvl w:val="0"/>
          <w:numId w:val="49"/>
        </w:numPr>
        <w:contextualSpacing/>
        <w:rPr>
          <w:rFonts w:cs="Arial"/>
          <w:szCs w:val="22"/>
          <w:lang w:eastAsia="ko-KR"/>
        </w:rPr>
      </w:pPr>
      <w:r w:rsidRPr="007029DF">
        <w:rPr>
          <w:rFonts w:cs="Arial"/>
          <w:szCs w:val="22"/>
          <w:lang w:eastAsia="ko-KR"/>
        </w:rPr>
        <w:t>Assess the market for Solar Water Heating in the tertiary sector to identify viable business models including value propositions, priority customer segments, market size, channels, cost structure and revenue streams, and specific market barriers</w:t>
      </w:r>
      <w:r w:rsidR="008210C0">
        <w:rPr>
          <w:rFonts w:cs="Arial"/>
          <w:szCs w:val="22"/>
          <w:lang w:eastAsia="ko-KR"/>
        </w:rPr>
        <w:t>. L</w:t>
      </w:r>
      <w:r w:rsidR="008210C0">
        <w:t xml:space="preserve">essons will be taken from the UNDP </w:t>
      </w:r>
      <w:r w:rsidR="00E073F3">
        <w:t>‘</w:t>
      </w:r>
      <w:r w:rsidR="008210C0" w:rsidRPr="00697CC1">
        <w:rPr>
          <w:i/>
        </w:rPr>
        <w:t>Global Solar Water Heating</w:t>
      </w:r>
      <w:r w:rsidR="00697CC1" w:rsidRPr="00697CC1">
        <w:rPr>
          <w:i/>
        </w:rPr>
        <w:t xml:space="preserve"> (GSWH) Market Transformation and Strengthening Initiative</w:t>
      </w:r>
      <w:r w:rsidR="00E073F3">
        <w:t>’</w:t>
      </w:r>
      <w:r w:rsidR="008210C0">
        <w:t xml:space="preserve"> project </w:t>
      </w:r>
      <w:r w:rsidR="00E073F3">
        <w:t>–</w:t>
      </w:r>
      <w:r w:rsidR="008210C0">
        <w:t xml:space="preserve"> covering 5 countries (Lebanon, Albania, India, Chile and Mexico</w:t>
      </w:r>
      <w:r w:rsidR="00E073F3">
        <w:t>) –</w:t>
      </w:r>
      <w:r w:rsidR="008210C0">
        <w:t xml:space="preserve"> that was conducted jointly with UNEP and recently closed.</w:t>
      </w:r>
    </w:p>
    <w:p w14:paraId="4B73488C" w14:textId="5EB3EBC0" w:rsidR="00C5169F" w:rsidRPr="007029DF" w:rsidRDefault="00C5169F" w:rsidP="0020322F">
      <w:pPr>
        <w:pStyle w:val="Normalbullets"/>
        <w:numPr>
          <w:ilvl w:val="0"/>
          <w:numId w:val="49"/>
        </w:numPr>
        <w:contextualSpacing/>
        <w:rPr>
          <w:rFonts w:cs="Arial"/>
          <w:szCs w:val="22"/>
          <w:lang w:eastAsia="ko-KR"/>
        </w:rPr>
      </w:pPr>
      <w:r w:rsidRPr="007029DF">
        <w:rPr>
          <w:rFonts w:cs="Arial"/>
          <w:szCs w:val="22"/>
          <w:lang w:eastAsia="ko-KR"/>
        </w:rPr>
        <w:t>Prepare viable financial models to de-risk commercial activity, including determining the level and type of public incentives, financing structure, (re)-payment arrangements (leasing, PPAs)</w:t>
      </w:r>
      <w:r w:rsidR="0089295E">
        <w:rPr>
          <w:rFonts w:cs="Arial"/>
          <w:szCs w:val="22"/>
          <w:lang w:eastAsia="ko-KR"/>
        </w:rPr>
        <w:t>.</w:t>
      </w:r>
    </w:p>
    <w:p w14:paraId="20B2F356" w14:textId="37680CAD" w:rsidR="00C5169F" w:rsidRPr="007029DF" w:rsidRDefault="00C5169F" w:rsidP="0020322F">
      <w:pPr>
        <w:pStyle w:val="Normalbullets"/>
        <w:numPr>
          <w:ilvl w:val="0"/>
          <w:numId w:val="49"/>
        </w:numPr>
        <w:contextualSpacing/>
        <w:rPr>
          <w:rFonts w:cs="Arial"/>
          <w:szCs w:val="22"/>
          <w:lang w:eastAsia="ko-KR"/>
        </w:rPr>
      </w:pPr>
      <w:r w:rsidRPr="007029DF">
        <w:rPr>
          <w:rFonts w:cs="Arial"/>
          <w:szCs w:val="22"/>
          <w:lang w:eastAsia="ko-KR"/>
        </w:rPr>
        <w:t>Pilot business models and implementation schemes</w:t>
      </w:r>
      <w:r w:rsidR="00DA6720" w:rsidRPr="007029DF">
        <w:rPr>
          <w:rFonts w:cs="Arial"/>
          <w:szCs w:val="22"/>
          <w:lang w:eastAsia="ko-KR"/>
        </w:rPr>
        <w:t xml:space="preserve"> (</w:t>
      </w:r>
      <w:r w:rsidRPr="007029DF">
        <w:rPr>
          <w:rFonts w:cs="Arial"/>
          <w:szCs w:val="22"/>
          <w:lang w:eastAsia="ko-KR"/>
        </w:rPr>
        <w:t>potentially including RESCOs</w:t>
      </w:r>
      <w:r w:rsidR="00DA6720" w:rsidRPr="007029DF">
        <w:rPr>
          <w:rFonts w:cs="Arial"/>
          <w:szCs w:val="22"/>
          <w:lang w:eastAsia="ko-KR"/>
        </w:rPr>
        <w:t>, and niche markets such as Organic Urban Farming</w:t>
      </w:r>
      <w:r w:rsidRPr="007029DF">
        <w:rPr>
          <w:rFonts w:cs="Arial"/>
          <w:szCs w:val="22"/>
          <w:lang w:eastAsia="ko-KR"/>
        </w:rPr>
        <w:t>) including appropriate legal/contractual arrangements (self-ownership, third-party ownership, community-based models, particularly in public sector buildings)</w:t>
      </w:r>
      <w:r w:rsidR="0089295E">
        <w:rPr>
          <w:rFonts w:cs="Arial"/>
          <w:szCs w:val="22"/>
          <w:lang w:eastAsia="ko-KR"/>
        </w:rPr>
        <w:t>.</w:t>
      </w:r>
    </w:p>
    <w:p w14:paraId="0C2DE0DE" w14:textId="77777777" w:rsidR="00C5169F" w:rsidRPr="007029DF" w:rsidRDefault="00C5169F" w:rsidP="0020322F">
      <w:pPr>
        <w:pStyle w:val="Normalbullets"/>
        <w:numPr>
          <w:ilvl w:val="0"/>
          <w:numId w:val="49"/>
        </w:numPr>
        <w:contextualSpacing/>
        <w:rPr>
          <w:rFonts w:cs="Arial"/>
          <w:szCs w:val="22"/>
          <w:lang w:eastAsia="ko-KR"/>
        </w:rPr>
      </w:pPr>
      <w:r w:rsidRPr="007029DF">
        <w:rPr>
          <w:rFonts w:cs="Arial"/>
          <w:szCs w:val="22"/>
          <w:lang w:eastAsia="ko-KR"/>
        </w:rPr>
        <w:t>Provide training and build capacities of various project stakeholders to implement financing schemes and put in place O&amp;M provisions.</w:t>
      </w:r>
    </w:p>
    <w:p w14:paraId="57186815" w14:textId="77777777" w:rsidR="00C5169F" w:rsidRPr="00C51F30" w:rsidRDefault="00C5169F" w:rsidP="0020322F">
      <w:pPr>
        <w:pStyle w:val="a7"/>
        <w:numPr>
          <w:ilvl w:val="0"/>
          <w:numId w:val="9"/>
        </w:numPr>
        <w:tabs>
          <w:tab w:val="clear" w:pos="4153"/>
          <w:tab w:val="clear" w:pos="8306"/>
          <w:tab w:val="left" w:pos="426"/>
        </w:tabs>
        <w:spacing w:after="120"/>
        <w:ind w:right="4"/>
        <w:rPr>
          <w:rFonts w:cs="Arial"/>
          <w:szCs w:val="22"/>
          <w:lang w:val="en-GB"/>
        </w:rPr>
      </w:pPr>
      <w:r w:rsidRPr="00C51F30">
        <w:rPr>
          <w:rFonts w:cs="Arial"/>
          <w:szCs w:val="22"/>
          <w:lang w:val="en-GB"/>
        </w:rPr>
        <w:t>In rural areas, the project will focus on the development of commercial markets for on-grid and off-grid small- (less than 5MW) and micro-scale (below 5kW) RES applications, targeting in particular farms and rural SMEs. Off-grid, rural solutions will be particularly applicable in under-served regions such as southern Kazakhstan. Technologies are likely to include solar PV (roof-top, water pumping, small PV arrays for backup power), solar water heating, small-scale wind systems, biogas, and hybrid systems. Where viable, the project will seek to develop and promote the latest business and finance models for small-scale RES developers (for example, third-party ownership models).</w:t>
      </w:r>
    </w:p>
    <w:p w14:paraId="5E5DD9C0" w14:textId="77777777" w:rsidR="00C5169F" w:rsidRPr="00C51F30" w:rsidRDefault="001624E8" w:rsidP="009B08EF">
      <w:pPr>
        <w:pStyle w:val="a7"/>
        <w:numPr>
          <w:ilvl w:val="0"/>
          <w:numId w:val="9"/>
        </w:numPr>
        <w:tabs>
          <w:tab w:val="clear" w:pos="4153"/>
          <w:tab w:val="clear" w:pos="8306"/>
          <w:tab w:val="left" w:pos="426"/>
        </w:tabs>
        <w:rPr>
          <w:rFonts w:cs="Arial"/>
          <w:szCs w:val="22"/>
          <w:lang w:val="en-GB"/>
        </w:rPr>
      </w:pPr>
      <w:r>
        <w:rPr>
          <w:rFonts w:cs="Arial"/>
          <w:szCs w:val="22"/>
          <w:lang w:val="en-GB"/>
        </w:rPr>
        <w:t>I</w:t>
      </w:r>
      <w:r w:rsidR="00C5169F" w:rsidRPr="00C51F30">
        <w:rPr>
          <w:rFonts w:cs="Arial"/>
          <w:szCs w:val="22"/>
          <w:lang w:val="en-GB"/>
        </w:rPr>
        <w:t xml:space="preserve">n rural areas the focus </w:t>
      </w:r>
      <w:r w:rsidR="00DA7382">
        <w:rPr>
          <w:rFonts w:cs="Arial"/>
          <w:szCs w:val="22"/>
          <w:lang w:val="en-GB"/>
        </w:rPr>
        <w:t xml:space="preserve">is expected to </w:t>
      </w:r>
      <w:r w:rsidR="00C5169F" w:rsidRPr="00C51F30">
        <w:rPr>
          <w:rFonts w:cs="Arial"/>
          <w:szCs w:val="22"/>
          <w:lang w:val="en-GB"/>
        </w:rPr>
        <w:t xml:space="preserve">be on solar PV (and hybrid solar PV/wind). Support to design and implement financial and business models will be provided to interested private sector partners, </w:t>
      </w:r>
      <w:r w:rsidR="004B6B29" w:rsidRPr="00C51F30">
        <w:rPr>
          <w:rFonts w:cs="Arial"/>
          <w:szCs w:val="22"/>
          <w:lang w:val="en-GB"/>
        </w:rPr>
        <w:t>for</w:t>
      </w:r>
      <w:r w:rsidR="00C5169F" w:rsidRPr="00C51F30">
        <w:rPr>
          <w:rFonts w:cs="Arial"/>
          <w:szCs w:val="22"/>
          <w:lang w:val="en-GB"/>
        </w:rPr>
        <w:t>:</w:t>
      </w:r>
    </w:p>
    <w:p w14:paraId="517778B6" w14:textId="77777777" w:rsidR="00C5169F" w:rsidRPr="007029DF" w:rsidRDefault="00C5169F" w:rsidP="0020322F">
      <w:pPr>
        <w:pStyle w:val="Normalbullets"/>
        <w:numPr>
          <w:ilvl w:val="0"/>
          <w:numId w:val="49"/>
        </w:numPr>
        <w:contextualSpacing/>
        <w:rPr>
          <w:rFonts w:cs="Arial"/>
          <w:szCs w:val="22"/>
          <w:lang w:eastAsia="ko-KR"/>
        </w:rPr>
      </w:pPr>
      <w:r w:rsidRPr="007029DF">
        <w:rPr>
          <w:rFonts w:cs="Arial"/>
          <w:szCs w:val="22"/>
          <w:lang w:eastAsia="ko-KR"/>
        </w:rPr>
        <w:t>Identification of suitable technological solutions based on specific circumstances and needs of beneficiaries;</w:t>
      </w:r>
    </w:p>
    <w:p w14:paraId="6F5EAF69" w14:textId="77777777" w:rsidR="00C5169F" w:rsidRPr="007029DF" w:rsidRDefault="00C5169F" w:rsidP="0020322F">
      <w:pPr>
        <w:pStyle w:val="Normalbullets"/>
        <w:numPr>
          <w:ilvl w:val="0"/>
          <w:numId w:val="49"/>
        </w:numPr>
        <w:contextualSpacing/>
        <w:rPr>
          <w:rFonts w:cs="Arial"/>
          <w:szCs w:val="22"/>
          <w:lang w:eastAsia="ko-KR"/>
        </w:rPr>
      </w:pPr>
      <w:r w:rsidRPr="007029DF">
        <w:rPr>
          <w:rFonts w:cs="Arial"/>
          <w:szCs w:val="22"/>
          <w:lang w:eastAsia="ko-KR"/>
        </w:rPr>
        <w:t>Preparation of financial and economic studies, including the level and form of public subsidies and support with securing debt and public financing</w:t>
      </w:r>
      <w:r w:rsidR="005A03F8" w:rsidRPr="007029DF">
        <w:rPr>
          <w:rFonts w:cs="Arial"/>
          <w:szCs w:val="22"/>
          <w:lang w:eastAsia="ko-KR"/>
        </w:rPr>
        <w:t>;</w:t>
      </w:r>
    </w:p>
    <w:p w14:paraId="1E7C526C" w14:textId="77777777" w:rsidR="00C5169F" w:rsidRPr="007029DF" w:rsidRDefault="00C5169F" w:rsidP="0020322F">
      <w:pPr>
        <w:pStyle w:val="Normalbullets"/>
        <w:numPr>
          <w:ilvl w:val="0"/>
          <w:numId w:val="49"/>
        </w:numPr>
        <w:contextualSpacing/>
        <w:rPr>
          <w:rFonts w:cs="Arial"/>
          <w:szCs w:val="22"/>
          <w:lang w:eastAsia="ko-KR"/>
        </w:rPr>
      </w:pPr>
      <w:r w:rsidRPr="007029DF">
        <w:rPr>
          <w:rFonts w:cs="Arial"/>
          <w:szCs w:val="22"/>
          <w:lang w:eastAsia="ko-KR"/>
        </w:rPr>
        <w:t>Technology implementation, including securing appropriate warranties and provision of training on O&amp;M</w:t>
      </w:r>
      <w:r w:rsidR="005A03F8" w:rsidRPr="007029DF">
        <w:rPr>
          <w:rFonts w:cs="Arial"/>
          <w:szCs w:val="22"/>
          <w:lang w:eastAsia="ko-KR"/>
        </w:rPr>
        <w:t>;</w:t>
      </w:r>
    </w:p>
    <w:p w14:paraId="2272B5B4" w14:textId="77777777" w:rsidR="00DA6720" w:rsidRPr="007029DF" w:rsidRDefault="00C5169F" w:rsidP="0020322F">
      <w:pPr>
        <w:pStyle w:val="Normalbullets"/>
        <w:numPr>
          <w:ilvl w:val="0"/>
          <w:numId w:val="49"/>
        </w:numPr>
        <w:contextualSpacing/>
        <w:rPr>
          <w:rFonts w:cs="Arial"/>
          <w:szCs w:val="22"/>
          <w:lang w:eastAsia="ko-KR"/>
        </w:rPr>
      </w:pPr>
      <w:r w:rsidRPr="007029DF">
        <w:rPr>
          <w:rFonts w:cs="Arial"/>
          <w:szCs w:val="22"/>
          <w:lang w:eastAsia="ko-KR"/>
        </w:rPr>
        <w:t>Legal and institutional support.</w:t>
      </w:r>
    </w:p>
    <w:p w14:paraId="25B18446" w14:textId="77777777" w:rsidR="000D26BE" w:rsidRDefault="000D26BE" w:rsidP="00ED606A">
      <w:pPr>
        <w:pStyle w:val="a7"/>
        <w:tabs>
          <w:tab w:val="clear" w:pos="4153"/>
          <w:tab w:val="clear" w:pos="8306"/>
          <w:tab w:val="left" w:pos="426"/>
        </w:tabs>
        <w:spacing w:after="120"/>
        <w:ind w:right="288"/>
        <w:rPr>
          <w:rFonts w:cs="Arial"/>
          <w:b/>
          <w:i/>
          <w:szCs w:val="22"/>
          <w:lang w:val="en-GB"/>
        </w:rPr>
      </w:pPr>
      <w:r w:rsidRPr="00551502">
        <w:rPr>
          <w:rFonts w:cs="Arial"/>
          <w:b/>
          <w:i/>
          <w:szCs w:val="22"/>
          <w:lang w:val="en-GB"/>
        </w:rPr>
        <w:t xml:space="preserve">Outcome </w:t>
      </w:r>
      <w:r>
        <w:rPr>
          <w:rFonts w:cs="Arial"/>
          <w:b/>
          <w:i/>
          <w:szCs w:val="22"/>
          <w:lang w:val="en-GB"/>
        </w:rPr>
        <w:t>3</w:t>
      </w:r>
      <w:r w:rsidRPr="00551502">
        <w:rPr>
          <w:rFonts w:cs="Arial"/>
          <w:b/>
          <w:i/>
          <w:szCs w:val="22"/>
          <w:lang w:val="en-GB"/>
        </w:rPr>
        <w:t xml:space="preserve">: Sustainable business models and financial mechanisms to support implementation </w:t>
      </w:r>
      <w:r w:rsidR="009617CD">
        <w:rPr>
          <w:rFonts w:cs="Arial"/>
          <w:b/>
          <w:i/>
          <w:szCs w:val="22"/>
          <w:lang w:val="en-GB"/>
        </w:rPr>
        <w:t>f</w:t>
      </w:r>
      <w:r w:rsidRPr="00551502">
        <w:rPr>
          <w:rFonts w:cs="Arial"/>
          <w:b/>
          <w:i/>
          <w:szCs w:val="22"/>
          <w:lang w:val="en-GB"/>
        </w:rPr>
        <w:t>or investment in small-scale urban and rural RES solutions</w:t>
      </w:r>
      <w:r w:rsidR="009617CD">
        <w:rPr>
          <w:rFonts w:cs="Arial"/>
          <w:b/>
          <w:i/>
          <w:szCs w:val="22"/>
          <w:lang w:val="en-GB"/>
        </w:rPr>
        <w:t xml:space="preserve"> </w:t>
      </w:r>
      <w:r w:rsidR="009617CD" w:rsidRPr="00551502">
        <w:rPr>
          <w:rFonts w:cs="Arial"/>
          <w:b/>
          <w:i/>
          <w:szCs w:val="22"/>
          <w:lang w:val="en-GB"/>
        </w:rPr>
        <w:t>in place</w:t>
      </w:r>
    </w:p>
    <w:p w14:paraId="262C28A7" w14:textId="7ECFAFE0" w:rsidR="007241CF" w:rsidRPr="005B3ECC" w:rsidRDefault="007241CF" w:rsidP="0020322F">
      <w:pPr>
        <w:pStyle w:val="a7"/>
        <w:numPr>
          <w:ilvl w:val="0"/>
          <w:numId w:val="9"/>
        </w:numPr>
        <w:tabs>
          <w:tab w:val="clear" w:pos="4153"/>
          <w:tab w:val="clear" w:pos="8306"/>
          <w:tab w:val="left" w:pos="426"/>
        </w:tabs>
        <w:spacing w:after="120"/>
        <w:ind w:right="4"/>
        <w:jc w:val="left"/>
        <w:rPr>
          <w:rFonts w:cs="Arial"/>
          <w:szCs w:val="22"/>
          <w:lang w:val="en-GB"/>
        </w:rPr>
      </w:pPr>
      <w:r w:rsidRPr="005B3ECC">
        <w:rPr>
          <w:szCs w:val="22"/>
        </w:rPr>
        <w:t xml:space="preserve">The activities under Component 3 are guided by the DREI </w:t>
      </w:r>
      <w:r w:rsidR="00122BBE">
        <w:rPr>
          <w:szCs w:val="22"/>
        </w:rPr>
        <w:t>s</w:t>
      </w:r>
      <w:r w:rsidRPr="005B3ECC">
        <w:rPr>
          <w:szCs w:val="22"/>
        </w:rPr>
        <w:t>mall-</w:t>
      </w:r>
      <w:r w:rsidR="00122BBE">
        <w:rPr>
          <w:szCs w:val="22"/>
        </w:rPr>
        <w:t>s</w:t>
      </w:r>
      <w:r w:rsidRPr="005B3ECC">
        <w:rPr>
          <w:szCs w:val="22"/>
        </w:rPr>
        <w:t xml:space="preserve">cale barrier and risk table. </w:t>
      </w:r>
    </w:p>
    <w:p w14:paraId="0720637E" w14:textId="77777777" w:rsidR="000D26BE" w:rsidRPr="00083037" w:rsidRDefault="000D26BE" w:rsidP="00893F45">
      <w:pPr>
        <w:pStyle w:val="a7"/>
        <w:pBdr>
          <w:top w:val="single" w:sz="4" w:space="1" w:color="auto"/>
          <w:left w:val="single" w:sz="4" w:space="4" w:color="auto"/>
          <w:bottom w:val="single" w:sz="4" w:space="1" w:color="auto"/>
          <w:right w:val="single" w:sz="4" w:space="4" w:color="auto"/>
        </w:pBdr>
        <w:tabs>
          <w:tab w:val="left" w:pos="426"/>
        </w:tabs>
        <w:spacing w:after="120"/>
        <w:ind w:right="90"/>
        <w:rPr>
          <w:rFonts w:cs="Arial"/>
          <w:szCs w:val="22"/>
          <w:lang w:val="en-GB"/>
        </w:rPr>
      </w:pPr>
      <w:r w:rsidRPr="00983DBB">
        <w:rPr>
          <w:rFonts w:cs="Arial"/>
          <w:b/>
          <w:szCs w:val="22"/>
          <w:lang w:val="en-GB"/>
        </w:rPr>
        <w:t>Output 3.1</w:t>
      </w:r>
      <w:r w:rsidRPr="00083037">
        <w:rPr>
          <w:rFonts w:cs="Arial"/>
          <w:szCs w:val="22"/>
          <w:lang w:val="en-GB"/>
        </w:rPr>
        <w:t xml:space="preserve"> </w:t>
      </w:r>
      <w:r>
        <w:rPr>
          <w:rFonts w:cs="Arial"/>
          <w:szCs w:val="22"/>
          <w:lang w:val="en-GB"/>
        </w:rPr>
        <w:t>Financial and business models for small</w:t>
      </w:r>
      <w:r w:rsidR="004622EC">
        <w:rPr>
          <w:rFonts w:cs="Arial"/>
          <w:szCs w:val="22"/>
          <w:lang w:val="en-GB"/>
        </w:rPr>
        <w:t>-</w:t>
      </w:r>
      <w:r>
        <w:rPr>
          <w:rFonts w:cs="Arial"/>
          <w:szCs w:val="22"/>
          <w:lang w:val="en-GB"/>
        </w:rPr>
        <w:t>scale renewables are developed and piloted</w:t>
      </w:r>
    </w:p>
    <w:p w14:paraId="00957D91" w14:textId="77777777" w:rsidR="00C5169F" w:rsidRDefault="00B4398E" w:rsidP="00893F45">
      <w:pPr>
        <w:pStyle w:val="a7"/>
        <w:tabs>
          <w:tab w:val="clear" w:pos="4153"/>
          <w:tab w:val="clear" w:pos="8306"/>
          <w:tab w:val="left" w:pos="426"/>
        </w:tabs>
        <w:spacing w:after="120"/>
        <w:ind w:left="1350" w:right="90" w:hanging="1350"/>
        <w:rPr>
          <w:rFonts w:cs="Arial"/>
          <w:szCs w:val="22"/>
          <w:lang w:val="en-GB"/>
        </w:rPr>
      </w:pPr>
      <w:r>
        <w:rPr>
          <w:rFonts w:cs="Arial"/>
          <w:szCs w:val="22"/>
          <w:lang w:val="en-GB"/>
        </w:rPr>
        <w:t xml:space="preserve">Activity 3.1.1: </w:t>
      </w:r>
      <w:r w:rsidRPr="00911BD2">
        <w:rPr>
          <w:rFonts w:cs="Arial"/>
          <w:szCs w:val="22"/>
          <w:lang w:val="en-GB"/>
        </w:rPr>
        <w:t xml:space="preserve">Review </w:t>
      </w:r>
      <w:r>
        <w:rPr>
          <w:rFonts w:cs="Arial"/>
          <w:szCs w:val="22"/>
          <w:lang w:val="en-GB"/>
        </w:rPr>
        <w:t>international</w:t>
      </w:r>
      <w:r w:rsidRPr="00911BD2">
        <w:rPr>
          <w:rFonts w:cs="Arial"/>
          <w:szCs w:val="22"/>
          <w:lang w:val="en-GB"/>
        </w:rPr>
        <w:t xml:space="preserve"> </w:t>
      </w:r>
      <w:r>
        <w:rPr>
          <w:rFonts w:cs="Arial"/>
          <w:szCs w:val="22"/>
          <w:lang w:val="en-GB"/>
        </w:rPr>
        <w:t>practices on financial and business models for support of small-scale renewable energy projects.</w:t>
      </w:r>
      <w:r w:rsidR="00757816">
        <w:rPr>
          <w:rFonts w:cs="Arial"/>
          <w:szCs w:val="22"/>
          <w:lang w:val="en-GB"/>
        </w:rPr>
        <w:t xml:space="preserve"> The project team will facilitate </w:t>
      </w:r>
      <w:r w:rsidR="00757816" w:rsidRPr="00A20A81">
        <w:rPr>
          <w:rFonts w:cs="Arial"/>
          <w:szCs w:val="22"/>
          <w:lang w:val="en-GB"/>
        </w:rPr>
        <w:t>regular exchange of knowledge and progress in DREI implementation among “sister” projects</w:t>
      </w:r>
      <w:r w:rsidR="005B3ECC">
        <w:rPr>
          <w:rFonts w:cs="Arial"/>
          <w:szCs w:val="22"/>
          <w:lang w:val="en-GB"/>
        </w:rPr>
        <w:t xml:space="preserve"> in other countries</w:t>
      </w:r>
      <w:r w:rsidR="00757816" w:rsidRPr="00A20A81">
        <w:rPr>
          <w:rFonts w:cs="Arial"/>
          <w:szCs w:val="22"/>
          <w:lang w:val="en-GB"/>
        </w:rPr>
        <w:t>, as well as systematic collection, analysis and presentation of DREI case studies, assessment tools and lessons learnt through the corporate platform established at http://www.undp.org/drei.</w:t>
      </w:r>
    </w:p>
    <w:p w14:paraId="01FEDE46" w14:textId="77777777" w:rsidR="00B4398E" w:rsidRDefault="00B4398E" w:rsidP="00893F45">
      <w:pPr>
        <w:pStyle w:val="a7"/>
        <w:tabs>
          <w:tab w:val="clear" w:pos="4153"/>
          <w:tab w:val="clear" w:pos="8306"/>
          <w:tab w:val="left" w:pos="426"/>
        </w:tabs>
        <w:spacing w:after="120"/>
        <w:ind w:left="1350" w:right="90" w:hanging="1350"/>
        <w:rPr>
          <w:rFonts w:cs="Arial"/>
          <w:szCs w:val="22"/>
          <w:lang w:val="en-GB"/>
        </w:rPr>
      </w:pPr>
      <w:r>
        <w:rPr>
          <w:rFonts w:cs="Arial"/>
          <w:szCs w:val="22"/>
          <w:lang w:val="en-GB"/>
        </w:rPr>
        <w:t xml:space="preserve">Activity 3.1.2: Analyse existing </w:t>
      </w:r>
      <w:r w:rsidR="0046680C">
        <w:rPr>
          <w:rFonts w:cs="Arial"/>
          <w:szCs w:val="22"/>
          <w:lang w:val="en-GB"/>
        </w:rPr>
        <w:t>markets for small-scale renewables</w:t>
      </w:r>
      <w:r w:rsidR="005B3ECC">
        <w:rPr>
          <w:rFonts w:cs="Arial"/>
          <w:szCs w:val="22"/>
          <w:lang w:val="en-GB"/>
        </w:rPr>
        <w:t xml:space="preserve"> to assess</w:t>
      </w:r>
      <w:r w:rsidR="0046680C">
        <w:rPr>
          <w:rFonts w:cs="Arial"/>
          <w:szCs w:val="22"/>
          <w:lang w:val="en-GB"/>
        </w:rPr>
        <w:t xml:space="preserve"> </w:t>
      </w:r>
      <w:r>
        <w:rPr>
          <w:rFonts w:cs="Arial"/>
          <w:szCs w:val="22"/>
          <w:lang w:val="en-GB"/>
        </w:rPr>
        <w:t xml:space="preserve">opportunities and gaps for support of </w:t>
      </w:r>
      <w:r w:rsidR="005B3ECC">
        <w:rPr>
          <w:rFonts w:cs="Arial"/>
          <w:szCs w:val="22"/>
          <w:lang w:val="en-GB"/>
        </w:rPr>
        <w:t>such</w:t>
      </w:r>
      <w:r>
        <w:rPr>
          <w:rFonts w:cs="Arial"/>
          <w:szCs w:val="22"/>
          <w:lang w:val="en-GB"/>
        </w:rPr>
        <w:t xml:space="preserve"> projects</w:t>
      </w:r>
      <w:r w:rsidR="00E938B3">
        <w:rPr>
          <w:rFonts w:cs="Arial"/>
          <w:szCs w:val="22"/>
          <w:lang w:val="en-GB"/>
        </w:rPr>
        <w:t>.</w:t>
      </w:r>
      <w:r w:rsidR="0070485C">
        <w:rPr>
          <w:rFonts w:cs="Arial"/>
          <w:szCs w:val="22"/>
          <w:lang w:val="en-GB"/>
        </w:rPr>
        <w:t xml:space="preserve"> The analysis will follow the DREI small</w:t>
      </w:r>
      <w:r w:rsidR="004104CF">
        <w:rPr>
          <w:rFonts w:cs="Arial"/>
          <w:szCs w:val="22"/>
          <w:lang w:val="en-GB"/>
        </w:rPr>
        <w:t>-</w:t>
      </w:r>
      <w:r w:rsidR="0070485C">
        <w:rPr>
          <w:rFonts w:cs="Arial"/>
          <w:szCs w:val="22"/>
          <w:lang w:val="en-GB"/>
        </w:rPr>
        <w:t>scale methodology where possible, and will include technical assessments to identify niche market sectors where renewables may be viable (for example solar hot water heating for those currently heating with electricity)</w:t>
      </w:r>
      <w:r w:rsidR="005B3ECC">
        <w:rPr>
          <w:rFonts w:cs="Arial"/>
          <w:szCs w:val="22"/>
          <w:lang w:val="en-GB"/>
        </w:rPr>
        <w:t xml:space="preserve"> as described above</w:t>
      </w:r>
      <w:r w:rsidR="0070485C">
        <w:rPr>
          <w:rFonts w:cs="Arial"/>
          <w:szCs w:val="22"/>
          <w:lang w:val="en-GB"/>
        </w:rPr>
        <w:t>.</w:t>
      </w:r>
    </w:p>
    <w:p w14:paraId="29A1D88F" w14:textId="77777777" w:rsidR="004B1EBC" w:rsidRDefault="00E938B3" w:rsidP="00893F45">
      <w:pPr>
        <w:pStyle w:val="a7"/>
        <w:tabs>
          <w:tab w:val="clear" w:pos="4153"/>
          <w:tab w:val="clear" w:pos="8306"/>
          <w:tab w:val="left" w:pos="426"/>
        </w:tabs>
        <w:spacing w:after="120"/>
        <w:ind w:left="1350" w:right="90" w:hanging="1350"/>
        <w:rPr>
          <w:rFonts w:cs="Arial"/>
          <w:szCs w:val="22"/>
          <w:lang w:val="en-GB"/>
        </w:rPr>
      </w:pPr>
      <w:r>
        <w:rPr>
          <w:rFonts w:cs="Arial"/>
          <w:szCs w:val="22"/>
          <w:lang w:val="en-GB"/>
        </w:rPr>
        <w:t>Activity 3.1.3:</w:t>
      </w:r>
      <w:r w:rsidR="0046680C">
        <w:rPr>
          <w:rFonts w:cs="Arial"/>
          <w:szCs w:val="22"/>
          <w:lang w:val="en-GB"/>
        </w:rPr>
        <w:t xml:space="preserve"> Design appropriate business and financial models for small-scale renewable energy developments tailored for existing markets in Kazakhstan. </w:t>
      </w:r>
      <w:r w:rsidR="0070485C">
        <w:rPr>
          <w:rFonts w:cs="Arial"/>
          <w:szCs w:val="22"/>
          <w:lang w:val="en-GB"/>
        </w:rPr>
        <w:t>Business models to be elaborated include energy performance contracting models</w:t>
      </w:r>
      <w:r w:rsidR="004A11F0">
        <w:rPr>
          <w:rFonts w:cs="Arial"/>
          <w:szCs w:val="22"/>
          <w:lang w:val="en-GB"/>
        </w:rPr>
        <w:t xml:space="preserve"> (RESCO models)</w:t>
      </w:r>
      <w:r w:rsidR="0070485C">
        <w:rPr>
          <w:rFonts w:cs="Arial"/>
          <w:szCs w:val="22"/>
          <w:lang w:val="en-GB"/>
        </w:rPr>
        <w:t>, where these might work effectively such as in heating for clinics</w:t>
      </w:r>
      <w:r w:rsidR="004104CF">
        <w:rPr>
          <w:rFonts w:cs="Arial"/>
          <w:szCs w:val="22"/>
          <w:lang w:val="en-GB"/>
        </w:rPr>
        <w:t>,</w:t>
      </w:r>
      <w:r w:rsidR="0070485C">
        <w:rPr>
          <w:rFonts w:cs="Arial"/>
          <w:szCs w:val="22"/>
          <w:lang w:val="en-GB"/>
        </w:rPr>
        <w:t xml:space="preserve"> hotels and restaurants.</w:t>
      </w:r>
    </w:p>
    <w:p w14:paraId="40FD9C9B" w14:textId="77777777" w:rsidR="00E938B3" w:rsidRDefault="004B1EBC" w:rsidP="00893F45">
      <w:pPr>
        <w:pStyle w:val="a7"/>
        <w:tabs>
          <w:tab w:val="clear" w:pos="4153"/>
          <w:tab w:val="clear" w:pos="8306"/>
          <w:tab w:val="left" w:pos="426"/>
        </w:tabs>
        <w:spacing w:after="120"/>
        <w:ind w:left="1350" w:right="90" w:hanging="1350"/>
        <w:rPr>
          <w:rFonts w:cs="Arial"/>
          <w:szCs w:val="22"/>
          <w:lang w:val="en-GB"/>
        </w:rPr>
      </w:pPr>
      <w:r>
        <w:rPr>
          <w:rFonts w:cs="Arial"/>
          <w:szCs w:val="22"/>
          <w:lang w:val="en-GB"/>
        </w:rPr>
        <w:t>Activity 3.1.4: Develop standard supporting documents for mainstreaming small-scale renewables developments.</w:t>
      </w:r>
      <w:r w:rsidR="0070485C">
        <w:rPr>
          <w:rFonts w:cs="Arial"/>
          <w:szCs w:val="22"/>
          <w:lang w:val="en-GB"/>
        </w:rPr>
        <w:t xml:space="preserve"> Depending on the business models that are most viable, as identified under Activity 3.1.3, standard supporting documents will be developed</w:t>
      </w:r>
      <w:r w:rsidR="004104CF">
        <w:rPr>
          <w:rFonts w:cs="Arial"/>
          <w:szCs w:val="22"/>
          <w:lang w:val="en-GB"/>
        </w:rPr>
        <w:t xml:space="preserve"> and </w:t>
      </w:r>
      <w:r w:rsidR="0070485C">
        <w:rPr>
          <w:rFonts w:cs="Arial"/>
          <w:szCs w:val="22"/>
          <w:lang w:val="en-GB"/>
        </w:rPr>
        <w:t>will include standard contracts, design documents and permitting applications.</w:t>
      </w:r>
    </w:p>
    <w:p w14:paraId="5C6DCFC5" w14:textId="77777777" w:rsidR="008D6444" w:rsidRPr="008D6444" w:rsidRDefault="00C5169F" w:rsidP="00087334">
      <w:pPr>
        <w:pStyle w:val="a7"/>
        <w:keepNext/>
        <w:keepLines/>
        <w:pBdr>
          <w:top w:val="single" w:sz="4" w:space="1" w:color="auto"/>
          <w:left w:val="single" w:sz="4" w:space="4" w:color="auto"/>
          <w:bottom w:val="single" w:sz="4" w:space="1" w:color="auto"/>
          <w:right w:val="single" w:sz="4" w:space="4" w:color="auto"/>
        </w:pBdr>
        <w:tabs>
          <w:tab w:val="left" w:pos="426"/>
        </w:tabs>
        <w:spacing w:after="120"/>
        <w:ind w:right="86"/>
        <w:rPr>
          <w:rFonts w:cs="Arial"/>
          <w:szCs w:val="22"/>
          <w:lang w:val="en-GB"/>
        </w:rPr>
      </w:pPr>
      <w:r w:rsidRPr="00983DBB">
        <w:rPr>
          <w:rFonts w:cs="Arial"/>
          <w:b/>
          <w:szCs w:val="22"/>
          <w:lang w:val="en-GB"/>
        </w:rPr>
        <w:t>Output 3.2</w:t>
      </w:r>
      <w:r w:rsidRPr="00083037">
        <w:rPr>
          <w:rFonts w:cs="Arial"/>
          <w:szCs w:val="22"/>
          <w:lang w:val="en-GB"/>
        </w:rPr>
        <w:t xml:space="preserve"> </w:t>
      </w:r>
      <w:r>
        <w:rPr>
          <w:rFonts w:cs="Arial"/>
          <w:szCs w:val="22"/>
          <w:lang w:val="en-GB"/>
        </w:rPr>
        <w:t>Appropriate financial instruments created and piloted</w:t>
      </w:r>
    </w:p>
    <w:p w14:paraId="7BC89879" w14:textId="58281258" w:rsidR="00100F1C" w:rsidRDefault="00994F72" w:rsidP="00893F45">
      <w:pPr>
        <w:pStyle w:val="a7"/>
        <w:tabs>
          <w:tab w:val="clear" w:pos="4153"/>
          <w:tab w:val="clear" w:pos="8306"/>
          <w:tab w:val="left" w:pos="426"/>
        </w:tabs>
        <w:spacing w:after="120"/>
        <w:ind w:left="1260" w:right="90" w:hanging="1260"/>
        <w:rPr>
          <w:rFonts w:cs="Arial"/>
          <w:szCs w:val="22"/>
          <w:lang w:val="en-GB"/>
        </w:rPr>
      </w:pPr>
      <w:r w:rsidRPr="00473D26">
        <w:rPr>
          <w:rFonts w:cs="Arial"/>
          <w:szCs w:val="22"/>
          <w:lang w:val="en-GB"/>
        </w:rPr>
        <w:t>Activity 3.</w:t>
      </w:r>
      <w:r w:rsidR="00D77F9D" w:rsidRPr="00473D26">
        <w:rPr>
          <w:rFonts w:cs="Arial"/>
          <w:szCs w:val="22"/>
          <w:lang w:val="en-GB"/>
        </w:rPr>
        <w:t>2</w:t>
      </w:r>
      <w:r w:rsidRPr="00473D26">
        <w:rPr>
          <w:rFonts w:cs="Arial"/>
          <w:szCs w:val="22"/>
          <w:lang w:val="en-GB"/>
        </w:rPr>
        <w:t>.1</w:t>
      </w:r>
      <w:r w:rsidR="004B1EBC" w:rsidRPr="00473D26">
        <w:rPr>
          <w:rFonts w:cs="Arial"/>
          <w:szCs w:val="22"/>
          <w:lang w:val="en-GB"/>
        </w:rPr>
        <w:t xml:space="preserve">: </w:t>
      </w:r>
      <w:r w:rsidR="001E3D5E" w:rsidRPr="00473D26">
        <w:rPr>
          <w:rFonts w:cs="Arial"/>
          <w:szCs w:val="22"/>
          <w:lang w:val="en-GB"/>
        </w:rPr>
        <w:t>Arrang</w:t>
      </w:r>
      <w:r w:rsidR="00067F8E" w:rsidRPr="00473D26">
        <w:rPr>
          <w:rFonts w:cs="Arial"/>
          <w:szCs w:val="22"/>
          <w:lang w:val="en-GB"/>
        </w:rPr>
        <w:t>e</w:t>
      </w:r>
      <w:r w:rsidR="0070485C" w:rsidRPr="00473D26">
        <w:rPr>
          <w:rFonts w:cs="Arial"/>
          <w:szCs w:val="22"/>
          <w:lang w:val="en-GB"/>
        </w:rPr>
        <w:t xml:space="preserve"> and hold</w:t>
      </w:r>
      <w:r w:rsidR="001E3D5E" w:rsidRPr="00473D26">
        <w:rPr>
          <w:rFonts w:cs="Arial"/>
          <w:szCs w:val="22"/>
          <w:lang w:val="en-GB"/>
        </w:rPr>
        <w:t xml:space="preserve"> consultations </w:t>
      </w:r>
      <w:r w:rsidR="00B4398E" w:rsidRPr="00473D26">
        <w:rPr>
          <w:rFonts w:cs="Arial"/>
          <w:szCs w:val="22"/>
          <w:lang w:val="en-GB"/>
        </w:rPr>
        <w:t xml:space="preserve">with </w:t>
      </w:r>
      <w:r w:rsidR="006659D5" w:rsidRPr="00473D26">
        <w:rPr>
          <w:rFonts w:cs="Arial"/>
          <w:szCs w:val="22"/>
          <w:lang w:val="en-GB"/>
        </w:rPr>
        <w:t xml:space="preserve">local financial institutions, </w:t>
      </w:r>
      <w:r w:rsidR="00B4398E" w:rsidRPr="00473D26">
        <w:rPr>
          <w:rFonts w:cs="Arial"/>
          <w:szCs w:val="22"/>
          <w:lang w:val="en-GB"/>
        </w:rPr>
        <w:t xml:space="preserve">banks, development finance institutions, institutional investors, and others to </w:t>
      </w:r>
      <w:r w:rsidR="00067F8E" w:rsidRPr="00473D26">
        <w:rPr>
          <w:rFonts w:cs="Arial"/>
          <w:szCs w:val="22"/>
          <w:lang w:val="en-GB"/>
        </w:rPr>
        <w:t>identify and refine plans to develop</w:t>
      </w:r>
      <w:r w:rsidR="006659D5" w:rsidRPr="00473D26">
        <w:rPr>
          <w:rFonts w:cs="Arial"/>
          <w:szCs w:val="22"/>
          <w:lang w:val="en-GB"/>
        </w:rPr>
        <w:t xml:space="preserve"> financial instruments.</w:t>
      </w:r>
      <w:r w:rsidR="00810913">
        <w:rPr>
          <w:rFonts w:cs="Arial"/>
          <w:szCs w:val="22"/>
          <w:lang w:val="en-GB"/>
        </w:rPr>
        <w:t xml:space="preserve"> The analysis will follow the DREI small-scale framework to inform the selection of appropriate financial </w:t>
      </w:r>
      <w:r w:rsidR="00B81756">
        <w:rPr>
          <w:rFonts w:cs="Arial"/>
          <w:szCs w:val="22"/>
          <w:lang w:val="en-GB"/>
        </w:rPr>
        <w:t>instruments</w:t>
      </w:r>
      <w:r w:rsidR="00810913">
        <w:rPr>
          <w:rFonts w:cs="Arial"/>
          <w:szCs w:val="22"/>
          <w:lang w:val="en-GB"/>
        </w:rPr>
        <w:t>. T</w:t>
      </w:r>
      <w:r w:rsidR="0070485C" w:rsidRPr="00834818">
        <w:rPr>
          <w:rFonts w:cs="Arial"/>
          <w:szCs w:val="22"/>
          <w:lang w:val="en-GB"/>
        </w:rPr>
        <w:t xml:space="preserve">his </w:t>
      </w:r>
      <w:r w:rsidR="00810913">
        <w:rPr>
          <w:rFonts w:cs="Arial"/>
          <w:szCs w:val="22"/>
          <w:lang w:val="en-GB"/>
        </w:rPr>
        <w:t xml:space="preserve">activity </w:t>
      </w:r>
      <w:r w:rsidR="0070485C" w:rsidRPr="00834818">
        <w:rPr>
          <w:rFonts w:cs="Arial"/>
          <w:szCs w:val="22"/>
          <w:lang w:val="en-GB"/>
        </w:rPr>
        <w:t>includes in-depth discussions with DAMU</w:t>
      </w:r>
      <w:r w:rsidR="005B3ECC">
        <w:rPr>
          <w:rFonts w:cs="Arial"/>
          <w:szCs w:val="22"/>
          <w:lang w:val="en-GB"/>
        </w:rPr>
        <w:t>, the JSC “Fund for Financial Support of Agriculture” and JSC “Agrarian Credit Corporation”</w:t>
      </w:r>
      <w:r w:rsidR="0070485C" w:rsidRPr="00834818">
        <w:rPr>
          <w:rFonts w:cs="Arial"/>
          <w:szCs w:val="22"/>
          <w:lang w:val="en-GB"/>
        </w:rPr>
        <w:t xml:space="preserve"> to</w:t>
      </w:r>
      <w:r w:rsidR="0070485C">
        <w:rPr>
          <w:rFonts w:cs="Arial"/>
          <w:szCs w:val="22"/>
          <w:lang w:val="en-GB"/>
        </w:rPr>
        <w:t xml:space="preserve"> </w:t>
      </w:r>
      <w:r w:rsidR="00834818">
        <w:rPr>
          <w:rFonts w:cs="Arial"/>
          <w:szCs w:val="22"/>
          <w:lang w:val="en-GB"/>
        </w:rPr>
        <w:t>tailor the support provided by these organisations to stimulate small-scale renewables in urban and rural areas.</w:t>
      </w:r>
      <w:r w:rsidR="002649F7">
        <w:rPr>
          <w:rFonts w:cs="Arial"/>
          <w:szCs w:val="22"/>
          <w:lang w:val="en-GB"/>
        </w:rPr>
        <w:t xml:space="preserve"> </w:t>
      </w:r>
    </w:p>
    <w:p w14:paraId="598E46FA" w14:textId="77777777" w:rsidR="006659D5" w:rsidRPr="006D07CB" w:rsidRDefault="00100F1C" w:rsidP="00893F45">
      <w:pPr>
        <w:pStyle w:val="a7"/>
        <w:tabs>
          <w:tab w:val="clear" w:pos="4153"/>
          <w:tab w:val="clear" w:pos="8306"/>
          <w:tab w:val="left" w:pos="426"/>
        </w:tabs>
        <w:spacing w:after="120"/>
        <w:ind w:left="1260" w:right="90" w:hanging="1260"/>
        <w:rPr>
          <w:rFonts w:cs="Arial"/>
          <w:szCs w:val="22"/>
          <w:lang w:val="en-GB"/>
        </w:rPr>
      </w:pPr>
      <w:r>
        <w:rPr>
          <w:rFonts w:cs="Arial"/>
          <w:szCs w:val="22"/>
          <w:lang w:val="en-GB"/>
        </w:rPr>
        <w:tab/>
      </w:r>
      <w:r>
        <w:rPr>
          <w:rFonts w:cs="Arial"/>
          <w:szCs w:val="22"/>
          <w:lang w:val="en-GB"/>
        </w:rPr>
        <w:tab/>
      </w:r>
      <w:r w:rsidR="002649F7" w:rsidRPr="006D07CB">
        <w:rPr>
          <w:rFonts w:cs="Arial"/>
          <w:szCs w:val="22"/>
          <w:lang w:val="en-GB"/>
        </w:rPr>
        <w:t>This activity will be supported by a consultant with expertise in financial instruments (see Annex E for “Terms of Reference for a Consultant to Develop a Detailed Report on Financial Instruments”).</w:t>
      </w:r>
      <w:r w:rsidR="00F70DCD" w:rsidRPr="006D07CB">
        <w:rPr>
          <w:rFonts w:cs="Arial"/>
          <w:szCs w:val="22"/>
          <w:lang w:val="en-GB"/>
        </w:rPr>
        <w:t xml:space="preserve"> The output of</w:t>
      </w:r>
      <w:r w:rsidRPr="006D07CB">
        <w:rPr>
          <w:rFonts w:cs="Arial"/>
          <w:szCs w:val="22"/>
          <w:lang w:val="en-GB"/>
        </w:rPr>
        <w:t xml:space="preserve"> that consultancy will be</w:t>
      </w:r>
      <w:r w:rsidR="00F70DCD" w:rsidRPr="006D07CB">
        <w:rPr>
          <w:rFonts w:cs="Arial"/>
          <w:szCs w:val="22"/>
          <w:lang w:val="en-GB"/>
        </w:rPr>
        <w:t xml:space="preserve"> </w:t>
      </w:r>
      <w:r w:rsidR="006D07CB">
        <w:rPr>
          <w:rFonts w:cs="Arial"/>
          <w:szCs w:val="22"/>
          <w:lang w:val="en-GB"/>
        </w:rPr>
        <w:t>a Report on Financial Instrument(s)</w:t>
      </w:r>
      <w:r w:rsidR="00F70DCD" w:rsidRPr="006D07CB">
        <w:rPr>
          <w:rFonts w:cs="Arial"/>
          <w:szCs w:val="22"/>
          <w:lang w:val="en-GB"/>
        </w:rPr>
        <w:t>, which will include a detailed plan for operationalizing the mechanism, including its financial and accounting treatment in UNDP. This report will be submitted fo</w:t>
      </w:r>
      <w:r w:rsidR="00FF4000">
        <w:rPr>
          <w:rFonts w:cs="Arial"/>
          <w:szCs w:val="22"/>
          <w:lang w:val="en-GB"/>
        </w:rPr>
        <w:t>r UNDP-GEF review and approval.</w:t>
      </w:r>
    </w:p>
    <w:p w14:paraId="4245C9C0" w14:textId="0F85BD7F" w:rsidR="00100F1C" w:rsidRPr="006E078C" w:rsidRDefault="00100F1C" w:rsidP="00100F1C">
      <w:pPr>
        <w:pStyle w:val="a7"/>
        <w:tabs>
          <w:tab w:val="clear" w:pos="4153"/>
          <w:tab w:val="clear" w:pos="8306"/>
          <w:tab w:val="left" w:pos="426"/>
        </w:tabs>
        <w:spacing w:after="120"/>
        <w:ind w:left="1260" w:right="90" w:hanging="1260"/>
        <w:rPr>
          <w:rFonts w:cs="Arial"/>
          <w:szCs w:val="22"/>
          <w:lang w:val="en-GB"/>
        </w:rPr>
      </w:pPr>
      <w:r>
        <w:rPr>
          <w:rFonts w:cs="Arial"/>
          <w:szCs w:val="22"/>
          <w:lang w:val="en-GB"/>
        </w:rPr>
        <w:tab/>
      </w:r>
      <w:r>
        <w:rPr>
          <w:rFonts w:cs="Arial"/>
          <w:szCs w:val="22"/>
          <w:lang w:val="en-GB"/>
        </w:rPr>
        <w:tab/>
      </w:r>
      <w:r w:rsidRPr="006E078C">
        <w:rPr>
          <w:rFonts w:cs="Arial"/>
          <w:szCs w:val="22"/>
          <w:lang w:val="en-GB"/>
        </w:rPr>
        <w:t xml:space="preserve">Various options </w:t>
      </w:r>
      <w:r>
        <w:rPr>
          <w:rFonts w:cs="Arial"/>
          <w:szCs w:val="22"/>
          <w:lang w:val="en-GB"/>
        </w:rPr>
        <w:t>are</w:t>
      </w:r>
      <w:r w:rsidRPr="006E078C">
        <w:rPr>
          <w:rFonts w:cs="Arial"/>
          <w:szCs w:val="22"/>
          <w:lang w:val="en-GB"/>
        </w:rPr>
        <w:t xml:space="preserve"> </w:t>
      </w:r>
      <w:r w:rsidR="00223515">
        <w:rPr>
          <w:rFonts w:cs="Arial"/>
          <w:szCs w:val="22"/>
          <w:lang w:val="en-GB"/>
        </w:rPr>
        <w:t xml:space="preserve">to be </w:t>
      </w:r>
      <w:r w:rsidRPr="006E078C">
        <w:rPr>
          <w:rFonts w:cs="Arial"/>
          <w:szCs w:val="22"/>
          <w:lang w:val="en-GB"/>
        </w:rPr>
        <w:t>considered for the financial instrument</w:t>
      </w:r>
      <w:r w:rsidR="00197CBC">
        <w:rPr>
          <w:rFonts w:cs="Arial"/>
          <w:szCs w:val="22"/>
          <w:lang w:val="en-GB"/>
        </w:rPr>
        <w:t xml:space="preserve">, all of which must be </w:t>
      </w:r>
      <w:r w:rsidR="00197CBC">
        <w:t>implementable within UNDP’s rules and procedures</w:t>
      </w:r>
      <w:r w:rsidRPr="006E078C">
        <w:rPr>
          <w:rFonts w:cs="Arial"/>
          <w:szCs w:val="22"/>
          <w:lang w:val="en-GB"/>
        </w:rPr>
        <w:t xml:space="preserve">. UNDP has experience in Kazakhstan with negotiating and implementing </w:t>
      </w:r>
      <w:r>
        <w:rPr>
          <w:rFonts w:cs="Arial"/>
          <w:szCs w:val="22"/>
          <w:lang w:val="en-GB"/>
        </w:rPr>
        <w:t xml:space="preserve">a concessional finance mechanism </w:t>
      </w:r>
      <w:r w:rsidRPr="006E078C">
        <w:rPr>
          <w:rFonts w:cs="Arial"/>
          <w:szCs w:val="22"/>
          <w:lang w:val="en-GB"/>
        </w:rPr>
        <w:t>within the Fund for Financial Support of Agriculture (FFSA). In that case UNDP used the institutional arrangements, disbursement and collection system that existed at FFSA for a biodiversity-related micro-credit program within the UNDP-GEF biodiversity conservation project.</w:t>
      </w:r>
    </w:p>
    <w:p w14:paraId="0A5997EE" w14:textId="18C3728D" w:rsidR="006659D5" w:rsidRDefault="00994F72" w:rsidP="00893F45">
      <w:pPr>
        <w:pStyle w:val="a7"/>
        <w:tabs>
          <w:tab w:val="clear" w:pos="4153"/>
          <w:tab w:val="clear" w:pos="8306"/>
          <w:tab w:val="left" w:pos="426"/>
        </w:tabs>
        <w:spacing w:after="120"/>
        <w:ind w:left="1260" w:right="90" w:hanging="1260"/>
        <w:rPr>
          <w:rFonts w:cs="Arial"/>
          <w:szCs w:val="22"/>
          <w:lang w:val="en-GB"/>
        </w:rPr>
      </w:pPr>
      <w:r>
        <w:rPr>
          <w:rFonts w:cs="Arial"/>
          <w:szCs w:val="22"/>
          <w:lang w:val="en-GB"/>
        </w:rPr>
        <w:t>Activity 3.</w:t>
      </w:r>
      <w:r w:rsidR="00D77F9D">
        <w:rPr>
          <w:rFonts w:cs="Arial"/>
          <w:szCs w:val="22"/>
          <w:lang w:val="en-GB"/>
        </w:rPr>
        <w:t>2</w:t>
      </w:r>
      <w:r>
        <w:rPr>
          <w:rFonts w:cs="Arial"/>
          <w:szCs w:val="22"/>
          <w:lang w:val="en-GB"/>
        </w:rPr>
        <w:t>.2</w:t>
      </w:r>
      <w:r w:rsidR="006659D5">
        <w:rPr>
          <w:rFonts w:cs="Arial"/>
          <w:szCs w:val="22"/>
          <w:lang w:val="en-GB"/>
        </w:rPr>
        <w:t>:</w:t>
      </w:r>
      <w:r w:rsidR="001E3D5E">
        <w:rPr>
          <w:rFonts w:cs="Arial"/>
          <w:szCs w:val="22"/>
          <w:lang w:val="en-GB"/>
        </w:rPr>
        <w:t xml:space="preserve"> </w:t>
      </w:r>
      <w:r w:rsidR="0060136F">
        <w:rPr>
          <w:rFonts w:cs="Arial"/>
          <w:szCs w:val="22"/>
          <w:lang w:val="en-GB"/>
        </w:rPr>
        <w:t>Building on the policy-focused work of Output 2.1, s</w:t>
      </w:r>
      <w:r w:rsidRPr="004B1EBC">
        <w:rPr>
          <w:rFonts w:cs="Arial"/>
          <w:szCs w:val="22"/>
          <w:lang w:val="en-GB"/>
        </w:rPr>
        <w:t>upport</w:t>
      </w:r>
      <w:r w:rsidR="004A11F0">
        <w:rPr>
          <w:rFonts w:cs="Arial"/>
          <w:szCs w:val="22"/>
          <w:lang w:val="en-GB"/>
        </w:rPr>
        <w:t xml:space="preserve"> the Ministry of Energy and the Ministry of Agriculture in the</w:t>
      </w:r>
      <w:r w:rsidRPr="004B1EBC">
        <w:rPr>
          <w:rFonts w:cs="Arial"/>
          <w:szCs w:val="22"/>
          <w:lang w:val="en-GB"/>
        </w:rPr>
        <w:t xml:space="preserve"> creation of </w:t>
      </w:r>
      <w:r w:rsidR="004A11F0">
        <w:rPr>
          <w:rFonts w:cs="Arial"/>
          <w:szCs w:val="22"/>
          <w:lang w:val="en-GB"/>
        </w:rPr>
        <w:t>the</w:t>
      </w:r>
      <w:r w:rsidR="004A11F0" w:rsidRPr="004B1EBC">
        <w:rPr>
          <w:rFonts w:cs="Arial"/>
          <w:szCs w:val="22"/>
          <w:lang w:val="en-GB"/>
        </w:rPr>
        <w:t xml:space="preserve"> </w:t>
      </w:r>
      <w:r w:rsidRPr="004B1EBC">
        <w:rPr>
          <w:rFonts w:cs="Arial"/>
          <w:szCs w:val="22"/>
          <w:lang w:val="en-GB"/>
        </w:rPr>
        <w:t xml:space="preserve">enabling framework </w:t>
      </w:r>
      <w:r w:rsidR="004A11F0">
        <w:rPr>
          <w:rFonts w:cs="Arial"/>
          <w:szCs w:val="22"/>
          <w:lang w:val="en-GB"/>
        </w:rPr>
        <w:t xml:space="preserve">to </w:t>
      </w:r>
      <w:r w:rsidRPr="004B1EBC">
        <w:rPr>
          <w:rFonts w:cs="Arial"/>
          <w:szCs w:val="22"/>
          <w:lang w:val="en-GB"/>
        </w:rPr>
        <w:t xml:space="preserve">provide </w:t>
      </w:r>
      <w:r w:rsidR="0060136F">
        <w:rPr>
          <w:rFonts w:cs="Arial"/>
          <w:szCs w:val="22"/>
          <w:lang w:val="en-GB"/>
        </w:rPr>
        <w:t xml:space="preserve">market-enabling </w:t>
      </w:r>
      <w:r>
        <w:rPr>
          <w:rFonts w:cs="Arial"/>
          <w:szCs w:val="22"/>
          <w:lang w:val="en-GB"/>
        </w:rPr>
        <w:t>incentives for small-scale developers</w:t>
      </w:r>
      <w:r w:rsidR="004A11F0">
        <w:rPr>
          <w:rFonts w:cs="Arial"/>
          <w:szCs w:val="22"/>
          <w:lang w:val="en-GB"/>
        </w:rPr>
        <w:t xml:space="preserve">. The project </w:t>
      </w:r>
      <w:r w:rsidR="0060136F">
        <w:rPr>
          <w:rFonts w:cs="Arial"/>
          <w:szCs w:val="22"/>
          <w:lang w:val="en-GB"/>
        </w:rPr>
        <w:t xml:space="preserve">team </w:t>
      </w:r>
      <w:r w:rsidR="004A11F0">
        <w:rPr>
          <w:rFonts w:cs="Arial"/>
          <w:szCs w:val="22"/>
          <w:lang w:val="en-GB"/>
        </w:rPr>
        <w:t xml:space="preserve">will develop and propose </w:t>
      </w:r>
      <w:r>
        <w:rPr>
          <w:rFonts w:cs="Arial"/>
          <w:szCs w:val="22"/>
          <w:lang w:val="en-GB"/>
        </w:rPr>
        <w:t>financial instrument</w:t>
      </w:r>
      <w:r w:rsidR="004A11F0">
        <w:rPr>
          <w:rFonts w:cs="Arial"/>
          <w:szCs w:val="22"/>
          <w:lang w:val="en-GB"/>
        </w:rPr>
        <w:t>s</w:t>
      </w:r>
      <w:r>
        <w:rPr>
          <w:rFonts w:cs="Arial"/>
          <w:szCs w:val="22"/>
          <w:lang w:val="en-GB"/>
        </w:rPr>
        <w:t xml:space="preserve"> for </w:t>
      </w:r>
      <w:r w:rsidR="004A11F0">
        <w:rPr>
          <w:rFonts w:cs="Arial"/>
          <w:szCs w:val="22"/>
          <w:lang w:val="en-GB"/>
        </w:rPr>
        <w:t xml:space="preserve">approval by </w:t>
      </w:r>
      <w:r>
        <w:rPr>
          <w:rFonts w:cs="Arial"/>
          <w:szCs w:val="22"/>
          <w:lang w:val="en-GB"/>
        </w:rPr>
        <w:t>the Government.</w:t>
      </w:r>
    </w:p>
    <w:p w14:paraId="2A263C63" w14:textId="2A94DC64" w:rsidR="001E6508" w:rsidRDefault="001E6508" w:rsidP="001624E8">
      <w:pPr>
        <w:pStyle w:val="a7"/>
        <w:tabs>
          <w:tab w:val="clear" w:pos="4153"/>
          <w:tab w:val="clear" w:pos="8306"/>
          <w:tab w:val="left" w:pos="426"/>
        </w:tabs>
        <w:spacing w:after="120"/>
        <w:ind w:left="1260" w:right="90" w:hanging="1260"/>
      </w:pPr>
      <w:r>
        <w:rPr>
          <w:rFonts w:cs="Arial"/>
          <w:szCs w:val="22"/>
          <w:lang w:val="en-GB"/>
        </w:rPr>
        <w:t>Activity 3.2.</w:t>
      </w:r>
      <w:r w:rsidR="00810913">
        <w:rPr>
          <w:rFonts w:cs="Arial"/>
          <w:szCs w:val="22"/>
          <w:lang w:val="en-GB"/>
        </w:rPr>
        <w:t>3</w:t>
      </w:r>
      <w:r>
        <w:rPr>
          <w:rFonts w:cs="Arial"/>
          <w:szCs w:val="22"/>
          <w:lang w:val="en-GB"/>
        </w:rPr>
        <w:t xml:space="preserve">: Develop eligibility criteria </w:t>
      </w:r>
      <w:r w:rsidR="006D07CB">
        <w:rPr>
          <w:rFonts w:cs="Arial"/>
          <w:szCs w:val="22"/>
          <w:lang w:val="en-GB"/>
        </w:rPr>
        <w:t>associated with the financial instrument,</w:t>
      </w:r>
      <w:r>
        <w:rPr>
          <w:rFonts w:cs="Arial"/>
          <w:szCs w:val="22"/>
          <w:lang w:val="en-GB"/>
        </w:rPr>
        <w:t xml:space="preserve"> including the </w:t>
      </w:r>
      <w:r w:rsidRPr="00070BB8">
        <w:rPr>
          <w:rFonts w:cs="Arial"/>
          <w:szCs w:val="22"/>
          <w:lang w:val="en-GB"/>
        </w:rPr>
        <w:t>project type</w:t>
      </w:r>
      <w:r w:rsidR="00F07E46">
        <w:rPr>
          <w:rFonts w:cs="Arial"/>
          <w:szCs w:val="22"/>
          <w:lang w:val="en-GB"/>
        </w:rPr>
        <w:t>,</w:t>
      </w:r>
      <w:r w:rsidRPr="00070BB8">
        <w:rPr>
          <w:rFonts w:cs="Arial"/>
          <w:szCs w:val="22"/>
          <w:lang w:val="en-GB"/>
        </w:rPr>
        <w:t xml:space="preserve"> to </w:t>
      </w:r>
      <w:r w:rsidR="001624E8" w:rsidRPr="00070BB8">
        <w:rPr>
          <w:rFonts w:cs="Arial"/>
          <w:szCs w:val="22"/>
          <w:lang w:val="en-GB"/>
        </w:rPr>
        <w:t>consider</w:t>
      </w:r>
      <w:r w:rsidRPr="00070BB8">
        <w:rPr>
          <w:rFonts w:cs="Arial"/>
          <w:szCs w:val="22"/>
          <w:lang w:val="en-GB"/>
        </w:rPr>
        <w:t xml:space="preserve"> the different economics of the projects and their relevant technical parameters</w:t>
      </w:r>
      <w:r>
        <w:rPr>
          <w:rFonts w:cs="Arial"/>
          <w:szCs w:val="22"/>
          <w:lang w:val="en-GB"/>
        </w:rPr>
        <w:t>, and environmental and social safeguarding</w:t>
      </w:r>
      <w:r w:rsidRPr="00070BB8">
        <w:rPr>
          <w:rFonts w:cs="Arial"/>
          <w:szCs w:val="22"/>
          <w:lang w:val="en-GB"/>
        </w:rPr>
        <w:t xml:space="preserve">. </w:t>
      </w:r>
      <w:r w:rsidRPr="006E078C">
        <w:rPr>
          <w:rFonts w:cs="Arial"/>
          <w:szCs w:val="22"/>
          <w:lang w:val="en-GB"/>
        </w:rPr>
        <w:t xml:space="preserve">The grant </w:t>
      </w:r>
      <w:r>
        <w:rPr>
          <w:rFonts w:cs="Arial"/>
          <w:szCs w:val="22"/>
          <w:lang w:val="en-GB"/>
        </w:rPr>
        <w:t>will</w:t>
      </w:r>
      <w:r w:rsidRPr="006E078C">
        <w:rPr>
          <w:rFonts w:cs="Arial"/>
          <w:szCs w:val="22"/>
          <w:lang w:val="en-GB"/>
        </w:rPr>
        <w:t xml:space="preserve"> be designed to take into account the following important factors and considerations:</w:t>
      </w:r>
    </w:p>
    <w:p w14:paraId="5E174422" w14:textId="2C5EFABD" w:rsidR="007D6B08" w:rsidRPr="007D6B08" w:rsidRDefault="007D6B08" w:rsidP="007D6B08">
      <w:pPr>
        <w:pStyle w:val="Normalbullets"/>
        <w:numPr>
          <w:ilvl w:val="1"/>
          <w:numId w:val="49"/>
        </w:numPr>
        <w:contextualSpacing/>
        <w:rPr>
          <w:rFonts w:cs="Arial"/>
          <w:szCs w:val="22"/>
          <w:lang w:eastAsia="ko-KR"/>
        </w:rPr>
      </w:pPr>
      <w:r>
        <w:rPr>
          <w:rFonts w:cs="Arial"/>
          <w:szCs w:val="22"/>
          <w:lang w:eastAsia="ko-KR"/>
        </w:rPr>
        <w:t>U</w:t>
      </w:r>
      <w:r w:rsidRPr="007D6B08">
        <w:rPr>
          <w:rFonts w:cs="Arial"/>
          <w:szCs w:val="22"/>
          <w:lang w:eastAsia="ko-KR"/>
        </w:rPr>
        <w:t xml:space="preserve">p to USD 1.9 million of project funding will be </w:t>
      </w:r>
      <w:r>
        <w:rPr>
          <w:rFonts w:cs="Arial"/>
          <w:szCs w:val="22"/>
          <w:lang w:eastAsia="ko-KR"/>
        </w:rPr>
        <w:t xml:space="preserve">available to address incremental costs of </w:t>
      </w:r>
      <w:r w:rsidRPr="007D6B08">
        <w:rPr>
          <w:rFonts w:cs="Arial"/>
          <w:szCs w:val="22"/>
          <w:lang w:eastAsia="ko-KR"/>
        </w:rPr>
        <w:t xml:space="preserve">the small-scale renewable energy projects to facilitate investment by local financial institutions and, where possible, other donors. </w:t>
      </w:r>
    </w:p>
    <w:p w14:paraId="17E75AEA" w14:textId="77777777" w:rsidR="001E6508" w:rsidRPr="007029DF" w:rsidRDefault="001E6508" w:rsidP="0020322F">
      <w:pPr>
        <w:pStyle w:val="Normalbullets"/>
        <w:numPr>
          <w:ilvl w:val="1"/>
          <w:numId w:val="49"/>
        </w:numPr>
        <w:contextualSpacing/>
        <w:rPr>
          <w:rFonts w:cs="Arial"/>
          <w:szCs w:val="22"/>
          <w:lang w:eastAsia="ko-KR"/>
        </w:rPr>
      </w:pPr>
      <w:r w:rsidRPr="007029DF">
        <w:rPr>
          <w:rFonts w:cs="Arial"/>
          <w:szCs w:val="22"/>
          <w:lang w:eastAsia="ko-KR"/>
        </w:rPr>
        <w:t>The multitude of small-scale renewable energy markets – there is a variety of potential urban and rural projects</w:t>
      </w:r>
      <w:r w:rsidR="004104CF" w:rsidRPr="007029DF">
        <w:rPr>
          <w:rFonts w:cs="Arial"/>
          <w:szCs w:val="22"/>
          <w:lang w:eastAsia="ko-KR"/>
        </w:rPr>
        <w:t xml:space="preserve"> that</w:t>
      </w:r>
      <w:r w:rsidRPr="007029DF">
        <w:rPr>
          <w:rFonts w:cs="Arial"/>
          <w:szCs w:val="22"/>
          <w:lang w:eastAsia="ko-KR"/>
        </w:rPr>
        <w:t xml:space="preserve"> could be financed. This </w:t>
      </w:r>
      <w:r w:rsidR="004104CF" w:rsidRPr="007029DF">
        <w:rPr>
          <w:rFonts w:cs="Arial"/>
          <w:szCs w:val="22"/>
          <w:lang w:eastAsia="ko-KR"/>
        </w:rPr>
        <w:t xml:space="preserve">variety </w:t>
      </w:r>
      <w:r w:rsidRPr="007029DF">
        <w:rPr>
          <w:rFonts w:cs="Arial"/>
          <w:szCs w:val="22"/>
          <w:lang w:eastAsia="ko-KR"/>
        </w:rPr>
        <w:t xml:space="preserve">makes it difficult to </w:t>
      </w:r>
      <w:r w:rsidR="004104CF" w:rsidRPr="007029DF">
        <w:rPr>
          <w:rFonts w:cs="Arial"/>
          <w:szCs w:val="22"/>
          <w:lang w:eastAsia="ko-KR"/>
        </w:rPr>
        <w:t>establish</w:t>
      </w:r>
      <w:r w:rsidRPr="007029DF">
        <w:rPr>
          <w:rFonts w:cs="Arial"/>
          <w:szCs w:val="22"/>
          <w:lang w:eastAsia="ko-KR"/>
        </w:rPr>
        <w:t xml:space="preserve"> uniform technical parameters of the projects on the basis of which to calculate and justify the amount of grants to be provided. Hence, it makes good sense to evaluate these projects not in terms of their design parameters but</w:t>
      </w:r>
      <w:r w:rsidR="004104CF" w:rsidRPr="007029DF">
        <w:rPr>
          <w:rFonts w:cs="Arial"/>
          <w:szCs w:val="22"/>
          <w:lang w:eastAsia="ko-KR"/>
        </w:rPr>
        <w:t>,</w:t>
      </w:r>
      <w:r w:rsidRPr="007029DF">
        <w:rPr>
          <w:rFonts w:cs="Arial"/>
          <w:szCs w:val="22"/>
          <w:lang w:eastAsia="ko-KR"/>
        </w:rPr>
        <w:t xml:space="preserve"> rather</w:t>
      </w:r>
      <w:r w:rsidR="004104CF" w:rsidRPr="007029DF">
        <w:rPr>
          <w:rFonts w:cs="Arial"/>
          <w:szCs w:val="22"/>
          <w:lang w:eastAsia="ko-KR"/>
        </w:rPr>
        <w:t>,</w:t>
      </w:r>
      <w:r w:rsidRPr="007029DF">
        <w:rPr>
          <w:rFonts w:cs="Arial"/>
          <w:szCs w:val="22"/>
          <w:lang w:eastAsia="ko-KR"/>
        </w:rPr>
        <w:t xml:space="preserve"> in terms of estimated emission reduction, </w:t>
      </w:r>
      <w:r w:rsidR="004104CF" w:rsidRPr="007029DF">
        <w:rPr>
          <w:rFonts w:cs="Arial"/>
          <w:szCs w:val="22"/>
          <w:lang w:eastAsia="ko-KR"/>
        </w:rPr>
        <w:t xml:space="preserve">and </w:t>
      </w:r>
      <w:r w:rsidRPr="007029DF">
        <w:rPr>
          <w:rFonts w:cs="Arial"/>
          <w:szCs w:val="22"/>
          <w:lang w:eastAsia="ko-KR"/>
        </w:rPr>
        <w:t xml:space="preserve">added socio-economic and gender </w:t>
      </w:r>
      <w:r w:rsidR="009626E8">
        <w:rPr>
          <w:rFonts w:cs="Arial"/>
          <w:szCs w:val="22"/>
          <w:lang w:eastAsia="ko-KR"/>
        </w:rPr>
        <w:t>based differences</w:t>
      </w:r>
      <w:r w:rsidRPr="007029DF">
        <w:rPr>
          <w:rFonts w:cs="Arial"/>
          <w:szCs w:val="22"/>
          <w:lang w:eastAsia="ko-KR"/>
        </w:rPr>
        <w:t>.</w:t>
      </w:r>
    </w:p>
    <w:p w14:paraId="21977849" w14:textId="77FF4659" w:rsidR="001E6508" w:rsidRPr="005B1638" w:rsidRDefault="001E6508" w:rsidP="005B1638">
      <w:pPr>
        <w:pStyle w:val="Normalbullets"/>
        <w:numPr>
          <w:ilvl w:val="1"/>
          <w:numId w:val="49"/>
        </w:numPr>
        <w:contextualSpacing/>
        <w:rPr>
          <w:rFonts w:cs="Arial"/>
          <w:szCs w:val="22"/>
          <w:lang w:eastAsia="ko-KR"/>
        </w:rPr>
      </w:pPr>
      <w:r w:rsidRPr="007029DF">
        <w:rPr>
          <w:rFonts w:cs="Arial"/>
          <w:szCs w:val="22"/>
          <w:lang w:eastAsia="ko-KR"/>
        </w:rPr>
        <w:t xml:space="preserve">The need to define a simple to understand and easy to implement mechanism that does not distort the market. </w:t>
      </w:r>
      <w:r w:rsidR="005B1638">
        <w:rPr>
          <w:rFonts w:cs="Arial"/>
          <w:szCs w:val="22"/>
          <w:lang w:eastAsia="ko-KR"/>
        </w:rPr>
        <w:t xml:space="preserve">The project will seek to </w:t>
      </w:r>
      <w:r w:rsidR="005B1638">
        <w:t xml:space="preserve">address </w:t>
      </w:r>
      <w:r w:rsidR="005B1638" w:rsidRPr="00F83D85">
        <w:t>the</w:t>
      </w:r>
      <w:r w:rsidR="005B1638">
        <w:t xml:space="preserve"> incremental costs of </w:t>
      </w:r>
      <w:r w:rsidR="005B1638" w:rsidRPr="00F83D85">
        <w:t>up to</w:t>
      </w:r>
      <w:r w:rsidR="005B1638">
        <w:t xml:space="preserve"> a maximum of </w:t>
      </w:r>
      <w:r w:rsidR="005B1638" w:rsidRPr="00F83D85">
        <w:t xml:space="preserve">20% of </w:t>
      </w:r>
      <w:r w:rsidR="005B1638">
        <w:t xml:space="preserve">small-scale </w:t>
      </w:r>
      <w:r w:rsidR="005B1638" w:rsidRPr="00F83D85">
        <w:t>pr</w:t>
      </w:r>
      <w:r w:rsidR="005B1638">
        <w:t>oject costs.</w:t>
      </w:r>
    </w:p>
    <w:p w14:paraId="22D6DE27" w14:textId="77777777" w:rsidR="005B1638" w:rsidRPr="007029DF" w:rsidRDefault="005B1638" w:rsidP="005B1638">
      <w:pPr>
        <w:pStyle w:val="Normalbullets"/>
        <w:numPr>
          <w:ilvl w:val="0"/>
          <w:numId w:val="0"/>
        </w:numPr>
        <w:ind w:left="1440"/>
        <w:contextualSpacing/>
        <w:rPr>
          <w:rFonts w:cs="Arial"/>
          <w:szCs w:val="22"/>
          <w:lang w:eastAsia="ko-KR"/>
        </w:rPr>
      </w:pPr>
    </w:p>
    <w:p w14:paraId="31580D9C" w14:textId="274C084F" w:rsidR="00172499" w:rsidRDefault="00172499" w:rsidP="004622EC">
      <w:pPr>
        <w:pStyle w:val="a7"/>
        <w:tabs>
          <w:tab w:val="clear" w:pos="4153"/>
          <w:tab w:val="clear" w:pos="8306"/>
          <w:tab w:val="left" w:pos="426"/>
        </w:tabs>
        <w:spacing w:after="120"/>
        <w:ind w:left="1354" w:right="90" w:hanging="1350"/>
        <w:rPr>
          <w:rFonts w:cs="Arial"/>
          <w:szCs w:val="22"/>
          <w:lang w:val="en-GB"/>
        </w:rPr>
      </w:pPr>
      <w:r>
        <w:rPr>
          <w:rFonts w:cs="Arial"/>
          <w:szCs w:val="22"/>
          <w:lang w:val="en-GB"/>
        </w:rPr>
        <w:t>Activity</w:t>
      </w:r>
      <w:r w:rsidR="00D77F9D">
        <w:rPr>
          <w:rFonts w:cs="Arial"/>
          <w:szCs w:val="22"/>
          <w:lang w:val="en-GB"/>
        </w:rPr>
        <w:t xml:space="preserve"> </w:t>
      </w:r>
      <w:r>
        <w:rPr>
          <w:rFonts w:cs="Arial"/>
          <w:szCs w:val="22"/>
          <w:lang w:val="en-GB"/>
        </w:rPr>
        <w:t>3.</w:t>
      </w:r>
      <w:r w:rsidR="00D77F9D">
        <w:rPr>
          <w:rFonts w:cs="Arial"/>
          <w:szCs w:val="22"/>
          <w:lang w:val="en-GB"/>
        </w:rPr>
        <w:t>2</w:t>
      </w:r>
      <w:r>
        <w:rPr>
          <w:rFonts w:cs="Arial"/>
          <w:szCs w:val="22"/>
          <w:lang w:val="en-GB"/>
        </w:rPr>
        <w:t>.</w:t>
      </w:r>
      <w:r w:rsidR="00810913">
        <w:rPr>
          <w:rFonts w:cs="Arial"/>
          <w:szCs w:val="22"/>
          <w:lang w:val="en-GB"/>
        </w:rPr>
        <w:t>4</w:t>
      </w:r>
      <w:r>
        <w:rPr>
          <w:rFonts w:cs="Arial"/>
          <w:szCs w:val="22"/>
          <w:lang w:val="en-GB"/>
        </w:rPr>
        <w:t>: Facilitat</w:t>
      </w:r>
      <w:r w:rsidR="00067F8E">
        <w:rPr>
          <w:rFonts w:cs="Arial"/>
          <w:szCs w:val="22"/>
          <w:lang w:val="en-GB"/>
        </w:rPr>
        <w:t>e</w:t>
      </w:r>
      <w:r>
        <w:rPr>
          <w:rFonts w:cs="Arial"/>
          <w:szCs w:val="22"/>
          <w:lang w:val="en-GB"/>
        </w:rPr>
        <w:t xml:space="preserve"> adoption of financial measures for small-scale renewable energy developments.</w:t>
      </w:r>
    </w:p>
    <w:p w14:paraId="1A0EF0E4" w14:textId="2A5A5E4A" w:rsidR="00BB2191" w:rsidRDefault="001E6508" w:rsidP="007029DF">
      <w:pPr>
        <w:pStyle w:val="a7"/>
        <w:tabs>
          <w:tab w:val="clear" w:pos="4153"/>
          <w:tab w:val="clear" w:pos="8306"/>
          <w:tab w:val="left" w:pos="426"/>
        </w:tabs>
        <w:spacing w:after="120"/>
        <w:ind w:left="1354" w:right="90" w:hanging="1350"/>
        <w:rPr>
          <w:rFonts w:cs="Arial"/>
          <w:szCs w:val="22"/>
          <w:lang w:val="en-GB"/>
        </w:rPr>
      </w:pPr>
      <w:r>
        <w:rPr>
          <w:rFonts w:cs="Arial"/>
          <w:szCs w:val="22"/>
          <w:lang w:val="en-GB"/>
        </w:rPr>
        <w:t>Activity 3.2.</w:t>
      </w:r>
      <w:r w:rsidR="00810913">
        <w:rPr>
          <w:rFonts w:cs="Arial"/>
          <w:szCs w:val="22"/>
          <w:lang w:val="en-GB"/>
        </w:rPr>
        <w:t>5</w:t>
      </w:r>
      <w:r>
        <w:rPr>
          <w:rFonts w:cs="Arial"/>
          <w:szCs w:val="22"/>
          <w:lang w:val="en-GB"/>
        </w:rPr>
        <w:t xml:space="preserve">: Monitor </w:t>
      </w:r>
      <w:r w:rsidR="004104CF">
        <w:rPr>
          <w:rFonts w:cs="Arial"/>
          <w:szCs w:val="22"/>
          <w:lang w:val="en-GB"/>
        </w:rPr>
        <w:t xml:space="preserve">the </w:t>
      </w:r>
      <w:r>
        <w:rPr>
          <w:rFonts w:cs="Arial"/>
          <w:szCs w:val="22"/>
          <w:lang w:val="en-GB"/>
        </w:rPr>
        <w:t>implementation of the financial mechanism</w:t>
      </w:r>
      <w:r w:rsidR="006D07CB">
        <w:rPr>
          <w:rFonts w:cs="Arial"/>
          <w:szCs w:val="22"/>
          <w:lang w:val="en-GB"/>
        </w:rPr>
        <w:t xml:space="preserve"> under output 3.4</w:t>
      </w:r>
      <w:r w:rsidR="004104CF">
        <w:rPr>
          <w:rFonts w:cs="Arial"/>
          <w:szCs w:val="22"/>
          <w:lang w:val="en-GB"/>
        </w:rPr>
        <w:t>,</w:t>
      </w:r>
      <w:r>
        <w:rPr>
          <w:rFonts w:cs="Arial"/>
          <w:szCs w:val="22"/>
          <w:lang w:val="en-GB"/>
        </w:rPr>
        <w:t xml:space="preserve"> including environmental performance and compliance with agreed environmental and social safeguards.</w:t>
      </w:r>
      <w:r w:rsidR="004A11F0">
        <w:rPr>
          <w:rFonts w:cs="Arial"/>
          <w:szCs w:val="22"/>
          <w:lang w:val="en-GB"/>
        </w:rPr>
        <w:t xml:space="preserve"> Data collected through this activity will provide inputs into the MRV system created under Output 2.2</w:t>
      </w:r>
      <w:r w:rsidR="00834818">
        <w:rPr>
          <w:rFonts w:cs="Arial"/>
          <w:szCs w:val="22"/>
          <w:lang w:val="en-GB"/>
        </w:rPr>
        <w:t>, as well as be used to track and adjust the performance of the financial mechanism during the course of the project and for the future.</w:t>
      </w:r>
      <w:r w:rsidR="005D20C1">
        <w:rPr>
          <w:rFonts w:cs="Arial"/>
          <w:szCs w:val="22"/>
          <w:lang w:val="en-GB"/>
        </w:rPr>
        <w:t xml:space="preserve"> </w:t>
      </w:r>
      <w:r w:rsidR="005B1638">
        <w:rPr>
          <w:rFonts w:cs="Arial"/>
          <w:szCs w:val="22"/>
          <w:lang w:val="en-GB"/>
        </w:rPr>
        <w:t xml:space="preserve">Based on the instrument’s </w:t>
      </w:r>
      <w:r w:rsidR="005B1638">
        <w:rPr>
          <w:rFonts w:cs="Arial"/>
          <w:szCs w:val="22"/>
          <w:lang w:eastAsia="ko-KR"/>
        </w:rPr>
        <w:t>u</w:t>
      </w:r>
      <w:r w:rsidR="005B1638" w:rsidRPr="007D6B08">
        <w:rPr>
          <w:rFonts w:cs="Arial"/>
          <w:szCs w:val="22"/>
          <w:lang w:eastAsia="ko-KR"/>
        </w:rPr>
        <w:t xml:space="preserve">ptake </w:t>
      </w:r>
      <w:r w:rsidR="005B1638">
        <w:rPr>
          <w:rFonts w:cs="Arial"/>
          <w:szCs w:val="22"/>
          <w:lang w:eastAsia="ko-KR"/>
        </w:rPr>
        <w:t xml:space="preserve">and assessment </w:t>
      </w:r>
      <w:r w:rsidR="005B1638" w:rsidRPr="007D6B08">
        <w:rPr>
          <w:rFonts w:cs="Arial"/>
          <w:szCs w:val="22"/>
          <w:lang w:eastAsia="ko-KR"/>
        </w:rPr>
        <w:t xml:space="preserve">of </w:t>
      </w:r>
      <w:r w:rsidR="005B1638">
        <w:rPr>
          <w:rFonts w:cs="Arial"/>
          <w:szCs w:val="22"/>
          <w:lang w:eastAsia="ko-KR"/>
        </w:rPr>
        <w:t>its potential impact</w:t>
      </w:r>
      <w:r w:rsidR="005B1638" w:rsidRPr="007D6B08">
        <w:rPr>
          <w:rFonts w:cs="Arial"/>
          <w:szCs w:val="22"/>
          <w:lang w:eastAsia="ko-KR"/>
        </w:rPr>
        <w:t xml:space="preserve"> throughout deployment, adjustment</w:t>
      </w:r>
      <w:r w:rsidR="005B1638">
        <w:rPr>
          <w:rFonts w:cs="Arial"/>
          <w:szCs w:val="22"/>
          <w:lang w:eastAsia="ko-KR"/>
        </w:rPr>
        <w:t>s</w:t>
      </w:r>
      <w:r w:rsidR="005B1638" w:rsidRPr="007D6B08">
        <w:rPr>
          <w:rFonts w:cs="Arial"/>
          <w:szCs w:val="22"/>
          <w:lang w:eastAsia="ko-KR"/>
        </w:rPr>
        <w:t xml:space="preserve"> will be made as necessary and appropriate.</w:t>
      </w:r>
    </w:p>
    <w:p w14:paraId="4A3C1ECA" w14:textId="77777777" w:rsidR="001E6508" w:rsidRPr="00CF06AC" w:rsidRDefault="007029DF" w:rsidP="007029DF">
      <w:pPr>
        <w:pStyle w:val="a7"/>
        <w:tabs>
          <w:tab w:val="clear" w:pos="4153"/>
          <w:tab w:val="clear" w:pos="8306"/>
          <w:tab w:val="left" w:pos="426"/>
        </w:tabs>
        <w:spacing w:after="120"/>
        <w:ind w:left="1354" w:right="90" w:hanging="1350"/>
        <w:rPr>
          <w:rFonts w:cs="Arial"/>
          <w:szCs w:val="22"/>
          <w:lang w:val="en-GB"/>
        </w:rPr>
      </w:pPr>
      <w:r>
        <w:rPr>
          <w:rFonts w:cs="Arial"/>
          <w:szCs w:val="22"/>
          <w:lang w:val="en-GB"/>
        </w:rPr>
        <w:tab/>
      </w:r>
      <w:r>
        <w:rPr>
          <w:rFonts w:cs="Arial"/>
          <w:szCs w:val="22"/>
          <w:lang w:val="en-GB"/>
        </w:rPr>
        <w:tab/>
      </w:r>
      <w:r w:rsidR="00BB2191">
        <w:rPr>
          <w:rFonts w:cs="Arial"/>
          <w:szCs w:val="22"/>
          <w:lang w:val="en-GB"/>
        </w:rPr>
        <w:t>Under this activit</w:t>
      </w:r>
      <w:r w:rsidR="004104CF">
        <w:rPr>
          <w:rFonts w:cs="Arial"/>
          <w:szCs w:val="22"/>
          <w:lang w:val="en-GB"/>
        </w:rPr>
        <w:t>y</w:t>
      </w:r>
      <w:r w:rsidR="00BB2191">
        <w:rPr>
          <w:rFonts w:cs="Arial"/>
          <w:szCs w:val="22"/>
          <w:lang w:val="en-GB"/>
        </w:rPr>
        <w:t xml:space="preserve"> m</w:t>
      </w:r>
      <w:r w:rsidR="005D20C1">
        <w:rPr>
          <w:rFonts w:cs="Arial"/>
          <w:szCs w:val="22"/>
          <w:lang w:val="en-GB"/>
        </w:rPr>
        <w:t xml:space="preserve">onitoring data will be used to prepare a </w:t>
      </w:r>
      <w:r w:rsidR="00BB2191">
        <w:rPr>
          <w:rFonts w:cs="Arial"/>
          <w:szCs w:val="22"/>
          <w:lang w:val="en-GB"/>
        </w:rPr>
        <w:t xml:space="preserve">short </w:t>
      </w:r>
      <w:r w:rsidR="005D20C1">
        <w:rPr>
          <w:rFonts w:cs="Arial"/>
          <w:szCs w:val="22"/>
          <w:lang w:val="en-GB"/>
        </w:rPr>
        <w:t xml:space="preserve">case study on </w:t>
      </w:r>
      <w:r w:rsidR="00BB2191">
        <w:rPr>
          <w:rFonts w:cs="Arial"/>
          <w:szCs w:val="22"/>
          <w:lang w:val="en-GB"/>
        </w:rPr>
        <w:t xml:space="preserve">small-scale </w:t>
      </w:r>
      <w:r w:rsidR="005D20C1">
        <w:rPr>
          <w:rFonts w:cs="Arial"/>
          <w:szCs w:val="22"/>
          <w:lang w:val="en-GB"/>
        </w:rPr>
        <w:t>DREI implementation</w:t>
      </w:r>
      <w:r w:rsidR="00BB2191">
        <w:rPr>
          <w:rFonts w:cs="Arial"/>
          <w:szCs w:val="22"/>
          <w:lang w:val="en-GB"/>
        </w:rPr>
        <w:t xml:space="preserve"> and lessons learnt for </w:t>
      </w:r>
      <w:r w:rsidR="00C953AA">
        <w:rPr>
          <w:rFonts w:cs="Arial"/>
          <w:szCs w:val="22"/>
          <w:lang w:val="en-GB"/>
        </w:rPr>
        <w:t>communication</w:t>
      </w:r>
      <w:r w:rsidR="00BB2191">
        <w:rPr>
          <w:rFonts w:cs="Arial"/>
          <w:szCs w:val="22"/>
          <w:lang w:val="en-GB"/>
        </w:rPr>
        <w:t xml:space="preserve"> through the UNDP DREI corporate platform, and for sharing with related regional programmes where relevant.</w:t>
      </w:r>
    </w:p>
    <w:p w14:paraId="7F75FB8D" w14:textId="77777777" w:rsidR="000F7D6B" w:rsidRPr="00083037" w:rsidRDefault="000F7D6B" w:rsidP="001624E8">
      <w:pPr>
        <w:pStyle w:val="a7"/>
        <w:keepNext/>
        <w:keepLines/>
        <w:pBdr>
          <w:top w:val="single" w:sz="4" w:space="1" w:color="auto"/>
          <w:left w:val="single" w:sz="4" w:space="4" w:color="auto"/>
          <w:bottom w:val="single" w:sz="4" w:space="1" w:color="auto"/>
          <w:right w:val="single" w:sz="4" w:space="4" w:color="auto"/>
        </w:pBdr>
        <w:tabs>
          <w:tab w:val="left" w:pos="426"/>
        </w:tabs>
        <w:spacing w:after="120"/>
        <w:ind w:right="86"/>
        <w:rPr>
          <w:rFonts w:cs="Arial"/>
          <w:szCs w:val="22"/>
          <w:lang w:val="en-GB"/>
        </w:rPr>
      </w:pPr>
      <w:r w:rsidRPr="00983DBB">
        <w:rPr>
          <w:rFonts w:cs="Arial"/>
          <w:b/>
          <w:szCs w:val="22"/>
          <w:lang w:val="en-GB"/>
        </w:rPr>
        <w:t>Output 3.3</w:t>
      </w:r>
      <w:r w:rsidRPr="00083037">
        <w:rPr>
          <w:rFonts w:cs="Arial"/>
          <w:szCs w:val="22"/>
          <w:lang w:val="en-GB"/>
        </w:rPr>
        <w:t xml:space="preserve"> </w:t>
      </w:r>
      <w:r>
        <w:rPr>
          <w:rFonts w:cs="Arial"/>
          <w:szCs w:val="22"/>
          <w:lang w:val="en-GB"/>
        </w:rPr>
        <w:t>Capacity of local financial institutions to support small-scale renewables enhanced</w:t>
      </w:r>
    </w:p>
    <w:p w14:paraId="6C405E0F" w14:textId="77777777" w:rsidR="005535A6" w:rsidRDefault="00834818" w:rsidP="00893F45">
      <w:pPr>
        <w:pStyle w:val="a7"/>
        <w:tabs>
          <w:tab w:val="clear" w:pos="4153"/>
          <w:tab w:val="clear" w:pos="8306"/>
          <w:tab w:val="left" w:pos="426"/>
        </w:tabs>
        <w:spacing w:after="120"/>
        <w:ind w:left="1350" w:right="90" w:hanging="1350"/>
        <w:rPr>
          <w:rFonts w:cs="Arial"/>
          <w:szCs w:val="22"/>
          <w:lang w:val="en-GB"/>
        </w:rPr>
      </w:pPr>
      <w:r>
        <w:rPr>
          <w:rFonts w:cs="Arial"/>
          <w:szCs w:val="22"/>
          <w:lang w:val="en-GB"/>
        </w:rPr>
        <w:t>Activity 3.3.1:</w:t>
      </w:r>
      <w:r w:rsidRPr="00826464">
        <w:rPr>
          <w:rFonts w:cs="Arial"/>
          <w:szCs w:val="22"/>
          <w:lang w:val="en-GB"/>
        </w:rPr>
        <w:t xml:space="preserve"> </w:t>
      </w:r>
      <w:r>
        <w:rPr>
          <w:rFonts w:cs="Arial"/>
          <w:szCs w:val="22"/>
          <w:lang w:val="en-GB"/>
        </w:rPr>
        <w:t xml:space="preserve">Carry out a training needs assessment for </w:t>
      </w:r>
      <w:r w:rsidR="005535A6" w:rsidRPr="00473D26">
        <w:rPr>
          <w:rFonts w:cs="Arial"/>
          <w:szCs w:val="22"/>
          <w:lang w:val="en-GB"/>
        </w:rPr>
        <w:t xml:space="preserve">local </w:t>
      </w:r>
      <w:r>
        <w:rPr>
          <w:rFonts w:cs="Arial"/>
          <w:szCs w:val="22"/>
          <w:lang w:val="en-GB"/>
        </w:rPr>
        <w:t xml:space="preserve">banks and other </w:t>
      </w:r>
      <w:r w:rsidR="005535A6" w:rsidRPr="00473D26">
        <w:rPr>
          <w:rFonts w:cs="Arial"/>
          <w:szCs w:val="22"/>
          <w:lang w:val="en-GB"/>
        </w:rPr>
        <w:t xml:space="preserve">financial </w:t>
      </w:r>
      <w:r w:rsidR="00C953AA" w:rsidRPr="00473D26">
        <w:rPr>
          <w:rFonts w:cs="Arial"/>
          <w:szCs w:val="22"/>
          <w:lang w:val="en-GB"/>
        </w:rPr>
        <w:t>institutions to</w:t>
      </w:r>
      <w:r w:rsidR="008D6444" w:rsidRPr="00473D26">
        <w:rPr>
          <w:rFonts w:cs="Arial"/>
          <w:szCs w:val="22"/>
          <w:lang w:val="en-GB"/>
        </w:rPr>
        <w:t xml:space="preserve"> determine priorities for training</w:t>
      </w:r>
      <w:r w:rsidR="005535A6" w:rsidRPr="00834818">
        <w:rPr>
          <w:rFonts w:cs="Arial"/>
          <w:szCs w:val="22"/>
          <w:lang w:val="en-GB"/>
        </w:rPr>
        <w:t>.</w:t>
      </w:r>
    </w:p>
    <w:p w14:paraId="7C655FCE" w14:textId="77777777" w:rsidR="008D6444" w:rsidRDefault="005535A6" w:rsidP="00893F45">
      <w:pPr>
        <w:pStyle w:val="a7"/>
        <w:tabs>
          <w:tab w:val="clear" w:pos="4153"/>
          <w:tab w:val="clear" w:pos="8306"/>
          <w:tab w:val="left" w:pos="426"/>
        </w:tabs>
        <w:spacing w:after="120"/>
        <w:ind w:left="1350" w:right="90" w:hanging="1350"/>
        <w:rPr>
          <w:rFonts w:cs="Arial"/>
          <w:szCs w:val="22"/>
          <w:lang w:val="en-GB"/>
        </w:rPr>
      </w:pPr>
      <w:r>
        <w:rPr>
          <w:rFonts w:cs="Arial"/>
          <w:szCs w:val="22"/>
          <w:lang w:val="en-GB"/>
        </w:rPr>
        <w:t xml:space="preserve">Activity 3.3.2. </w:t>
      </w:r>
      <w:r w:rsidR="00834818">
        <w:rPr>
          <w:rFonts w:cs="Arial"/>
          <w:szCs w:val="22"/>
          <w:lang w:val="en-GB"/>
        </w:rPr>
        <w:t xml:space="preserve">Develop and deliver </w:t>
      </w:r>
      <w:r w:rsidR="004104CF">
        <w:rPr>
          <w:rFonts w:cs="Arial"/>
          <w:szCs w:val="22"/>
          <w:lang w:val="en-GB"/>
        </w:rPr>
        <w:t xml:space="preserve">training </w:t>
      </w:r>
      <w:r>
        <w:rPr>
          <w:rFonts w:cs="Arial"/>
          <w:szCs w:val="22"/>
          <w:lang w:val="en-GB"/>
        </w:rPr>
        <w:t>for 3 local financial institutions.</w:t>
      </w:r>
      <w:r w:rsidR="009617CD">
        <w:rPr>
          <w:rFonts w:cs="Arial"/>
          <w:szCs w:val="22"/>
          <w:lang w:val="en-GB"/>
        </w:rPr>
        <w:t xml:space="preserve"> Training will include technical and financial aspects</w:t>
      </w:r>
      <w:r w:rsidR="00102B8E">
        <w:rPr>
          <w:rFonts w:cs="Arial"/>
          <w:szCs w:val="22"/>
          <w:lang w:val="en-GB"/>
        </w:rPr>
        <w:t xml:space="preserve"> of small-</w:t>
      </w:r>
      <w:r w:rsidR="009617CD">
        <w:rPr>
          <w:rFonts w:cs="Arial"/>
          <w:szCs w:val="22"/>
          <w:lang w:val="en-GB"/>
        </w:rPr>
        <w:t>scale renewables</w:t>
      </w:r>
      <w:r w:rsidR="004104CF">
        <w:rPr>
          <w:rFonts w:cs="Arial"/>
          <w:szCs w:val="22"/>
          <w:lang w:val="en-GB"/>
        </w:rPr>
        <w:t>,</w:t>
      </w:r>
      <w:r w:rsidR="009617CD">
        <w:rPr>
          <w:rFonts w:cs="Arial"/>
          <w:szCs w:val="22"/>
          <w:lang w:val="en-GB"/>
        </w:rPr>
        <w:t xml:space="preserve"> and environmental and social safeguards.</w:t>
      </w:r>
    </w:p>
    <w:p w14:paraId="58195380" w14:textId="77777777" w:rsidR="000F7D6B" w:rsidRPr="00083037" w:rsidRDefault="000F7D6B" w:rsidP="00893F45">
      <w:pPr>
        <w:pStyle w:val="a7"/>
        <w:pBdr>
          <w:top w:val="single" w:sz="4" w:space="1" w:color="auto"/>
          <w:left w:val="single" w:sz="4" w:space="4" w:color="auto"/>
          <w:bottom w:val="single" w:sz="4" w:space="1" w:color="auto"/>
          <w:right w:val="single" w:sz="4" w:space="4" w:color="auto"/>
        </w:pBdr>
        <w:tabs>
          <w:tab w:val="clear" w:pos="4153"/>
          <w:tab w:val="clear" w:pos="8306"/>
          <w:tab w:val="left" w:pos="426"/>
        </w:tabs>
        <w:spacing w:after="120"/>
        <w:ind w:right="90"/>
        <w:rPr>
          <w:rFonts w:cs="Arial"/>
          <w:szCs w:val="22"/>
          <w:lang w:val="en-GB"/>
        </w:rPr>
      </w:pPr>
      <w:r w:rsidRPr="004679C3">
        <w:rPr>
          <w:rFonts w:cs="Arial"/>
          <w:b/>
          <w:szCs w:val="22"/>
          <w:lang w:val="en-GB"/>
        </w:rPr>
        <w:t>Output 3.4</w:t>
      </w:r>
      <w:r w:rsidRPr="004679C3">
        <w:rPr>
          <w:rFonts w:cs="Arial"/>
          <w:szCs w:val="22"/>
          <w:lang w:val="en-GB"/>
        </w:rPr>
        <w:t xml:space="preserve"> Investments mobilised for small-scale renewable energy projects</w:t>
      </w:r>
    </w:p>
    <w:p w14:paraId="5EA54478" w14:textId="2AE784FC" w:rsidR="00591A30" w:rsidRDefault="00591A30" w:rsidP="0020322F">
      <w:pPr>
        <w:pStyle w:val="a7"/>
        <w:numPr>
          <w:ilvl w:val="0"/>
          <w:numId w:val="9"/>
        </w:numPr>
        <w:tabs>
          <w:tab w:val="clear" w:pos="4153"/>
          <w:tab w:val="clear" w:pos="8306"/>
          <w:tab w:val="left" w:pos="426"/>
        </w:tabs>
        <w:spacing w:after="120"/>
        <w:ind w:right="4"/>
        <w:rPr>
          <w:rFonts w:cs="Arial"/>
          <w:szCs w:val="22"/>
          <w:lang w:val="en-GB"/>
        </w:rPr>
      </w:pPr>
      <w:r w:rsidRPr="006E078C">
        <w:rPr>
          <w:rFonts w:cs="Arial"/>
          <w:szCs w:val="22"/>
          <w:lang w:val="en-GB"/>
        </w:rPr>
        <w:t>Th</w:t>
      </w:r>
      <w:r>
        <w:rPr>
          <w:rFonts w:cs="Arial"/>
          <w:szCs w:val="22"/>
          <w:lang w:val="en-GB"/>
        </w:rPr>
        <w:t>is</w:t>
      </w:r>
      <w:r w:rsidRPr="006E078C">
        <w:rPr>
          <w:rFonts w:cs="Arial"/>
          <w:szCs w:val="22"/>
          <w:lang w:val="en-GB"/>
        </w:rPr>
        <w:t xml:space="preserve"> project </w:t>
      </w:r>
      <w:r>
        <w:rPr>
          <w:rFonts w:cs="Arial"/>
          <w:szCs w:val="22"/>
          <w:lang w:val="en-GB"/>
        </w:rPr>
        <w:t xml:space="preserve">will </w:t>
      </w:r>
      <w:r w:rsidRPr="006E078C">
        <w:rPr>
          <w:rFonts w:cs="Arial"/>
          <w:szCs w:val="22"/>
          <w:lang w:val="en-GB"/>
        </w:rPr>
        <w:t xml:space="preserve">assist the Ministry of Energy and Ministry of Agriculture, </w:t>
      </w:r>
      <w:r>
        <w:rPr>
          <w:rFonts w:cs="Arial"/>
          <w:szCs w:val="22"/>
          <w:lang w:val="en-GB"/>
        </w:rPr>
        <w:t>and financial partners</w:t>
      </w:r>
      <w:r w:rsidRPr="006E078C">
        <w:rPr>
          <w:rFonts w:cs="Arial"/>
          <w:szCs w:val="22"/>
          <w:lang w:val="en-GB"/>
        </w:rPr>
        <w:t xml:space="preserve"> with practical strategies to address first-mover risks small-scale renewable energy projects. </w:t>
      </w:r>
      <w:r>
        <w:rPr>
          <w:rFonts w:cs="Arial"/>
          <w:szCs w:val="22"/>
          <w:lang w:val="en-GB"/>
        </w:rPr>
        <w:t xml:space="preserve">In addition, some </w:t>
      </w:r>
      <w:r w:rsidRPr="006E078C">
        <w:rPr>
          <w:rFonts w:cs="Arial"/>
          <w:szCs w:val="22"/>
          <w:lang w:val="en-GB"/>
        </w:rPr>
        <w:t xml:space="preserve">pilot projects </w:t>
      </w:r>
      <w:r>
        <w:rPr>
          <w:rFonts w:cs="Arial"/>
          <w:szCs w:val="22"/>
          <w:lang w:val="en-GB"/>
        </w:rPr>
        <w:t xml:space="preserve">may be </w:t>
      </w:r>
      <w:r w:rsidRPr="006E078C">
        <w:rPr>
          <w:rFonts w:cs="Arial"/>
          <w:szCs w:val="22"/>
          <w:lang w:val="en-GB"/>
        </w:rPr>
        <w:t xml:space="preserve">developed </w:t>
      </w:r>
      <w:r>
        <w:rPr>
          <w:rFonts w:cs="Arial"/>
          <w:szCs w:val="22"/>
          <w:lang w:val="en-GB"/>
        </w:rPr>
        <w:t>in niche market</w:t>
      </w:r>
      <w:r w:rsidR="00015ADA">
        <w:rPr>
          <w:rFonts w:cs="Arial"/>
          <w:szCs w:val="22"/>
          <w:lang w:val="en-GB"/>
        </w:rPr>
        <w:t>s</w:t>
      </w:r>
      <w:r>
        <w:rPr>
          <w:rFonts w:cs="Arial"/>
          <w:szCs w:val="22"/>
          <w:lang w:val="en-GB"/>
        </w:rPr>
        <w:t xml:space="preserve"> such as organic urban farming to demonstrate both technical and financial potential.</w:t>
      </w:r>
    </w:p>
    <w:p w14:paraId="054089D0" w14:textId="14753DC4" w:rsidR="00591A30" w:rsidRPr="00591A30" w:rsidRDefault="00591A30" w:rsidP="0020322F">
      <w:pPr>
        <w:pStyle w:val="a7"/>
        <w:numPr>
          <w:ilvl w:val="0"/>
          <w:numId w:val="9"/>
        </w:numPr>
        <w:tabs>
          <w:tab w:val="clear" w:pos="4153"/>
          <w:tab w:val="clear" w:pos="8306"/>
          <w:tab w:val="left" w:pos="426"/>
        </w:tabs>
        <w:spacing w:after="120"/>
        <w:ind w:right="4"/>
        <w:rPr>
          <w:rFonts w:cs="Arial"/>
          <w:szCs w:val="22"/>
          <w:lang w:val="en-GB"/>
        </w:rPr>
      </w:pPr>
      <w:r w:rsidRPr="00591A30">
        <w:rPr>
          <w:rFonts w:cs="Arial"/>
          <w:szCs w:val="22"/>
          <w:lang w:val="en-GB"/>
        </w:rPr>
        <w:t xml:space="preserve">The activities of outputs 3.1, 3.2 and 3.3 provide the technical assistance for the design and monitoring of the investments that are supported under output 3.4. Based on the financial instrument(s) and related parameters that will be decided upon within output 3.2, will be provided small-scale renewable energy projects to facilitate investment by local financial institutions and, where possible, other donors. </w:t>
      </w:r>
    </w:p>
    <w:p w14:paraId="17F3985A" w14:textId="77777777" w:rsidR="004A11F0" w:rsidRPr="0020175A" w:rsidRDefault="004A11F0" w:rsidP="0020322F">
      <w:pPr>
        <w:pStyle w:val="a7"/>
        <w:numPr>
          <w:ilvl w:val="0"/>
          <w:numId w:val="9"/>
        </w:numPr>
        <w:tabs>
          <w:tab w:val="clear" w:pos="4153"/>
          <w:tab w:val="clear" w:pos="8306"/>
          <w:tab w:val="left" w:pos="426"/>
        </w:tabs>
        <w:spacing w:after="120"/>
        <w:ind w:right="4"/>
        <w:rPr>
          <w:rFonts w:cs="Arial"/>
          <w:szCs w:val="22"/>
          <w:lang w:val="en-GB"/>
        </w:rPr>
      </w:pPr>
      <w:r w:rsidRPr="0020175A">
        <w:rPr>
          <w:rFonts w:cs="Arial"/>
          <w:szCs w:val="22"/>
          <w:lang w:val="en-GB"/>
        </w:rPr>
        <w:t xml:space="preserve">The </w:t>
      </w:r>
      <w:r w:rsidR="00591A30">
        <w:rPr>
          <w:rFonts w:cs="Arial"/>
          <w:szCs w:val="22"/>
          <w:lang w:val="en-GB"/>
        </w:rPr>
        <w:t>implementation of</w:t>
      </w:r>
      <w:r w:rsidRPr="0020175A">
        <w:rPr>
          <w:rFonts w:cs="Arial"/>
          <w:szCs w:val="22"/>
          <w:lang w:val="en-GB"/>
        </w:rPr>
        <w:t xml:space="preserve"> the investment part of component 3</w:t>
      </w:r>
      <w:r>
        <w:rPr>
          <w:rFonts w:cs="Arial"/>
          <w:szCs w:val="22"/>
          <w:lang w:val="en-GB"/>
        </w:rPr>
        <w:t>, output 3.4,</w:t>
      </w:r>
      <w:r w:rsidRPr="0020175A">
        <w:rPr>
          <w:rFonts w:cs="Arial"/>
          <w:szCs w:val="22"/>
          <w:lang w:val="en-GB"/>
        </w:rPr>
        <w:t xml:space="preserve"> will be </w:t>
      </w:r>
      <w:r>
        <w:rPr>
          <w:rFonts w:cs="Arial"/>
          <w:szCs w:val="22"/>
          <w:lang w:val="en-GB"/>
        </w:rPr>
        <w:t xml:space="preserve">through </w:t>
      </w:r>
      <w:r w:rsidR="00834818">
        <w:rPr>
          <w:rFonts w:cs="Arial"/>
          <w:szCs w:val="22"/>
          <w:lang w:val="en-GB"/>
        </w:rPr>
        <w:t xml:space="preserve">established </w:t>
      </w:r>
      <w:r w:rsidRPr="0020175A">
        <w:rPr>
          <w:rFonts w:cs="Arial"/>
          <w:szCs w:val="22"/>
          <w:lang w:val="en-GB"/>
        </w:rPr>
        <w:t>relationships with the financial sector to provide the financial products and services identified in the technical assistance part of the component</w:t>
      </w:r>
      <w:r>
        <w:rPr>
          <w:rFonts w:cs="Arial"/>
          <w:szCs w:val="22"/>
          <w:lang w:val="en-GB"/>
        </w:rPr>
        <w:t xml:space="preserve"> (output </w:t>
      </w:r>
      <w:r w:rsidR="00834818">
        <w:rPr>
          <w:rFonts w:cs="Arial"/>
          <w:szCs w:val="22"/>
          <w:lang w:val="en-GB"/>
        </w:rPr>
        <w:t>3.1)</w:t>
      </w:r>
      <w:r w:rsidRPr="0020175A">
        <w:rPr>
          <w:rFonts w:cs="Arial"/>
          <w:szCs w:val="22"/>
          <w:lang w:val="en-GB"/>
        </w:rPr>
        <w:t xml:space="preserve">. This will take place through </w:t>
      </w:r>
      <w:r w:rsidR="00A106CC">
        <w:rPr>
          <w:rFonts w:cs="Arial"/>
          <w:szCs w:val="22"/>
          <w:lang w:val="en-GB"/>
        </w:rPr>
        <w:t xml:space="preserve">local </w:t>
      </w:r>
      <w:r w:rsidR="001624E8">
        <w:rPr>
          <w:rFonts w:cs="Arial"/>
          <w:szCs w:val="22"/>
          <w:lang w:val="en-GB"/>
        </w:rPr>
        <w:t>entrepreneurial</w:t>
      </w:r>
      <w:r w:rsidR="00A106CC">
        <w:rPr>
          <w:rFonts w:cs="Arial"/>
          <w:szCs w:val="22"/>
          <w:lang w:val="en-GB"/>
        </w:rPr>
        <w:t xml:space="preserve"> funds such as </w:t>
      </w:r>
      <w:r w:rsidRPr="0020175A">
        <w:rPr>
          <w:rFonts w:cs="Arial"/>
          <w:szCs w:val="22"/>
          <w:lang w:val="en-GB"/>
        </w:rPr>
        <w:t xml:space="preserve">the </w:t>
      </w:r>
      <w:r w:rsidRPr="0020175A">
        <w:rPr>
          <w:rFonts w:cs="Arial"/>
          <w:szCs w:val="22"/>
        </w:rPr>
        <w:t xml:space="preserve">"DAMU" Entrepreneurship Development Fund, </w:t>
      </w:r>
      <w:r w:rsidR="00A106CC">
        <w:rPr>
          <w:rFonts w:cs="Arial"/>
          <w:szCs w:val="22"/>
          <w:lang w:val="en-GB"/>
        </w:rPr>
        <w:t>the JSC “Fund for Financial Support of Agriculture” or JSC “Agrarian Credit Corporation”</w:t>
      </w:r>
      <w:r w:rsidRPr="0020175A">
        <w:rPr>
          <w:rFonts w:cs="Arial"/>
          <w:szCs w:val="22"/>
        </w:rPr>
        <w:t xml:space="preserve"> which is the financial operator for implementation of state programmes for agricultural support. The DAMU fund </w:t>
      </w:r>
      <w:r w:rsidRPr="0020175A">
        <w:rPr>
          <w:rFonts w:cs="Arial"/>
          <w:szCs w:val="22"/>
          <w:lang w:val="en-GB"/>
        </w:rPr>
        <w:t xml:space="preserve">implements and monitors financial support (subsidies for interest rates on loans to businesses, </w:t>
      </w:r>
      <w:r w:rsidR="00C32051">
        <w:rPr>
          <w:rFonts w:cs="Arial"/>
          <w:szCs w:val="22"/>
          <w:lang w:val="en-GB"/>
        </w:rPr>
        <w:t>and</w:t>
      </w:r>
      <w:r w:rsidRPr="0020175A">
        <w:rPr>
          <w:rFonts w:cs="Arial"/>
          <w:szCs w:val="22"/>
          <w:lang w:val="en-GB"/>
        </w:rPr>
        <w:t xml:space="preserve"> guarantees to banks on </w:t>
      </w:r>
      <w:r>
        <w:rPr>
          <w:rFonts w:cs="Arial"/>
          <w:szCs w:val="22"/>
          <w:lang w:val="en-GB"/>
        </w:rPr>
        <w:t xml:space="preserve">loans to </w:t>
      </w:r>
      <w:r w:rsidRPr="0020175A">
        <w:rPr>
          <w:rFonts w:cs="Arial"/>
          <w:szCs w:val="22"/>
          <w:lang w:val="en-GB"/>
        </w:rPr>
        <w:t xml:space="preserve">entrepreneurs) as part of </w:t>
      </w:r>
      <w:r w:rsidR="00C32051">
        <w:rPr>
          <w:rFonts w:cs="Arial"/>
          <w:szCs w:val="22"/>
          <w:lang w:val="en-GB"/>
        </w:rPr>
        <w:t xml:space="preserve">the </w:t>
      </w:r>
      <w:r w:rsidRPr="0020175A">
        <w:rPr>
          <w:rFonts w:cs="Arial"/>
          <w:szCs w:val="22"/>
          <w:lang w:val="en-GB"/>
        </w:rPr>
        <w:t>"</w:t>
      </w:r>
      <w:r w:rsidRPr="00D824B9">
        <w:rPr>
          <w:rFonts w:cs="Arial"/>
          <w:i/>
          <w:szCs w:val="22"/>
          <w:lang w:val="en-GB"/>
        </w:rPr>
        <w:t>Business Road Map 2020</w:t>
      </w:r>
      <w:r w:rsidRPr="0020175A">
        <w:rPr>
          <w:rFonts w:cs="Arial"/>
          <w:szCs w:val="22"/>
          <w:lang w:val="en-GB"/>
        </w:rPr>
        <w:t>" Unified business support and development programme, and has 18 Entrepreneurs Service Cent</w:t>
      </w:r>
      <w:r>
        <w:rPr>
          <w:rFonts w:cs="Arial"/>
          <w:szCs w:val="22"/>
          <w:lang w:val="en-GB"/>
        </w:rPr>
        <w:t>r</w:t>
      </w:r>
      <w:r w:rsidRPr="0020175A">
        <w:rPr>
          <w:rFonts w:cs="Arial"/>
          <w:szCs w:val="22"/>
          <w:lang w:val="en-GB"/>
        </w:rPr>
        <w:t xml:space="preserve">es </w:t>
      </w:r>
      <w:r>
        <w:rPr>
          <w:rFonts w:cs="Arial"/>
          <w:szCs w:val="22"/>
          <w:lang w:val="en-GB"/>
        </w:rPr>
        <w:t xml:space="preserve">throughout the country and </w:t>
      </w:r>
      <w:r w:rsidRPr="0020175A">
        <w:rPr>
          <w:rFonts w:cs="Arial"/>
          <w:szCs w:val="22"/>
          <w:lang w:val="en-GB"/>
        </w:rPr>
        <w:t>14 mobile Business Support Cent</w:t>
      </w:r>
      <w:r>
        <w:rPr>
          <w:rFonts w:cs="Arial"/>
          <w:szCs w:val="22"/>
          <w:lang w:val="en-GB"/>
        </w:rPr>
        <w:t>r</w:t>
      </w:r>
      <w:r w:rsidRPr="0020175A">
        <w:rPr>
          <w:rFonts w:cs="Arial"/>
          <w:szCs w:val="22"/>
          <w:lang w:val="en-GB"/>
        </w:rPr>
        <w:t>es.</w:t>
      </w:r>
    </w:p>
    <w:p w14:paraId="7728797A" w14:textId="70CF415F" w:rsidR="004A11F0" w:rsidRDefault="00C32051" w:rsidP="0020322F">
      <w:pPr>
        <w:pStyle w:val="a7"/>
        <w:numPr>
          <w:ilvl w:val="0"/>
          <w:numId w:val="9"/>
        </w:numPr>
        <w:tabs>
          <w:tab w:val="clear" w:pos="4153"/>
          <w:tab w:val="clear" w:pos="8306"/>
          <w:tab w:val="left" w:pos="426"/>
        </w:tabs>
        <w:spacing w:after="120"/>
        <w:ind w:right="4"/>
        <w:rPr>
          <w:rFonts w:cs="Arial"/>
          <w:szCs w:val="22"/>
          <w:lang w:val="en-GB"/>
        </w:rPr>
      </w:pPr>
      <w:r>
        <w:rPr>
          <w:rFonts w:cs="Arial"/>
          <w:szCs w:val="22"/>
          <w:lang w:val="en-GB"/>
        </w:rPr>
        <w:t>A</w:t>
      </w:r>
      <w:r w:rsidR="004A11F0">
        <w:rPr>
          <w:rFonts w:cs="Arial"/>
          <w:szCs w:val="22"/>
          <w:lang w:val="en-GB"/>
        </w:rPr>
        <w:t xml:space="preserve"> </w:t>
      </w:r>
      <w:r w:rsidR="001624E8">
        <w:rPr>
          <w:rFonts w:cs="Arial"/>
          <w:szCs w:val="22"/>
          <w:lang w:val="en-GB"/>
        </w:rPr>
        <w:t>business-friendly</w:t>
      </w:r>
      <w:r w:rsidR="004A11F0">
        <w:rPr>
          <w:rFonts w:cs="Arial"/>
          <w:szCs w:val="22"/>
          <w:lang w:val="en-GB"/>
        </w:rPr>
        <w:t xml:space="preserve"> approach will be taken for the deployment of </w:t>
      </w:r>
      <w:r w:rsidR="00441D3F">
        <w:rPr>
          <w:rFonts w:cs="Arial"/>
          <w:szCs w:val="22"/>
          <w:lang w:val="en-GB"/>
        </w:rPr>
        <w:t>project</w:t>
      </w:r>
      <w:r w:rsidR="004913B3">
        <w:rPr>
          <w:rFonts w:cs="Arial"/>
          <w:szCs w:val="22"/>
          <w:lang w:val="en-GB"/>
        </w:rPr>
        <w:t>-funded</w:t>
      </w:r>
      <w:r w:rsidR="004A11F0">
        <w:rPr>
          <w:rFonts w:cs="Arial"/>
          <w:szCs w:val="22"/>
          <w:lang w:val="en-GB"/>
        </w:rPr>
        <w:t xml:space="preserve"> and government incentives for small-scale renewable energy, and supporting other financial mechanisms such as the EIB Green Economy credit lines </w:t>
      </w:r>
      <w:r>
        <w:rPr>
          <w:rFonts w:cs="Arial"/>
          <w:szCs w:val="22"/>
          <w:lang w:val="en-GB"/>
        </w:rPr>
        <w:t>that were recently agreed</w:t>
      </w:r>
      <w:r w:rsidR="004A11F0">
        <w:rPr>
          <w:rFonts w:cs="Arial"/>
          <w:szCs w:val="22"/>
          <w:lang w:val="en-GB"/>
        </w:rPr>
        <w:t xml:space="preserve">. This approach will build up experience of the financial sector – </w:t>
      </w:r>
      <w:r w:rsidR="004A11F0" w:rsidRPr="00C51F30">
        <w:rPr>
          <w:rFonts w:cs="Arial"/>
          <w:szCs w:val="22"/>
          <w:lang w:val="en-GB"/>
        </w:rPr>
        <w:t>collaboration</w:t>
      </w:r>
      <w:r w:rsidR="004A11F0">
        <w:rPr>
          <w:rFonts w:cs="Arial"/>
          <w:szCs w:val="22"/>
          <w:lang w:val="en-GB"/>
        </w:rPr>
        <w:t xml:space="preserve"> </w:t>
      </w:r>
      <w:r w:rsidR="004A11F0" w:rsidRPr="00C51F30">
        <w:rPr>
          <w:rFonts w:cs="Arial"/>
          <w:szCs w:val="22"/>
          <w:lang w:val="en-GB"/>
        </w:rPr>
        <w:t>with the local banking sector will be established to facilitate and support the design of financing products for these business models and promote</w:t>
      </w:r>
      <w:r w:rsidR="005A1734">
        <w:rPr>
          <w:rFonts w:cs="Arial"/>
          <w:szCs w:val="22"/>
          <w:lang w:val="en-GB"/>
        </w:rPr>
        <w:t xml:space="preserve"> a</w:t>
      </w:r>
      <w:r w:rsidR="004A11F0" w:rsidRPr="00C51F30">
        <w:rPr>
          <w:rFonts w:cs="Arial"/>
          <w:szCs w:val="22"/>
          <w:lang w:val="en-GB"/>
        </w:rPr>
        <w:t xml:space="preserve"> mass market for </w:t>
      </w:r>
      <w:r w:rsidR="00F77505">
        <w:rPr>
          <w:rFonts w:cs="Arial"/>
          <w:szCs w:val="22"/>
          <w:lang w:val="en-GB"/>
        </w:rPr>
        <w:t>renewable energy</w:t>
      </w:r>
      <w:r w:rsidR="00F77505" w:rsidRPr="00C51F30">
        <w:rPr>
          <w:rFonts w:cs="Arial"/>
          <w:szCs w:val="22"/>
          <w:lang w:val="en-GB"/>
        </w:rPr>
        <w:t xml:space="preserve"> </w:t>
      </w:r>
      <w:r w:rsidR="004A11F0" w:rsidRPr="00C51F30">
        <w:rPr>
          <w:rFonts w:cs="Arial"/>
          <w:szCs w:val="22"/>
          <w:lang w:val="en-GB"/>
        </w:rPr>
        <w:t>products and services (i.e. leasing scheme for solar PV; loans for RESCOs</w:t>
      </w:r>
      <w:r w:rsidR="004A11F0">
        <w:rPr>
          <w:rFonts w:cs="Arial"/>
          <w:szCs w:val="22"/>
          <w:lang w:val="en-GB"/>
        </w:rPr>
        <w:t>)</w:t>
      </w:r>
      <w:r w:rsidR="00F77505">
        <w:rPr>
          <w:rFonts w:cs="Arial"/>
          <w:szCs w:val="22"/>
          <w:lang w:val="en-GB"/>
        </w:rPr>
        <w:t>.</w:t>
      </w:r>
      <w:r w:rsidR="004A11F0" w:rsidRPr="00C51F30">
        <w:rPr>
          <w:rFonts w:cs="Arial"/>
          <w:szCs w:val="22"/>
          <w:lang w:val="en-GB"/>
        </w:rPr>
        <w:t xml:space="preserve"> Using project-supported examples as “business case studies”, the project will raise awareness and educate the </w:t>
      </w:r>
      <w:r w:rsidR="004A11F0">
        <w:rPr>
          <w:rFonts w:cs="Arial"/>
          <w:szCs w:val="22"/>
          <w:lang w:val="en-GB"/>
        </w:rPr>
        <w:t xml:space="preserve">wider </w:t>
      </w:r>
      <w:r w:rsidR="004A11F0" w:rsidRPr="00C51F30">
        <w:rPr>
          <w:rFonts w:cs="Arial"/>
          <w:szCs w:val="22"/>
          <w:lang w:val="en-GB"/>
        </w:rPr>
        <w:t>banking sector about renewable energy</w:t>
      </w:r>
      <w:r w:rsidR="00F77505">
        <w:rPr>
          <w:rFonts w:cs="Arial"/>
          <w:szCs w:val="22"/>
          <w:lang w:val="en-GB"/>
        </w:rPr>
        <w:t xml:space="preserve"> and</w:t>
      </w:r>
      <w:r w:rsidR="004A11F0" w:rsidRPr="00C51F30">
        <w:rPr>
          <w:rFonts w:cs="Arial"/>
          <w:szCs w:val="22"/>
          <w:lang w:val="en-GB"/>
        </w:rPr>
        <w:t xml:space="preserve"> th</w:t>
      </w:r>
      <w:r w:rsidR="00F77505">
        <w:rPr>
          <w:rFonts w:cs="Arial"/>
          <w:szCs w:val="22"/>
          <w:lang w:val="en-GB"/>
        </w:rPr>
        <w:t>e</w:t>
      </w:r>
      <w:r w:rsidR="004A11F0" w:rsidRPr="00C51F30">
        <w:rPr>
          <w:rFonts w:cs="Arial"/>
          <w:szCs w:val="22"/>
          <w:lang w:val="en-GB"/>
        </w:rPr>
        <w:t xml:space="preserve"> risk/return profile, help design due diligence tools and provide training to bank staff on their application. Recommendations will also be provided to the Government on the design of </w:t>
      </w:r>
      <w:r w:rsidR="004A11F0">
        <w:rPr>
          <w:rFonts w:cs="Arial"/>
          <w:szCs w:val="22"/>
          <w:lang w:val="en-GB"/>
        </w:rPr>
        <w:t xml:space="preserve">ongoing </w:t>
      </w:r>
      <w:r w:rsidR="004A11F0" w:rsidRPr="00C51F30">
        <w:rPr>
          <w:rFonts w:cs="Arial"/>
          <w:szCs w:val="22"/>
          <w:lang w:val="en-GB"/>
        </w:rPr>
        <w:t xml:space="preserve">public loans and guarantees schemes to complement commercial lending. </w:t>
      </w:r>
    </w:p>
    <w:p w14:paraId="76C267B1" w14:textId="77777777" w:rsidR="009B08EF" w:rsidRPr="009B08EF" w:rsidRDefault="009B08EF" w:rsidP="009B08EF">
      <w:pPr>
        <w:pStyle w:val="afb"/>
        <w:numPr>
          <w:ilvl w:val="0"/>
          <w:numId w:val="9"/>
        </w:numPr>
        <w:contextualSpacing/>
        <w:rPr>
          <w:rFonts w:ascii="Calibri" w:eastAsia="Times New Roman" w:hAnsi="Calibri"/>
          <w:color w:val="000000"/>
          <w:highlight w:val="yellow"/>
        </w:rPr>
      </w:pPr>
      <w:r w:rsidRPr="009B08EF">
        <w:rPr>
          <w:rFonts w:ascii="Calibri" w:eastAsia="Times New Roman" w:hAnsi="Calibri"/>
          <w:color w:val="000000"/>
          <w:highlight w:val="yellow"/>
        </w:rPr>
        <w:t>The targeted number of investments and beneficiaries are as follows:</w:t>
      </w:r>
    </w:p>
    <w:p w14:paraId="4FF7F07D" w14:textId="77777777" w:rsidR="009B08EF" w:rsidRPr="009B08EF" w:rsidRDefault="009B08EF" w:rsidP="009B08EF">
      <w:pPr>
        <w:pStyle w:val="afb"/>
        <w:ind w:left="360"/>
        <w:contextualSpacing/>
        <w:rPr>
          <w:rFonts w:ascii="Calibri" w:eastAsia="Times New Roman" w:hAnsi="Calibri"/>
          <w:color w:val="000000"/>
          <w:highlight w:val="yellow"/>
        </w:rPr>
      </w:pPr>
      <w:r w:rsidRPr="009B08EF">
        <w:rPr>
          <w:rFonts w:ascii="Calibri" w:eastAsia="Times New Roman" w:hAnsi="Calibri"/>
          <w:color w:val="000000"/>
          <w:highlight w:val="yellow"/>
        </w:rPr>
        <w:t xml:space="preserve">- total </w:t>
      </w:r>
      <w:r w:rsidRPr="009B08EF">
        <w:rPr>
          <w:rFonts w:ascii="Calibri" w:eastAsia="Times New Roman" w:hAnsi="Calibri"/>
          <w:color w:val="000000"/>
          <w:szCs w:val="22"/>
          <w:highlight w:val="yellow"/>
        </w:rPr>
        <w:t>9500 small-scale projects addressing various technologies and sectors and benefiting from installation of hybrid (wind and solar PV) developments</w:t>
      </w:r>
      <w:r w:rsidRPr="009B08EF">
        <w:rPr>
          <w:rFonts w:ascii="Calibri" w:eastAsia="Times New Roman" w:hAnsi="Calibri"/>
          <w:color w:val="000000"/>
          <w:highlight w:val="yellow"/>
        </w:rPr>
        <w:t xml:space="preserve"> </w:t>
      </w:r>
    </w:p>
    <w:p w14:paraId="691068E1" w14:textId="13CDA501" w:rsidR="009B08EF" w:rsidRPr="009B08EF" w:rsidRDefault="009B08EF" w:rsidP="009B08EF">
      <w:pPr>
        <w:pStyle w:val="afb"/>
        <w:ind w:left="360"/>
        <w:contextualSpacing/>
        <w:rPr>
          <w:rFonts w:ascii="Calibri" w:eastAsia="Times New Roman" w:hAnsi="Calibri"/>
          <w:color w:val="000000"/>
        </w:rPr>
      </w:pPr>
      <w:r w:rsidRPr="009B08EF">
        <w:rPr>
          <w:rFonts w:ascii="Calibri" w:eastAsia="Times New Roman" w:hAnsi="Calibri"/>
          <w:color w:val="000000"/>
          <w:highlight w:val="yellow"/>
        </w:rPr>
        <w:t xml:space="preserve">- at least </w:t>
      </w:r>
      <w:r w:rsidRPr="009B08EF">
        <w:rPr>
          <w:rFonts w:ascii="Calibri" w:eastAsia="Times New Roman" w:hAnsi="Calibri"/>
          <w:color w:val="000000"/>
          <w:szCs w:val="22"/>
          <w:highlight w:val="yellow"/>
        </w:rPr>
        <w:t>28,500 people as direct project beneficiaries.</w:t>
      </w:r>
    </w:p>
    <w:p w14:paraId="4FD4603D" w14:textId="0B93CD95" w:rsidR="00A9781F" w:rsidRPr="006004D1" w:rsidRDefault="001E6508" w:rsidP="005B1638">
      <w:pPr>
        <w:pStyle w:val="a7"/>
        <w:tabs>
          <w:tab w:val="clear" w:pos="4153"/>
          <w:tab w:val="clear" w:pos="8306"/>
          <w:tab w:val="left" w:pos="426"/>
        </w:tabs>
        <w:spacing w:after="120"/>
        <w:ind w:left="1260" w:right="4" w:hanging="1260"/>
      </w:pPr>
      <w:r w:rsidRPr="001E6508">
        <w:rPr>
          <w:rFonts w:cs="Arial"/>
          <w:szCs w:val="22"/>
          <w:lang w:val="en-GB"/>
        </w:rPr>
        <w:t>Activity 3.4.</w:t>
      </w:r>
      <w:r>
        <w:rPr>
          <w:rFonts w:cs="Arial"/>
          <w:szCs w:val="22"/>
          <w:lang w:val="en-GB"/>
        </w:rPr>
        <w:t>1</w:t>
      </w:r>
      <w:r w:rsidRPr="001E6508">
        <w:rPr>
          <w:rFonts w:cs="Arial"/>
          <w:szCs w:val="22"/>
          <w:lang w:val="en-GB"/>
        </w:rPr>
        <w:t xml:space="preserve">: </w:t>
      </w:r>
      <w:r w:rsidR="00B81756">
        <w:rPr>
          <w:rFonts w:cs="Arial"/>
          <w:szCs w:val="22"/>
          <w:lang w:val="en-GB"/>
        </w:rPr>
        <w:t xml:space="preserve">Financial engagement with </w:t>
      </w:r>
      <w:r w:rsidRPr="001E6508">
        <w:rPr>
          <w:rFonts w:cs="Arial"/>
          <w:szCs w:val="22"/>
          <w:lang w:val="en-GB"/>
        </w:rPr>
        <w:t>small-scale renewable energy projects according to the criteria of the established financial mechanism</w:t>
      </w:r>
      <w:r w:rsidR="00C657EA">
        <w:rPr>
          <w:rFonts w:cs="Arial"/>
          <w:szCs w:val="22"/>
          <w:lang w:val="en-GB"/>
        </w:rPr>
        <w:t xml:space="preserve"> (under output 3.2)</w:t>
      </w:r>
      <w:r w:rsidRPr="001E6508">
        <w:rPr>
          <w:rFonts w:cs="Arial"/>
          <w:szCs w:val="22"/>
          <w:lang w:val="en-GB"/>
        </w:rPr>
        <w:t>.</w:t>
      </w:r>
    </w:p>
    <w:p w14:paraId="217CE32C" w14:textId="77777777" w:rsidR="00F00E11" w:rsidRPr="006004D1" w:rsidRDefault="0032007D" w:rsidP="007029DF">
      <w:pPr>
        <w:pStyle w:val="1"/>
        <w:pageBreakBefore/>
        <w:spacing w:before="0" w:after="0"/>
        <w:rPr>
          <w:rFonts w:ascii="Calibri" w:hAnsi="Calibri"/>
          <w:szCs w:val="28"/>
        </w:rPr>
      </w:pPr>
      <w:bookmarkStart w:id="75" w:name="_Toc479693882"/>
      <w:r w:rsidRPr="006004D1">
        <w:rPr>
          <w:rFonts w:ascii="Calibri" w:hAnsi="Calibri"/>
          <w:szCs w:val="28"/>
        </w:rPr>
        <w:t>Results and P</w:t>
      </w:r>
      <w:r w:rsidR="00DA3833" w:rsidRPr="006004D1">
        <w:rPr>
          <w:rFonts w:ascii="Calibri" w:hAnsi="Calibri"/>
          <w:szCs w:val="28"/>
        </w:rPr>
        <w:t>artnerships</w:t>
      </w:r>
      <w:bookmarkEnd w:id="75"/>
    </w:p>
    <w:p w14:paraId="4F23CEBF" w14:textId="77777777" w:rsidR="00393350" w:rsidRPr="004622EC" w:rsidRDefault="00C644BD" w:rsidP="003D0310">
      <w:pPr>
        <w:pStyle w:val="afb"/>
        <w:numPr>
          <w:ilvl w:val="0"/>
          <w:numId w:val="5"/>
        </w:numPr>
        <w:spacing w:before="240" w:after="120"/>
        <w:rPr>
          <w:rFonts w:ascii="Calibri" w:hAnsi="Calibri" w:cs="Segoe UI"/>
          <w:b/>
          <w:i/>
          <w:color w:val="000000"/>
          <w:szCs w:val="20"/>
        </w:rPr>
      </w:pPr>
      <w:r w:rsidRPr="004622EC">
        <w:rPr>
          <w:rFonts w:ascii="Calibri" w:hAnsi="Calibri"/>
          <w:b/>
          <w:i/>
          <w:szCs w:val="20"/>
        </w:rPr>
        <w:t>Expected Results</w:t>
      </w:r>
    </w:p>
    <w:p w14:paraId="2BBF6555" w14:textId="77777777" w:rsidR="00CF3AAE" w:rsidRPr="002B343A" w:rsidRDefault="00CF3AAE" w:rsidP="0020322F">
      <w:pPr>
        <w:pStyle w:val="a7"/>
        <w:numPr>
          <w:ilvl w:val="0"/>
          <w:numId w:val="9"/>
        </w:numPr>
        <w:tabs>
          <w:tab w:val="clear" w:pos="4153"/>
          <w:tab w:val="clear" w:pos="8306"/>
          <w:tab w:val="left" w:pos="426"/>
        </w:tabs>
        <w:spacing w:after="120"/>
        <w:rPr>
          <w:rFonts w:cs="Arial"/>
          <w:szCs w:val="22"/>
          <w:lang w:val="en-GB"/>
        </w:rPr>
      </w:pPr>
      <w:r w:rsidRPr="00C953AA">
        <w:rPr>
          <w:rFonts w:cs="Arial"/>
          <w:b/>
          <w:szCs w:val="22"/>
          <w:lang w:val="en-GB"/>
        </w:rPr>
        <w:t>Expected impact on market transformation</w:t>
      </w:r>
      <w:r w:rsidRPr="002B343A">
        <w:rPr>
          <w:rFonts w:cs="Arial"/>
          <w:szCs w:val="22"/>
          <w:lang w:val="en-GB"/>
        </w:rPr>
        <w:t xml:space="preserve">: </w:t>
      </w:r>
      <w:r w:rsidR="00715B3D" w:rsidRPr="004622EC">
        <w:rPr>
          <w:rFonts w:cs="Arial"/>
          <w:szCs w:val="22"/>
          <w:lang w:val="en-GB"/>
        </w:rPr>
        <w:t>T</w:t>
      </w:r>
      <w:r w:rsidRPr="002B343A">
        <w:rPr>
          <w:rFonts w:cs="Arial"/>
          <w:szCs w:val="22"/>
          <w:lang w:val="en-GB"/>
        </w:rPr>
        <w:t xml:space="preserve">he </w:t>
      </w:r>
      <w:r w:rsidR="00693795" w:rsidRPr="002B343A">
        <w:rPr>
          <w:rFonts w:cs="Arial"/>
          <w:szCs w:val="22"/>
          <w:lang w:val="en-GB"/>
        </w:rPr>
        <w:t>goal</w:t>
      </w:r>
      <w:r w:rsidRPr="002B343A">
        <w:rPr>
          <w:rFonts w:cs="Arial"/>
          <w:szCs w:val="22"/>
          <w:lang w:val="en-GB"/>
        </w:rPr>
        <w:t xml:space="preserve"> of this project is to achieve energy market transformation in Kazakhstan by significantly scaling-up the deployment of renewable energy in electricity generation from </w:t>
      </w:r>
      <w:r w:rsidR="0040463A" w:rsidRPr="002B343A">
        <w:rPr>
          <w:rFonts w:cs="Arial"/>
          <w:szCs w:val="22"/>
          <w:lang w:val="en-GB"/>
        </w:rPr>
        <w:t>0.</w:t>
      </w:r>
      <w:r w:rsidR="00EF1EFA" w:rsidRPr="002B343A">
        <w:rPr>
          <w:rFonts w:cs="Arial"/>
          <w:szCs w:val="22"/>
          <w:lang w:val="en-GB"/>
        </w:rPr>
        <w:t xml:space="preserve">77% share of </w:t>
      </w:r>
      <w:r w:rsidR="00715B3D" w:rsidRPr="004622EC">
        <w:rPr>
          <w:rFonts w:cs="Arial"/>
          <w:szCs w:val="22"/>
          <w:lang w:val="en-GB"/>
        </w:rPr>
        <w:t>renewable energy</w:t>
      </w:r>
      <w:r w:rsidR="00715B3D" w:rsidRPr="00C953AA">
        <w:rPr>
          <w:rFonts w:cs="Arial"/>
          <w:szCs w:val="22"/>
          <w:lang w:val="en-GB"/>
        </w:rPr>
        <w:t xml:space="preserve"> </w:t>
      </w:r>
      <w:r w:rsidR="00EF1EFA" w:rsidRPr="002B343A">
        <w:rPr>
          <w:rFonts w:cs="Arial"/>
          <w:szCs w:val="22"/>
          <w:lang w:val="en-GB"/>
        </w:rPr>
        <w:t>in 2016</w:t>
      </w:r>
      <w:r w:rsidR="00EF1EFA" w:rsidRPr="002B343A">
        <w:rPr>
          <w:rStyle w:val="afa"/>
          <w:szCs w:val="22"/>
          <w:lang w:val="en-GB"/>
        </w:rPr>
        <w:footnoteReference w:id="11"/>
      </w:r>
      <w:r w:rsidRPr="002B343A">
        <w:rPr>
          <w:rFonts w:cs="Arial"/>
          <w:szCs w:val="22"/>
          <w:lang w:val="en-GB"/>
        </w:rPr>
        <w:t xml:space="preserve"> towards </w:t>
      </w:r>
      <w:r w:rsidR="001C3122" w:rsidRPr="002B343A">
        <w:rPr>
          <w:rFonts w:cs="Arial"/>
          <w:szCs w:val="22"/>
          <w:lang w:val="en-GB"/>
        </w:rPr>
        <w:t xml:space="preserve">a </w:t>
      </w:r>
      <w:r w:rsidR="00054983" w:rsidRPr="002B343A">
        <w:rPr>
          <w:rFonts w:cs="Arial"/>
          <w:szCs w:val="22"/>
          <w:lang w:val="en-GB"/>
        </w:rPr>
        <w:t>1</w:t>
      </w:r>
      <w:r w:rsidRPr="002B343A">
        <w:rPr>
          <w:rFonts w:cs="Arial"/>
          <w:szCs w:val="22"/>
          <w:lang w:val="en-GB"/>
        </w:rPr>
        <w:t xml:space="preserve">0% share </w:t>
      </w:r>
      <w:r w:rsidRPr="0019028D">
        <w:rPr>
          <w:rFonts w:cs="Arial"/>
          <w:szCs w:val="22"/>
          <w:lang w:val="en-GB"/>
        </w:rPr>
        <w:t xml:space="preserve">by </w:t>
      </w:r>
      <w:r w:rsidRPr="002F6754">
        <w:rPr>
          <w:rFonts w:cs="Arial"/>
          <w:szCs w:val="22"/>
          <w:lang w:val="en-GB"/>
        </w:rPr>
        <w:t xml:space="preserve">2030, which </w:t>
      </w:r>
      <w:r w:rsidR="00715B3D" w:rsidRPr="004622EC">
        <w:rPr>
          <w:rFonts w:cs="Arial"/>
          <w:szCs w:val="22"/>
          <w:lang w:val="en-GB"/>
        </w:rPr>
        <w:t>is</w:t>
      </w:r>
      <w:r w:rsidRPr="00C953AA">
        <w:rPr>
          <w:rFonts w:cs="Arial"/>
          <w:szCs w:val="22"/>
          <w:lang w:val="en-GB"/>
        </w:rPr>
        <w:t xml:space="preserve"> </w:t>
      </w:r>
      <w:r w:rsidR="00EF1EFA" w:rsidRPr="002B343A">
        <w:rPr>
          <w:rFonts w:cs="Arial"/>
          <w:szCs w:val="22"/>
          <w:lang w:val="en-GB"/>
        </w:rPr>
        <w:t>more than a 10</w:t>
      </w:r>
      <w:r w:rsidRPr="002B343A">
        <w:rPr>
          <w:rFonts w:cs="Arial"/>
          <w:szCs w:val="22"/>
          <w:lang w:val="en-GB"/>
        </w:rPr>
        <w:t xml:space="preserve">-fold increase in </w:t>
      </w:r>
      <w:r w:rsidR="00715B3D" w:rsidRPr="004622EC">
        <w:rPr>
          <w:rFonts w:cs="Arial"/>
          <w:szCs w:val="22"/>
          <w:lang w:val="en-GB"/>
        </w:rPr>
        <w:t>renewable energy</w:t>
      </w:r>
      <w:r w:rsidRPr="00C953AA">
        <w:rPr>
          <w:rFonts w:cs="Arial"/>
          <w:szCs w:val="22"/>
          <w:lang w:val="en-GB"/>
        </w:rPr>
        <w:t xml:space="preserve">-based energy generation to be facilitated by the project. To do so, the project will adopt a comprehensive strategy to identify, assess and mitigate </w:t>
      </w:r>
      <w:r w:rsidR="00715B3D" w:rsidRPr="004622EC">
        <w:rPr>
          <w:rFonts w:cs="Arial"/>
          <w:szCs w:val="22"/>
          <w:lang w:val="en-GB"/>
        </w:rPr>
        <w:t>renewable energy</w:t>
      </w:r>
      <w:r w:rsidR="00715B3D" w:rsidRPr="00C953AA">
        <w:rPr>
          <w:rFonts w:cs="Arial"/>
          <w:szCs w:val="22"/>
          <w:lang w:val="en-GB"/>
        </w:rPr>
        <w:t xml:space="preserve"> </w:t>
      </w:r>
      <w:r w:rsidRPr="002B343A">
        <w:rPr>
          <w:rFonts w:cs="Arial"/>
          <w:szCs w:val="22"/>
          <w:lang w:val="en-GB"/>
        </w:rPr>
        <w:t xml:space="preserve">investment risks thus creating attractive conditions for private sector investment and </w:t>
      </w:r>
      <w:r w:rsidR="00715B3D" w:rsidRPr="004622EC">
        <w:rPr>
          <w:rFonts w:cs="Arial"/>
          <w:szCs w:val="22"/>
          <w:lang w:val="en-GB"/>
        </w:rPr>
        <w:t>renewable energy</w:t>
      </w:r>
      <w:r w:rsidR="00715B3D" w:rsidRPr="00C953AA">
        <w:rPr>
          <w:rFonts w:cs="Arial"/>
          <w:szCs w:val="22"/>
          <w:lang w:val="en-GB"/>
        </w:rPr>
        <w:t xml:space="preserve"> </w:t>
      </w:r>
      <w:r w:rsidRPr="002B343A">
        <w:rPr>
          <w:rFonts w:cs="Arial"/>
          <w:szCs w:val="22"/>
          <w:lang w:val="en-GB"/>
        </w:rPr>
        <w:t>market growth.</w:t>
      </w:r>
    </w:p>
    <w:p w14:paraId="689F2F97" w14:textId="77777777" w:rsidR="00CF3AAE" w:rsidRPr="00476820" w:rsidRDefault="00CF3AAE" w:rsidP="0020322F">
      <w:pPr>
        <w:pStyle w:val="a7"/>
        <w:numPr>
          <w:ilvl w:val="0"/>
          <w:numId w:val="9"/>
        </w:numPr>
        <w:tabs>
          <w:tab w:val="clear" w:pos="4153"/>
          <w:tab w:val="clear" w:pos="8306"/>
          <w:tab w:val="left" w:pos="426"/>
        </w:tabs>
        <w:spacing w:after="120"/>
        <w:rPr>
          <w:rFonts w:cs="Arial"/>
          <w:szCs w:val="22"/>
          <w:lang w:val="en-GB"/>
        </w:rPr>
      </w:pPr>
      <w:r w:rsidRPr="002B343A">
        <w:rPr>
          <w:rFonts w:cs="Arial"/>
          <w:szCs w:val="22"/>
          <w:lang w:val="en-GB"/>
        </w:rPr>
        <w:t>In large-scale renewable energy, the project will promote Kazakhstan as a prime destination for international investment. Technologies will include wind energy, solar PV</w:t>
      </w:r>
      <w:r w:rsidRPr="0019028D">
        <w:rPr>
          <w:rFonts w:cs="Arial"/>
          <w:szCs w:val="22"/>
          <w:lang w:val="en-GB"/>
        </w:rPr>
        <w:t xml:space="preserve"> and biogas. Project activities will build on the existing legislative framework, with the goal of </w:t>
      </w:r>
      <w:r w:rsidRPr="002F6754">
        <w:rPr>
          <w:rFonts w:cs="Arial"/>
          <w:szCs w:val="22"/>
          <w:lang w:val="en-GB"/>
        </w:rPr>
        <w:t>moving to large volumes of private sector investment.</w:t>
      </w:r>
    </w:p>
    <w:p w14:paraId="3DF19929" w14:textId="77777777" w:rsidR="00CF3AAE" w:rsidRPr="002B343A" w:rsidRDefault="00CF3AAE" w:rsidP="0020322F">
      <w:pPr>
        <w:pStyle w:val="a7"/>
        <w:numPr>
          <w:ilvl w:val="0"/>
          <w:numId w:val="9"/>
        </w:numPr>
        <w:tabs>
          <w:tab w:val="clear" w:pos="4153"/>
          <w:tab w:val="clear" w:pos="8306"/>
          <w:tab w:val="left" w:pos="426"/>
        </w:tabs>
        <w:spacing w:after="120"/>
        <w:rPr>
          <w:rFonts w:cs="Arial"/>
          <w:szCs w:val="22"/>
          <w:lang w:val="en-GB"/>
        </w:rPr>
      </w:pPr>
      <w:r w:rsidRPr="00CD549B">
        <w:rPr>
          <w:rFonts w:cs="Arial"/>
          <w:szCs w:val="22"/>
          <w:lang w:val="en-GB"/>
        </w:rPr>
        <w:t xml:space="preserve">In small-scale renewable energy, the project will promote investment in two new </w:t>
      </w:r>
      <w:r w:rsidR="00715B3D" w:rsidRPr="004622EC">
        <w:rPr>
          <w:rFonts w:cs="Arial"/>
          <w:szCs w:val="22"/>
          <w:lang w:val="en-GB"/>
        </w:rPr>
        <w:t>renewable energy</w:t>
      </w:r>
      <w:r w:rsidR="00715B3D" w:rsidRPr="00C953AA">
        <w:rPr>
          <w:rFonts w:cs="Arial"/>
          <w:szCs w:val="22"/>
          <w:lang w:val="en-GB"/>
        </w:rPr>
        <w:t xml:space="preserve"> </w:t>
      </w:r>
      <w:r w:rsidRPr="002B343A">
        <w:rPr>
          <w:rFonts w:cs="Arial"/>
          <w:szCs w:val="22"/>
          <w:lang w:val="en-GB"/>
        </w:rPr>
        <w:t>markets: “R</w:t>
      </w:r>
      <w:r w:rsidR="00715B3D" w:rsidRPr="004622EC">
        <w:rPr>
          <w:rFonts w:cs="Arial"/>
          <w:szCs w:val="22"/>
          <w:lang w:val="en-GB"/>
        </w:rPr>
        <w:t>ES</w:t>
      </w:r>
      <w:r w:rsidRPr="002B343A">
        <w:rPr>
          <w:rFonts w:cs="Arial"/>
          <w:szCs w:val="22"/>
          <w:lang w:val="en-GB"/>
        </w:rPr>
        <w:t xml:space="preserve"> for urban life”, on-grid small-scale </w:t>
      </w:r>
      <w:r w:rsidR="00715B3D" w:rsidRPr="004622EC">
        <w:rPr>
          <w:rFonts w:cs="Arial"/>
          <w:szCs w:val="22"/>
          <w:lang w:val="en-GB"/>
        </w:rPr>
        <w:t xml:space="preserve">renewable </w:t>
      </w:r>
      <w:r w:rsidR="00C953AA" w:rsidRPr="002B343A">
        <w:rPr>
          <w:rFonts w:cs="Arial"/>
          <w:szCs w:val="22"/>
          <w:lang w:val="en-GB"/>
        </w:rPr>
        <w:t>energy</w:t>
      </w:r>
      <w:r w:rsidR="00715B3D" w:rsidRPr="00C953AA">
        <w:rPr>
          <w:rFonts w:cs="Arial"/>
          <w:szCs w:val="22"/>
          <w:lang w:val="en-GB"/>
        </w:rPr>
        <w:t xml:space="preserve"> </w:t>
      </w:r>
      <w:r w:rsidRPr="002B343A">
        <w:rPr>
          <w:rFonts w:cs="Arial"/>
          <w:szCs w:val="22"/>
          <w:lang w:val="en-GB"/>
        </w:rPr>
        <w:t xml:space="preserve">applications, targeting urban households and businesses; and “RES for rural life”, both on-grid and off-grid small-scale </w:t>
      </w:r>
      <w:r w:rsidR="00CD549B" w:rsidRPr="004622EC">
        <w:rPr>
          <w:rFonts w:cs="Arial"/>
          <w:szCs w:val="22"/>
          <w:lang w:val="en-GB"/>
        </w:rPr>
        <w:t>renewable energy</w:t>
      </w:r>
      <w:r w:rsidR="00CD549B" w:rsidRPr="00C953AA">
        <w:rPr>
          <w:rFonts w:cs="Arial"/>
          <w:szCs w:val="22"/>
          <w:lang w:val="en-GB"/>
        </w:rPr>
        <w:t xml:space="preserve"> </w:t>
      </w:r>
      <w:r w:rsidRPr="002B343A">
        <w:rPr>
          <w:rFonts w:cs="Arial"/>
          <w:szCs w:val="22"/>
          <w:lang w:val="en-GB"/>
        </w:rPr>
        <w:t xml:space="preserve">applications, targeting </w:t>
      </w:r>
      <w:r w:rsidR="00693795" w:rsidRPr="002B343A">
        <w:rPr>
          <w:rFonts w:cs="Arial"/>
          <w:szCs w:val="22"/>
          <w:lang w:val="en-GB"/>
        </w:rPr>
        <w:t>farms</w:t>
      </w:r>
      <w:r w:rsidRPr="002B343A">
        <w:rPr>
          <w:rFonts w:cs="Arial"/>
          <w:szCs w:val="22"/>
          <w:lang w:val="en-GB"/>
        </w:rPr>
        <w:t xml:space="preserve"> and rural SMEs. Off-grid, rural solutions will be particularly applicable in under-served regions such as southern Kazakhstan. Technologies may include solar PV (roof-top), solar water heating, small-scale wind and biogas. The project will promote the latest business and finance models for small-scale </w:t>
      </w:r>
      <w:r w:rsidR="00CD549B" w:rsidRPr="004622EC">
        <w:rPr>
          <w:rFonts w:cs="Arial"/>
          <w:szCs w:val="22"/>
          <w:lang w:val="en-GB"/>
        </w:rPr>
        <w:t>renewable energy</w:t>
      </w:r>
      <w:r w:rsidR="00CD549B" w:rsidRPr="00C953AA">
        <w:rPr>
          <w:rFonts w:cs="Arial"/>
          <w:szCs w:val="22"/>
          <w:lang w:val="en-GB"/>
        </w:rPr>
        <w:t xml:space="preserve"> </w:t>
      </w:r>
      <w:r w:rsidRPr="002B343A">
        <w:rPr>
          <w:rFonts w:cs="Arial"/>
          <w:szCs w:val="22"/>
          <w:lang w:val="en-GB"/>
        </w:rPr>
        <w:t>developers (for example, third-party ownership models).</w:t>
      </w:r>
    </w:p>
    <w:p w14:paraId="788D838C" w14:textId="77777777" w:rsidR="00CF3AAE" w:rsidRPr="002B343A" w:rsidRDefault="00CF3AAE" w:rsidP="0020322F">
      <w:pPr>
        <w:pStyle w:val="a7"/>
        <w:numPr>
          <w:ilvl w:val="0"/>
          <w:numId w:val="9"/>
        </w:numPr>
        <w:tabs>
          <w:tab w:val="clear" w:pos="4153"/>
          <w:tab w:val="clear" w:pos="8306"/>
          <w:tab w:val="left" w:pos="426"/>
        </w:tabs>
        <w:spacing w:after="120"/>
        <w:rPr>
          <w:rFonts w:cs="Arial"/>
          <w:szCs w:val="22"/>
          <w:lang w:val="en-GB"/>
        </w:rPr>
      </w:pPr>
      <w:r w:rsidRPr="002B343A">
        <w:rPr>
          <w:rFonts w:cs="Arial"/>
          <w:szCs w:val="22"/>
          <w:lang w:val="en-GB"/>
        </w:rPr>
        <w:t>These two parts of the project - large-scale and “RES for life” - will complement each other, creating synergies, and leading to a virtuous cycle and critical mass of renewable energy investment, experience and technical skills in Kazakhstan.</w:t>
      </w:r>
    </w:p>
    <w:p w14:paraId="67FC80E7" w14:textId="77777777" w:rsidR="00393350" w:rsidRPr="004622EC" w:rsidRDefault="00A91A62" w:rsidP="003D0310">
      <w:pPr>
        <w:pStyle w:val="afb"/>
        <w:numPr>
          <w:ilvl w:val="0"/>
          <w:numId w:val="5"/>
        </w:numPr>
        <w:spacing w:before="240" w:after="120"/>
        <w:rPr>
          <w:b/>
          <w:i/>
          <w:szCs w:val="20"/>
        </w:rPr>
      </w:pPr>
      <w:r w:rsidRPr="004622EC">
        <w:rPr>
          <w:rFonts w:ascii="Calibri" w:hAnsi="Calibri"/>
          <w:b/>
          <w:i/>
          <w:szCs w:val="20"/>
        </w:rPr>
        <w:t>P</w:t>
      </w:r>
      <w:r w:rsidR="00C644BD" w:rsidRPr="004622EC">
        <w:rPr>
          <w:rFonts w:ascii="Calibri" w:hAnsi="Calibri"/>
          <w:b/>
          <w:i/>
          <w:szCs w:val="20"/>
        </w:rPr>
        <w:t>artnerships</w:t>
      </w:r>
      <w:r w:rsidR="00441D3F">
        <w:rPr>
          <w:rFonts w:ascii="Calibri" w:hAnsi="Calibri"/>
          <w:b/>
          <w:i/>
          <w:szCs w:val="20"/>
        </w:rPr>
        <w:t xml:space="preserve"> and coordination</w:t>
      </w:r>
    </w:p>
    <w:p w14:paraId="5CE9FF40" w14:textId="6F7F7EA6" w:rsidR="003E0F38" w:rsidRDefault="00C40F35" w:rsidP="0020322F">
      <w:pPr>
        <w:pStyle w:val="a7"/>
        <w:numPr>
          <w:ilvl w:val="0"/>
          <w:numId w:val="9"/>
        </w:numPr>
        <w:tabs>
          <w:tab w:val="clear" w:pos="4153"/>
          <w:tab w:val="clear" w:pos="8306"/>
          <w:tab w:val="left" w:pos="426"/>
        </w:tabs>
        <w:spacing w:after="120"/>
        <w:rPr>
          <w:rFonts w:cs="Arial"/>
          <w:szCs w:val="22"/>
          <w:lang w:val="en-GB"/>
        </w:rPr>
      </w:pPr>
      <w:r w:rsidRPr="00C40F35">
        <w:rPr>
          <w:rFonts w:cs="Arial"/>
          <w:szCs w:val="22"/>
          <w:lang w:val="en-GB"/>
        </w:rPr>
        <w:t>The project will closely coordinate with other initiatives in Kazakhstan on renewable energy, in particular initiatives by the</w:t>
      </w:r>
      <w:r w:rsidR="0043408F">
        <w:rPr>
          <w:rFonts w:cs="Arial"/>
          <w:szCs w:val="22"/>
          <w:lang w:val="en-GB"/>
        </w:rPr>
        <w:t xml:space="preserve"> IFC</w:t>
      </w:r>
      <w:r w:rsidR="00B92F1C">
        <w:rPr>
          <w:rFonts w:cs="Arial"/>
          <w:szCs w:val="22"/>
          <w:lang w:val="en-GB"/>
        </w:rPr>
        <w:t xml:space="preserve">, </w:t>
      </w:r>
      <w:r w:rsidR="0043408F">
        <w:rPr>
          <w:rFonts w:cs="Arial"/>
          <w:szCs w:val="22"/>
          <w:lang w:val="en-GB"/>
        </w:rPr>
        <w:t xml:space="preserve">EBRD, IDB, </w:t>
      </w:r>
      <w:r w:rsidR="00B92F1C">
        <w:rPr>
          <w:rFonts w:cs="Arial"/>
          <w:szCs w:val="22"/>
          <w:lang w:val="en-GB"/>
        </w:rPr>
        <w:t xml:space="preserve">ADB, </w:t>
      </w:r>
      <w:r w:rsidR="00F15420">
        <w:rPr>
          <w:rFonts w:cs="Arial"/>
          <w:szCs w:val="22"/>
          <w:lang w:val="en-GB"/>
        </w:rPr>
        <w:t xml:space="preserve">EIB </w:t>
      </w:r>
      <w:r w:rsidR="0043408F">
        <w:rPr>
          <w:rFonts w:cs="Arial"/>
          <w:szCs w:val="22"/>
          <w:lang w:val="en-GB"/>
        </w:rPr>
        <w:t>and other IFIs</w:t>
      </w:r>
      <w:r w:rsidR="00FA71DB">
        <w:rPr>
          <w:rFonts w:cs="Arial"/>
          <w:szCs w:val="22"/>
          <w:lang w:val="en-GB"/>
        </w:rPr>
        <w:t>, and USAID</w:t>
      </w:r>
      <w:r w:rsidR="00441D3F">
        <w:rPr>
          <w:rFonts w:cs="Arial"/>
          <w:szCs w:val="22"/>
          <w:lang w:val="en-GB"/>
        </w:rPr>
        <w:t>. Close coordination will be importan</w:t>
      </w:r>
      <w:r w:rsidR="006C7C23">
        <w:rPr>
          <w:rFonts w:cs="Arial"/>
          <w:szCs w:val="22"/>
          <w:lang w:val="en-GB"/>
        </w:rPr>
        <w:t>t</w:t>
      </w:r>
      <w:r w:rsidR="00441D3F">
        <w:rPr>
          <w:rFonts w:cs="Arial"/>
          <w:szCs w:val="22"/>
          <w:lang w:val="en-GB"/>
        </w:rPr>
        <w:t xml:space="preserve"> to the impl</w:t>
      </w:r>
      <w:r w:rsidR="00DB36EE">
        <w:rPr>
          <w:rFonts w:cs="Arial"/>
          <w:szCs w:val="22"/>
          <w:lang w:val="en-GB"/>
        </w:rPr>
        <w:t>e</w:t>
      </w:r>
      <w:r w:rsidR="00441D3F">
        <w:rPr>
          <w:rFonts w:cs="Arial"/>
          <w:szCs w:val="22"/>
          <w:lang w:val="en-GB"/>
        </w:rPr>
        <w:t>mentation of this project as many initiatives related to renewable energy are in the planning or early stages, and it is necessary to ensure that overlap is avoided and effective communication is established</w:t>
      </w:r>
      <w:r w:rsidR="00DB36EE">
        <w:rPr>
          <w:rFonts w:cs="Arial"/>
          <w:szCs w:val="22"/>
          <w:lang w:val="en-GB"/>
        </w:rPr>
        <w:t xml:space="preserve"> early on</w:t>
      </w:r>
      <w:r w:rsidR="00441D3F">
        <w:rPr>
          <w:rFonts w:cs="Arial"/>
          <w:szCs w:val="22"/>
          <w:lang w:val="en-GB"/>
        </w:rPr>
        <w:t xml:space="preserve">. Key stakeholders will be contacted again during the inception phase, when their explicit roles and </w:t>
      </w:r>
      <w:r w:rsidR="00DB36EE">
        <w:rPr>
          <w:rFonts w:cs="Arial"/>
          <w:szCs w:val="22"/>
          <w:lang w:val="en-GB"/>
        </w:rPr>
        <w:t xml:space="preserve">the project’s </w:t>
      </w:r>
      <w:r w:rsidR="00441D3F">
        <w:rPr>
          <w:rFonts w:cs="Arial"/>
          <w:szCs w:val="22"/>
          <w:lang w:val="en-GB"/>
        </w:rPr>
        <w:t xml:space="preserve">coordination mechanisms will be finalized and communicated. </w:t>
      </w:r>
    </w:p>
    <w:p w14:paraId="17F21238" w14:textId="77777777" w:rsidR="002A5829" w:rsidRDefault="002A5829" w:rsidP="00D81ED4">
      <w:pPr>
        <w:pStyle w:val="a7"/>
        <w:rPr>
          <w:b/>
          <w:szCs w:val="22"/>
        </w:rPr>
      </w:pPr>
      <w:r>
        <w:rPr>
          <w:b/>
          <w:szCs w:val="22"/>
        </w:rPr>
        <w:t>Relevant</w:t>
      </w:r>
      <w:r w:rsidRPr="00B140B5">
        <w:rPr>
          <w:b/>
          <w:szCs w:val="22"/>
        </w:rPr>
        <w:t xml:space="preserve"> initiatives</w:t>
      </w:r>
    </w:p>
    <w:p w14:paraId="3CB1AB43" w14:textId="77777777" w:rsidR="002A5829" w:rsidRPr="001E5CB1" w:rsidRDefault="00A70B06" w:rsidP="0020322F">
      <w:pPr>
        <w:pStyle w:val="a7"/>
        <w:numPr>
          <w:ilvl w:val="0"/>
          <w:numId w:val="9"/>
        </w:numPr>
        <w:tabs>
          <w:tab w:val="clear" w:pos="4153"/>
          <w:tab w:val="clear" w:pos="8306"/>
          <w:tab w:val="left" w:pos="426"/>
        </w:tabs>
        <w:spacing w:after="120"/>
        <w:rPr>
          <w:rFonts w:cs="Arial"/>
          <w:szCs w:val="22"/>
          <w:lang w:val="en-GB"/>
        </w:rPr>
      </w:pPr>
      <w:r>
        <w:rPr>
          <w:rFonts w:cs="Arial"/>
          <w:szCs w:val="22"/>
          <w:lang w:val="en-GB"/>
        </w:rPr>
        <w:t xml:space="preserve">The </w:t>
      </w:r>
      <w:r w:rsidR="002A5829" w:rsidRPr="001E5CB1">
        <w:rPr>
          <w:rFonts w:cs="Arial"/>
          <w:szCs w:val="22"/>
          <w:lang w:val="en-GB"/>
        </w:rPr>
        <w:t xml:space="preserve">EBRD intends to assist the Government of Kazakhstan with implementing </w:t>
      </w:r>
      <w:r>
        <w:rPr>
          <w:rFonts w:cs="Arial"/>
          <w:szCs w:val="22"/>
          <w:lang w:val="en-GB"/>
        </w:rPr>
        <w:t xml:space="preserve">the </w:t>
      </w:r>
      <w:r w:rsidR="002A5829" w:rsidRPr="001E5CB1">
        <w:rPr>
          <w:rFonts w:cs="Arial"/>
          <w:szCs w:val="22"/>
          <w:lang w:val="en-GB"/>
        </w:rPr>
        <w:t>Green Economy Strategy through projects in energy, renewables, agriculture, water, waste management, transport and other sectors.</w:t>
      </w:r>
      <w:r w:rsidR="00B07D62">
        <w:rPr>
          <w:rFonts w:cs="Arial"/>
          <w:szCs w:val="22"/>
          <w:lang w:val="en-GB"/>
        </w:rPr>
        <w:t xml:space="preserve"> </w:t>
      </w:r>
      <w:r w:rsidR="002A5829" w:rsidRPr="001E5CB1">
        <w:rPr>
          <w:rFonts w:cs="Arial"/>
          <w:szCs w:val="22"/>
          <w:lang w:val="en-GB"/>
        </w:rPr>
        <w:t>The EBRD is supporting renewable energy in terms of policy dialogue and project financing. The EBRD’s Small Business Support programme has provided consulting support to over a thousand private enterprises and</w:t>
      </w:r>
      <w:r>
        <w:rPr>
          <w:rFonts w:cs="Arial"/>
          <w:szCs w:val="22"/>
          <w:lang w:val="en-GB"/>
        </w:rPr>
        <w:t>,</w:t>
      </w:r>
      <w:r w:rsidR="002A5829" w:rsidRPr="001E5CB1">
        <w:rPr>
          <w:rFonts w:cs="Arial"/>
          <w:szCs w:val="22"/>
          <w:lang w:val="en-GB"/>
        </w:rPr>
        <w:t xml:space="preserve"> with donor funds from the Kazakh government</w:t>
      </w:r>
      <w:r>
        <w:rPr>
          <w:rFonts w:cs="Arial"/>
          <w:szCs w:val="22"/>
          <w:lang w:val="en-GB"/>
        </w:rPr>
        <w:t>,</w:t>
      </w:r>
      <w:r w:rsidR="002A5829" w:rsidRPr="001E5CB1">
        <w:rPr>
          <w:rFonts w:cs="Arial"/>
          <w:szCs w:val="22"/>
          <w:lang w:val="en-GB"/>
        </w:rPr>
        <w:t xml:space="preserve"> is now present in 7 regions of Kazakhstan. The EBRD is working on expanding its program of SME financing through local partner banks. </w:t>
      </w:r>
      <w:r w:rsidR="007461CE" w:rsidRPr="007461CE">
        <w:rPr>
          <w:rFonts w:cs="Arial"/>
          <w:szCs w:val="22"/>
          <w:lang w:val="en-GB"/>
        </w:rPr>
        <w:t xml:space="preserve">In December 2016, the EBRD approved a financing framework of up to €200 million to finance renewable energy projects with a total generating capacity of 300 MW within the next five years in Kazakhstan. The projects are planned to cover wind and solar developments, small hydro plants and biogas. The amount of €160 million will be allocated for construction of generating capacity; </w:t>
      </w:r>
      <w:r w:rsidR="00693795">
        <w:rPr>
          <w:rFonts w:cs="Arial"/>
          <w:szCs w:val="22"/>
          <w:lang w:val="en-GB"/>
        </w:rPr>
        <w:t xml:space="preserve">and </w:t>
      </w:r>
      <w:r w:rsidR="007461CE" w:rsidRPr="007461CE">
        <w:rPr>
          <w:rFonts w:cs="Arial"/>
          <w:szCs w:val="22"/>
          <w:lang w:val="en-GB"/>
        </w:rPr>
        <w:t>€40 million will be spent on electricity grid modernisation to integrate renewable projects into the national transmission system.</w:t>
      </w:r>
      <w:r w:rsidR="00FA71DB">
        <w:rPr>
          <w:rFonts w:cs="Arial"/>
          <w:szCs w:val="22"/>
          <w:lang w:val="en-GB"/>
        </w:rPr>
        <w:t xml:space="preserve"> This financing framework is not yet operational.</w:t>
      </w:r>
    </w:p>
    <w:p w14:paraId="0703F6AB" w14:textId="77777777" w:rsidR="002A5829" w:rsidRPr="001E5CB1" w:rsidRDefault="002A5829" w:rsidP="0020322F">
      <w:pPr>
        <w:pStyle w:val="a7"/>
        <w:keepNext/>
        <w:keepLines/>
        <w:numPr>
          <w:ilvl w:val="0"/>
          <w:numId w:val="9"/>
        </w:numPr>
        <w:tabs>
          <w:tab w:val="clear" w:pos="4153"/>
          <w:tab w:val="clear" w:pos="8306"/>
          <w:tab w:val="left" w:pos="426"/>
        </w:tabs>
        <w:spacing w:after="120"/>
        <w:rPr>
          <w:rFonts w:cs="Arial"/>
          <w:szCs w:val="22"/>
          <w:lang w:val="en-GB"/>
        </w:rPr>
      </w:pPr>
      <w:r w:rsidRPr="001E5CB1">
        <w:rPr>
          <w:rFonts w:cs="Arial"/>
          <w:szCs w:val="22"/>
          <w:lang w:val="en-GB"/>
        </w:rPr>
        <w:t xml:space="preserve">USAID Kazakhstan Climate Change Mitigation Program (KCCMP) aims at helping Kazakhstan to achieve long-term sustained reductions in </w:t>
      </w:r>
      <w:r w:rsidR="00A70B06">
        <w:rPr>
          <w:rFonts w:cs="Arial"/>
          <w:szCs w:val="22"/>
          <w:lang w:val="en-GB"/>
        </w:rPr>
        <w:t>GHG</w:t>
      </w:r>
      <w:r w:rsidRPr="001E5CB1">
        <w:rPr>
          <w:rFonts w:cs="Arial"/>
          <w:szCs w:val="22"/>
          <w:lang w:val="en-GB"/>
        </w:rPr>
        <w:t xml:space="preserve"> emissions intensity. The KCCMP supports the Kazakh government and business community in implementing policies to reduce </w:t>
      </w:r>
      <w:r w:rsidR="00A70B06">
        <w:rPr>
          <w:rFonts w:cs="Arial"/>
          <w:szCs w:val="22"/>
          <w:lang w:val="en-GB"/>
        </w:rPr>
        <w:t>GHG</w:t>
      </w:r>
      <w:r w:rsidRPr="001E5CB1">
        <w:rPr>
          <w:rFonts w:cs="Arial"/>
          <w:szCs w:val="22"/>
          <w:lang w:val="en-GB"/>
        </w:rPr>
        <w:t xml:space="preserve">s at the national and corporate </w:t>
      </w:r>
      <w:r w:rsidR="00C953AA" w:rsidRPr="001E5CB1">
        <w:rPr>
          <w:rFonts w:cs="Arial"/>
          <w:szCs w:val="22"/>
          <w:lang w:val="en-GB"/>
        </w:rPr>
        <w:t>level</w:t>
      </w:r>
      <w:r w:rsidR="00C953AA">
        <w:rPr>
          <w:rFonts w:cs="Arial"/>
          <w:szCs w:val="22"/>
          <w:lang w:val="en-GB"/>
        </w:rPr>
        <w:t>s</w:t>
      </w:r>
      <w:r w:rsidRPr="001E5CB1">
        <w:rPr>
          <w:rFonts w:cs="Arial"/>
          <w:szCs w:val="22"/>
          <w:lang w:val="en-GB"/>
        </w:rPr>
        <w:t>. The Program’s objectives are to:</w:t>
      </w:r>
    </w:p>
    <w:p w14:paraId="3E1AC2FB" w14:textId="77777777" w:rsidR="002A5829" w:rsidRPr="006E404E" w:rsidRDefault="002A5829" w:rsidP="0020322F">
      <w:pPr>
        <w:pStyle w:val="Normalbullets"/>
        <w:numPr>
          <w:ilvl w:val="0"/>
          <w:numId w:val="49"/>
        </w:numPr>
        <w:contextualSpacing/>
        <w:rPr>
          <w:rFonts w:cs="Arial"/>
          <w:szCs w:val="22"/>
          <w:lang w:eastAsia="ko-KR"/>
        </w:rPr>
      </w:pPr>
      <w:r w:rsidRPr="006E404E">
        <w:rPr>
          <w:rFonts w:cs="Arial"/>
          <w:szCs w:val="22"/>
          <w:lang w:eastAsia="ko-KR"/>
        </w:rPr>
        <w:t xml:space="preserve">Enhance the government’s capacity to administer and enforce policies and measures to reduce </w:t>
      </w:r>
      <w:r w:rsidR="00A70B06" w:rsidRPr="006E404E">
        <w:rPr>
          <w:rFonts w:cs="Arial"/>
          <w:szCs w:val="22"/>
          <w:lang w:eastAsia="ko-KR"/>
        </w:rPr>
        <w:t>GHG</w:t>
      </w:r>
      <w:r w:rsidRPr="006E404E">
        <w:rPr>
          <w:rFonts w:cs="Arial"/>
          <w:szCs w:val="22"/>
          <w:lang w:eastAsia="ko-KR"/>
        </w:rPr>
        <w:t xml:space="preserve"> emissions through the development of procedures and tools that help implement the national Greenhouse Gas Emissions Trading System and the Law on Energy Savings, and to facilitate dialogue between regulators and regulated entities.</w:t>
      </w:r>
    </w:p>
    <w:p w14:paraId="23B6EE41" w14:textId="77777777" w:rsidR="002A5829" w:rsidRPr="006E404E" w:rsidRDefault="002A5829" w:rsidP="0020322F">
      <w:pPr>
        <w:pStyle w:val="Normalbullets"/>
        <w:numPr>
          <w:ilvl w:val="0"/>
          <w:numId w:val="49"/>
        </w:numPr>
        <w:contextualSpacing/>
        <w:rPr>
          <w:rFonts w:cs="Arial"/>
          <w:szCs w:val="22"/>
          <w:lang w:eastAsia="ko-KR"/>
        </w:rPr>
      </w:pPr>
      <w:r w:rsidRPr="006E404E">
        <w:rPr>
          <w:rFonts w:cs="Arial"/>
          <w:szCs w:val="22"/>
          <w:lang w:eastAsia="ko-KR"/>
        </w:rPr>
        <w:t xml:space="preserve">Build the business community’s capacity to reduce </w:t>
      </w:r>
      <w:r w:rsidR="00A70B06" w:rsidRPr="006E404E">
        <w:rPr>
          <w:rFonts w:cs="Arial"/>
          <w:szCs w:val="22"/>
          <w:lang w:eastAsia="ko-KR"/>
        </w:rPr>
        <w:t>GHG</w:t>
      </w:r>
      <w:r w:rsidRPr="006E404E">
        <w:rPr>
          <w:rFonts w:cs="Arial"/>
          <w:szCs w:val="22"/>
          <w:lang w:eastAsia="ko-KR"/>
        </w:rPr>
        <w:t xml:space="preserve"> emissions by improving corporate-level </w:t>
      </w:r>
      <w:r w:rsidR="00A70B06" w:rsidRPr="006E404E">
        <w:rPr>
          <w:rFonts w:cs="Arial"/>
          <w:szCs w:val="22"/>
          <w:lang w:eastAsia="ko-KR"/>
        </w:rPr>
        <w:t>GHG</w:t>
      </w:r>
      <w:r w:rsidRPr="006E404E">
        <w:rPr>
          <w:rFonts w:cs="Arial"/>
          <w:szCs w:val="22"/>
          <w:lang w:eastAsia="ko-KR"/>
        </w:rPr>
        <w:t xml:space="preserve"> and energy data measurement, reporting and verification, enhancing corporate capacity to assess, develop and implement </w:t>
      </w:r>
      <w:r w:rsidR="00A70B06" w:rsidRPr="006E404E">
        <w:rPr>
          <w:rFonts w:cs="Arial"/>
          <w:szCs w:val="22"/>
          <w:lang w:eastAsia="ko-KR"/>
        </w:rPr>
        <w:t>GHG</w:t>
      </w:r>
      <w:r w:rsidRPr="006E404E">
        <w:rPr>
          <w:rFonts w:cs="Arial"/>
          <w:szCs w:val="22"/>
          <w:lang w:eastAsia="ko-KR"/>
        </w:rPr>
        <w:t xml:space="preserve"> and energy saving measures, and strengthening the capacity of the audit and verifier community.</w:t>
      </w:r>
    </w:p>
    <w:p w14:paraId="3BDEE9A3" w14:textId="77777777" w:rsidR="0043408F" w:rsidRPr="006E404E" w:rsidRDefault="002A5829" w:rsidP="0020322F">
      <w:pPr>
        <w:pStyle w:val="Normalbullets"/>
        <w:numPr>
          <w:ilvl w:val="0"/>
          <w:numId w:val="49"/>
        </w:numPr>
        <w:contextualSpacing/>
        <w:rPr>
          <w:rFonts w:cs="Arial"/>
          <w:szCs w:val="22"/>
          <w:lang w:eastAsia="ko-KR"/>
        </w:rPr>
      </w:pPr>
      <w:r w:rsidRPr="006E404E">
        <w:rPr>
          <w:rFonts w:cs="Arial"/>
          <w:szCs w:val="22"/>
          <w:lang w:eastAsia="ko-KR"/>
        </w:rPr>
        <w:t>Strengthen professional education programs in the energy efficiency and climate change areas through training, support for professional accreditation, and developing training centers of excellence.</w:t>
      </w:r>
    </w:p>
    <w:p w14:paraId="71B5EAA1" w14:textId="77777777" w:rsidR="0031448D" w:rsidRPr="004E1A35" w:rsidRDefault="00A70B06" w:rsidP="0020322F">
      <w:pPr>
        <w:pStyle w:val="a7"/>
        <w:numPr>
          <w:ilvl w:val="0"/>
          <w:numId w:val="9"/>
        </w:numPr>
        <w:tabs>
          <w:tab w:val="clear" w:pos="4153"/>
          <w:tab w:val="clear" w:pos="8306"/>
          <w:tab w:val="left" w:pos="426"/>
        </w:tabs>
        <w:spacing w:after="120"/>
        <w:rPr>
          <w:rFonts w:eastAsia="Times New Roman"/>
          <w:szCs w:val="22"/>
        </w:rPr>
      </w:pPr>
      <w:r>
        <w:rPr>
          <w:rFonts w:eastAsia="Times New Roman"/>
          <w:szCs w:val="22"/>
        </w:rPr>
        <w:t>I</w:t>
      </w:r>
      <w:r w:rsidR="0031448D" w:rsidRPr="004E1A35">
        <w:rPr>
          <w:rFonts w:eastAsia="Times New Roman"/>
          <w:szCs w:val="22"/>
        </w:rPr>
        <w:t xml:space="preserve">n the renewable energy sector, USAID is currently developing a programme to support policy and legislation development for </w:t>
      </w:r>
      <w:r w:rsidR="00B92F1C">
        <w:rPr>
          <w:rFonts w:eastAsia="Times New Roman"/>
          <w:szCs w:val="22"/>
        </w:rPr>
        <w:t>utility</w:t>
      </w:r>
      <w:r w:rsidR="0031448D" w:rsidRPr="004E1A35">
        <w:rPr>
          <w:rFonts w:eastAsia="Times New Roman"/>
          <w:szCs w:val="22"/>
        </w:rPr>
        <w:t xml:space="preserve">-scale renewables. The plan is to support work on load balancing and demand forecasting for KEGOC, </w:t>
      </w:r>
      <w:r>
        <w:rPr>
          <w:rFonts w:eastAsia="Times New Roman"/>
          <w:szCs w:val="22"/>
        </w:rPr>
        <w:t>and the</w:t>
      </w:r>
      <w:r w:rsidR="0031448D" w:rsidRPr="004E1A35">
        <w:rPr>
          <w:rFonts w:eastAsia="Times New Roman"/>
          <w:szCs w:val="22"/>
        </w:rPr>
        <w:t xml:space="preserve"> development of an auction mechanism. The new programme is likely to start in September 2017.</w:t>
      </w:r>
      <w:r w:rsidR="00DB36EE">
        <w:rPr>
          <w:rFonts w:eastAsia="Times New Roman"/>
          <w:szCs w:val="22"/>
        </w:rPr>
        <w:t xml:space="preserve"> The project will liaise with USAID’s programme to ensure complementarity and information sharing.</w:t>
      </w:r>
    </w:p>
    <w:p w14:paraId="6AF70936" w14:textId="77777777" w:rsidR="0043408F" w:rsidRDefault="0043408F" w:rsidP="0020322F">
      <w:pPr>
        <w:pStyle w:val="a7"/>
        <w:numPr>
          <w:ilvl w:val="0"/>
          <w:numId w:val="9"/>
        </w:numPr>
        <w:tabs>
          <w:tab w:val="clear" w:pos="4153"/>
          <w:tab w:val="clear" w:pos="8306"/>
          <w:tab w:val="left" w:pos="426"/>
        </w:tabs>
        <w:spacing w:after="120"/>
        <w:rPr>
          <w:rFonts w:cs="Arial"/>
          <w:szCs w:val="22"/>
          <w:lang w:val="en-GB"/>
        </w:rPr>
      </w:pPr>
      <w:r w:rsidRPr="0043408F">
        <w:rPr>
          <w:rFonts w:cs="Arial"/>
          <w:szCs w:val="22"/>
          <w:lang w:val="en-GB"/>
        </w:rPr>
        <w:t xml:space="preserve">Additionally, USAID Kazakhstan Small Business Development Project aims to: a) </w:t>
      </w:r>
      <w:r w:rsidR="00A70B06">
        <w:rPr>
          <w:rFonts w:cs="Arial"/>
          <w:szCs w:val="22"/>
          <w:lang w:val="en-GB"/>
        </w:rPr>
        <w:t>i</w:t>
      </w:r>
      <w:r w:rsidRPr="0043408F">
        <w:rPr>
          <w:rFonts w:cs="Arial"/>
          <w:szCs w:val="22"/>
          <w:lang w:val="en-GB"/>
        </w:rPr>
        <w:t>ncrease the Government of Kazakhstan’s knowledge of international best practices and lessons learned in implementing SME support programs</w:t>
      </w:r>
      <w:r w:rsidR="00A70B06">
        <w:rPr>
          <w:rFonts w:cs="Arial"/>
          <w:szCs w:val="22"/>
          <w:lang w:val="en-GB"/>
        </w:rPr>
        <w:t>;</w:t>
      </w:r>
      <w:r w:rsidRPr="0043408F">
        <w:rPr>
          <w:rFonts w:cs="Arial"/>
          <w:szCs w:val="22"/>
          <w:lang w:val="en-GB"/>
        </w:rPr>
        <w:t xml:space="preserve"> b) </w:t>
      </w:r>
      <w:r w:rsidR="00A70B06">
        <w:rPr>
          <w:rFonts w:cs="Arial"/>
          <w:szCs w:val="22"/>
          <w:lang w:val="en-GB"/>
        </w:rPr>
        <w:t>t</w:t>
      </w:r>
      <w:r w:rsidRPr="0043408F">
        <w:rPr>
          <w:rFonts w:cs="Arial"/>
          <w:szCs w:val="22"/>
          <w:lang w:val="en-GB"/>
        </w:rPr>
        <w:t>ransfer capacity to the Government of Kazakhstan and indigenous institutions, both public and private sector, to manage and evaluate entrepreneurship development programs</w:t>
      </w:r>
      <w:r w:rsidR="00A70B06">
        <w:rPr>
          <w:rFonts w:cs="Arial"/>
          <w:szCs w:val="22"/>
          <w:lang w:val="en-GB"/>
        </w:rPr>
        <w:t>;</w:t>
      </w:r>
      <w:r w:rsidRPr="0043408F">
        <w:rPr>
          <w:rFonts w:cs="Arial"/>
          <w:szCs w:val="22"/>
          <w:lang w:val="en-GB"/>
        </w:rPr>
        <w:t xml:space="preserve"> and c) </w:t>
      </w:r>
      <w:r w:rsidR="00A70B06">
        <w:rPr>
          <w:rFonts w:cs="Arial"/>
          <w:szCs w:val="22"/>
          <w:lang w:val="en-GB"/>
        </w:rPr>
        <w:t>p</w:t>
      </w:r>
      <w:r w:rsidRPr="0043408F">
        <w:rPr>
          <w:rFonts w:cs="Arial"/>
          <w:szCs w:val="22"/>
          <w:lang w:val="en-GB"/>
        </w:rPr>
        <w:t>romote a sound development of a network of small business service providers to foster growth of SMEs</w:t>
      </w:r>
      <w:r w:rsidR="00503EA8">
        <w:rPr>
          <w:rFonts w:cs="Arial"/>
          <w:szCs w:val="22"/>
          <w:lang w:val="en-GB"/>
        </w:rPr>
        <w:t>.</w:t>
      </w:r>
    </w:p>
    <w:p w14:paraId="22295E05" w14:textId="77777777" w:rsidR="002A5829" w:rsidRPr="001E5CB1" w:rsidRDefault="002A5829" w:rsidP="0020322F">
      <w:pPr>
        <w:pStyle w:val="a7"/>
        <w:numPr>
          <w:ilvl w:val="0"/>
          <w:numId w:val="9"/>
        </w:numPr>
        <w:tabs>
          <w:tab w:val="clear" w:pos="4153"/>
          <w:tab w:val="clear" w:pos="8306"/>
          <w:tab w:val="left" w:pos="426"/>
        </w:tabs>
        <w:spacing w:after="120"/>
        <w:rPr>
          <w:rFonts w:cs="Arial"/>
          <w:szCs w:val="22"/>
          <w:lang w:val="en-GB"/>
        </w:rPr>
      </w:pPr>
      <w:r w:rsidRPr="001E5CB1">
        <w:rPr>
          <w:rFonts w:cs="Arial"/>
          <w:szCs w:val="22"/>
          <w:lang w:val="en-GB"/>
        </w:rPr>
        <w:t>IFC</w:t>
      </w:r>
      <w:r w:rsidR="00A70B06">
        <w:rPr>
          <w:rFonts w:cs="Arial"/>
          <w:szCs w:val="22"/>
          <w:lang w:val="en-GB"/>
        </w:rPr>
        <w:t>’s</w:t>
      </w:r>
      <w:r w:rsidRPr="001E5CB1">
        <w:rPr>
          <w:rFonts w:cs="Arial"/>
          <w:szCs w:val="22"/>
          <w:lang w:val="en-GB"/>
        </w:rPr>
        <w:t xml:space="preserve"> Clean Energy Infrastructure Program in Central Asia and South Caucasus works in the following areas:</w:t>
      </w:r>
    </w:p>
    <w:p w14:paraId="2808B3F8" w14:textId="77777777" w:rsidR="002A5829" w:rsidRPr="006E404E" w:rsidRDefault="002A5829" w:rsidP="0020322F">
      <w:pPr>
        <w:pStyle w:val="Normalbullets"/>
        <w:numPr>
          <w:ilvl w:val="0"/>
          <w:numId w:val="49"/>
        </w:numPr>
        <w:contextualSpacing/>
        <w:rPr>
          <w:rFonts w:cs="Arial"/>
          <w:szCs w:val="22"/>
          <w:lang w:eastAsia="ko-KR"/>
        </w:rPr>
      </w:pPr>
      <w:r w:rsidRPr="006E404E">
        <w:rPr>
          <w:rFonts w:cs="Arial"/>
          <w:szCs w:val="22"/>
          <w:lang w:eastAsia="ko-KR"/>
        </w:rPr>
        <w:t>Governments</w:t>
      </w:r>
      <w:r w:rsidR="00503EA8" w:rsidRPr="006E404E">
        <w:rPr>
          <w:rFonts w:cs="Arial"/>
          <w:szCs w:val="22"/>
          <w:lang w:eastAsia="ko-KR"/>
        </w:rPr>
        <w:t xml:space="preserve">: </w:t>
      </w:r>
      <w:r w:rsidRPr="006E404E">
        <w:rPr>
          <w:rFonts w:cs="Arial"/>
          <w:szCs w:val="22"/>
          <w:lang w:eastAsia="ko-KR"/>
        </w:rPr>
        <w:t xml:space="preserve">Support on regulatory reforms needed to develop bankable projects in renewable energy; district heating; power plant rehabilitation and T&amp;D. </w:t>
      </w:r>
      <w:r w:rsidR="00A70B06" w:rsidRPr="006E404E">
        <w:rPr>
          <w:rFonts w:cs="Arial"/>
          <w:szCs w:val="22"/>
          <w:lang w:eastAsia="ko-KR"/>
        </w:rPr>
        <w:t>W</w:t>
      </w:r>
      <w:r w:rsidRPr="006E404E">
        <w:rPr>
          <w:rFonts w:cs="Arial"/>
          <w:szCs w:val="22"/>
          <w:lang w:eastAsia="ko-KR"/>
        </w:rPr>
        <w:t>ork focuses on issues as close to project as possible: permitting, licensing, PPAs, structuring private participation through PPP</w:t>
      </w:r>
      <w:r w:rsidR="00207993" w:rsidRPr="006E404E">
        <w:rPr>
          <w:rFonts w:cs="Arial"/>
          <w:szCs w:val="22"/>
          <w:lang w:eastAsia="ko-KR"/>
        </w:rPr>
        <w:t>,</w:t>
      </w:r>
      <w:r w:rsidRPr="006E404E">
        <w:rPr>
          <w:rFonts w:cs="Arial"/>
          <w:szCs w:val="22"/>
          <w:lang w:eastAsia="ko-KR"/>
        </w:rPr>
        <w:t xml:space="preserve"> etc.</w:t>
      </w:r>
    </w:p>
    <w:p w14:paraId="70ECF5E0" w14:textId="77777777" w:rsidR="002A5829" w:rsidRPr="006E404E" w:rsidRDefault="002A5829" w:rsidP="0020322F">
      <w:pPr>
        <w:pStyle w:val="Normalbullets"/>
        <w:numPr>
          <w:ilvl w:val="0"/>
          <w:numId w:val="49"/>
        </w:numPr>
        <w:contextualSpacing/>
        <w:rPr>
          <w:rFonts w:cs="Arial"/>
          <w:szCs w:val="22"/>
          <w:lang w:eastAsia="ko-KR"/>
        </w:rPr>
      </w:pPr>
      <w:r w:rsidRPr="006E404E">
        <w:rPr>
          <w:rFonts w:cs="Arial"/>
          <w:szCs w:val="22"/>
          <w:lang w:eastAsia="ko-KR"/>
        </w:rPr>
        <w:t>Distribution Utilities</w:t>
      </w:r>
      <w:r w:rsidR="00503EA8" w:rsidRPr="006E404E">
        <w:rPr>
          <w:rFonts w:cs="Arial"/>
          <w:szCs w:val="22"/>
          <w:lang w:eastAsia="ko-KR"/>
        </w:rPr>
        <w:t xml:space="preserve">: </w:t>
      </w:r>
      <w:r w:rsidRPr="006E404E">
        <w:rPr>
          <w:rFonts w:cs="Arial"/>
          <w:szCs w:val="22"/>
          <w:lang w:eastAsia="ko-KR"/>
        </w:rPr>
        <w:t xml:space="preserve">Support with system assessment to identify measures to reduce technical and commercial energy losses, and develop a program to prioritize capital investment. </w:t>
      </w:r>
    </w:p>
    <w:p w14:paraId="4DA188D6" w14:textId="77777777" w:rsidR="0004072C" w:rsidRPr="006E404E" w:rsidRDefault="002A5829" w:rsidP="0020322F">
      <w:pPr>
        <w:pStyle w:val="Normalbullets"/>
        <w:numPr>
          <w:ilvl w:val="0"/>
          <w:numId w:val="49"/>
        </w:numPr>
        <w:contextualSpacing/>
        <w:rPr>
          <w:rFonts w:cs="Arial"/>
          <w:szCs w:val="22"/>
          <w:lang w:eastAsia="ko-KR"/>
        </w:rPr>
      </w:pPr>
      <w:r w:rsidRPr="006E404E">
        <w:rPr>
          <w:rFonts w:cs="Arial"/>
          <w:szCs w:val="22"/>
          <w:lang w:eastAsia="ko-KR"/>
        </w:rPr>
        <w:t>IPPs: help to better structure projects to obtain financing.</w:t>
      </w:r>
    </w:p>
    <w:p w14:paraId="490B5A53" w14:textId="77777777" w:rsidR="002A5829" w:rsidRPr="006E404E" w:rsidRDefault="0004072C" w:rsidP="006E404E">
      <w:pPr>
        <w:pStyle w:val="a7"/>
        <w:tabs>
          <w:tab w:val="clear" w:pos="4153"/>
          <w:tab w:val="clear" w:pos="8306"/>
          <w:tab w:val="left" w:pos="426"/>
        </w:tabs>
        <w:spacing w:after="120"/>
        <w:ind w:left="360"/>
        <w:rPr>
          <w:rFonts w:cs="Arial"/>
          <w:szCs w:val="22"/>
          <w:lang w:val="en-GB"/>
        </w:rPr>
      </w:pPr>
      <w:r w:rsidRPr="001E5CB1">
        <w:rPr>
          <w:rFonts w:cs="Arial"/>
          <w:szCs w:val="22"/>
          <w:lang w:val="en-GB"/>
        </w:rPr>
        <w:t>IFC</w:t>
      </w:r>
      <w:r>
        <w:rPr>
          <w:rFonts w:cs="Arial"/>
          <w:szCs w:val="22"/>
          <w:lang w:val="en-GB"/>
        </w:rPr>
        <w:t>,</w:t>
      </w:r>
      <w:r w:rsidRPr="001E5CB1">
        <w:rPr>
          <w:rFonts w:cs="Arial"/>
          <w:szCs w:val="22"/>
          <w:lang w:val="en-GB"/>
        </w:rPr>
        <w:t xml:space="preserve"> in close collaboration with </w:t>
      </w:r>
      <w:r>
        <w:rPr>
          <w:rFonts w:cs="Arial"/>
          <w:szCs w:val="22"/>
          <w:lang w:val="en-GB"/>
        </w:rPr>
        <w:t xml:space="preserve">the </w:t>
      </w:r>
      <w:r w:rsidRPr="001E5CB1">
        <w:rPr>
          <w:rFonts w:cs="Arial"/>
          <w:szCs w:val="22"/>
          <w:lang w:val="en-GB"/>
        </w:rPr>
        <w:t>EBRD</w:t>
      </w:r>
      <w:r>
        <w:rPr>
          <w:rFonts w:cs="Arial"/>
          <w:szCs w:val="22"/>
          <w:lang w:val="en-GB"/>
        </w:rPr>
        <w:t>,</w:t>
      </w:r>
      <w:r w:rsidRPr="001E5CB1">
        <w:rPr>
          <w:rFonts w:cs="Arial"/>
          <w:szCs w:val="22"/>
          <w:lang w:val="en-GB"/>
        </w:rPr>
        <w:t xml:space="preserve"> has been providing ad-hoc assistance to the Ministry of Energy to improve the support framework for </w:t>
      </w:r>
      <w:r>
        <w:rPr>
          <w:rFonts w:cs="Arial"/>
          <w:szCs w:val="22"/>
          <w:lang w:val="en-GB"/>
        </w:rPr>
        <w:t>renewable energy</w:t>
      </w:r>
      <w:r w:rsidRPr="001E5CB1">
        <w:rPr>
          <w:rFonts w:cs="Arial"/>
          <w:szCs w:val="22"/>
          <w:lang w:val="en-GB"/>
        </w:rPr>
        <w:t xml:space="preserve">, in particular focusing on issues of projects’ bankability: refinements to the </w:t>
      </w:r>
      <w:r>
        <w:rPr>
          <w:rFonts w:cs="Arial"/>
          <w:szCs w:val="22"/>
          <w:lang w:val="en-GB"/>
        </w:rPr>
        <w:t>renewable energy</w:t>
      </w:r>
      <w:r w:rsidRPr="001E5CB1">
        <w:rPr>
          <w:rFonts w:cs="Arial"/>
          <w:szCs w:val="22"/>
          <w:lang w:val="en-GB"/>
        </w:rPr>
        <w:t xml:space="preserve"> regulations; establishment of a clearing house for </w:t>
      </w:r>
      <w:r>
        <w:rPr>
          <w:rFonts w:cs="Arial"/>
          <w:szCs w:val="22"/>
          <w:lang w:val="en-GB"/>
        </w:rPr>
        <w:t>renewable</w:t>
      </w:r>
      <w:r w:rsidRPr="001E5CB1">
        <w:rPr>
          <w:rFonts w:cs="Arial"/>
          <w:szCs w:val="22"/>
          <w:lang w:val="en-GB"/>
        </w:rPr>
        <w:t xml:space="preserve"> energy purchase/sale; resolving grid integration issues for </w:t>
      </w:r>
      <w:r>
        <w:rPr>
          <w:rFonts w:cs="Arial"/>
          <w:szCs w:val="22"/>
          <w:lang w:val="en-GB"/>
        </w:rPr>
        <w:t>renewable energy</w:t>
      </w:r>
      <w:r w:rsidRPr="001E5CB1">
        <w:rPr>
          <w:rFonts w:cs="Arial"/>
          <w:szCs w:val="22"/>
          <w:lang w:val="en-GB"/>
        </w:rPr>
        <w:t xml:space="preserve"> projects; </w:t>
      </w:r>
      <w:r>
        <w:rPr>
          <w:rFonts w:cs="Arial"/>
          <w:szCs w:val="22"/>
          <w:lang w:val="en-GB"/>
        </w:rPr>
        <w:t>and i</w:t>
      </w:r>
      <w:r w:rsidRPr="001E5CB1">
        <w:rPr>
          <w:rFonts w:cs="Arial"/>
          <w:szCs w:val="22"/>
          <w:lang w:val="en-GB"/>
        </w:rPr>
        <w:t xml:space="preserve">dentifying training for the System Operator KEGOC. </w:t>
      </w:r>
      <w:r w:rsidR="002A5829" w:rsidRPr="006E404E">
        <w:rPr>
          <w:rFonts w:cs="Arial"/>
          <w:szCs w:val="22"/>
          <w:lang w:val="en-GB"/>
        </w:rPr>
        <w:t xml:space="preserve"> </w:t>
      </w:r>
    </w:p>
    <w:p w14:paraId="53950129" w14:textId="77777777" w:rsidR="002C62A5" w:rsidRPr="002C62A5" w:rsidRDefault="0004072C" w:rsidP="0020322F">
      <w:pPr>
        <w:pStyle w:val="a7"/>
        <w:numPr>
          <w:ilvl w:val="0"/>
          <w:numId w:val="9"/>
        </w:numPr>
        <w:tabs>
          <w:tab w:val="clear" w:pos="4153"/>
          <w:tab w:val="clear" w:pos="8306"/>
          <w:tab w:val="left" w:pos="426"/>
        </w:tabs>
        <w:spacing w:after="120"/>
        <w:rPr>
          <w:rFonts w:cs="Arial"/>
          <w:szCs w:val="22"/>
          <w:lang w:val="en-GB"/>
        </w:rPr>
      </w:pPr>
      <w:r>
        <w:rPr>
          <w:rFonts w:cs="Arial"/>
          <w:szCs w:val="22"/>
          <w:lang w:val="en-GB"/>
        </w:rPr>
        <w:t>The ADB has recently (November 2016) engaged in technical assistance in the utility-scale renewable energy sector, and has engaged consultants to assess technical options for auction</w:t>
      </w:r>
      <w:r w:rsidR="009E7C56">
        <w:rPr>
          <w:rFonts w:cs="Arial"/>
          <w:szCs w:val="22"/>
          <w:lang w:val="en-GB"/>
        </w:rPr>
        <w:t>ing and/or</w:t>
      </w:r>
      <w:r>
        <w:rPr>
          <w:rFonts w:cs="Arial"/>
          <w:szCs w:val="22"/>
          <w:lang w:val="en-GB"/>
        </w:rPr>
        <w:t xml:space="preserve"> tendering of </w:t>
      </w:r>
      <w:r w:rsidR="009E7C56">
        <w:rPr>
          <w:rFonts w:cs="Arial"/>
          <w:szCs w:val="22"/>
          <w:lang w:val="en-GB"/>
        </w:rPr>
        <w:t>renewable capacity</w:t>
      </w:r>
      <w:r>
        <w:rPr>
          <w:rFonts w:cs="Arial"/>
          <w:szCs w:val="22"/>
          <w:lang w:val="en-GB"/>
        </w:rPr>
        <w:t xml:space="preserve">. </w:t>
      </w:r>
    </w:p>
    <w:p w14:paraId="165A6806" w14:textId="189FA364" w:rsidR="00A7241D" w:rsidRPr="006004D1" w:rsidRDefault="00A70B06" w:rsidP="0020322F">
      <w:pPr>
        <w:pStyle w:val="a7"/>
        <w:numPr>
          <w:ilvl w:val="0"/>
          <w:numId w:val="9"/>
        </w:numPr>
        <w:tabs>
          <w:tab w:val="clear" w:pos="4153"/>
          <w:tab w:val="clear" w:pos="8306"/>
          <w:tab w:val="left" w:pos="426"/>
        </w:tabs>
        <w:spacing w:after="120"/>
        <w:rPr>
          <w:rFonts w:cs="Segoe UI"/>
          <w:color w:val="000000"/>
          <w:szCs w:val="20"/>
        </w:rPr>
      </w:pPr>
      <w:r>
        <w:rPr>
          <w:rFonts w:cs="Arial"/>
          <w:szCs w:val="22"/>
          <w:lang w:val="en-GB"/>
        </w:rPr>
        <w:t>O</w:t>
      </w:r>
      <w:r w:rsidR="002C62A5">
        <w:rPr>
          <w:rFonts w:cs="Arial"/>
          <w:szCs w:val="22"/>
          <w:lang w:val="en-GB"/>
        </w:rPr>
        <w:t xml:space="preserve">ther </w:t>
      </w:r>
      <w:r w:rsidR="003E0F38">
        <w:rPr>
          <w:rFonts w:cs="Arial"/>
          <w:szCs w:val="22"/>
          <w:lang w:val="en-GB"/>
        </w:rPr>
        <w:t>key partn</w:t>
      </w:r>
      <w:r w:rsidR="0043408F">
        <w:rPr>
          <w:rFonts w:cs="Arial"/>
          <w:szCs w:val="22"/>
          <w:lang w:val="en-GB"/>
        </w:rPr>
        <w:t xml:space="preserve">ers and their relevance </w:t>
      </w:r>
      <w:r>
        <w:rPr>
          <w:rFonts w:cs="Arial"/>
          <w:szCs w:val="22"/>
          <w:lang w:val="en-GB"/>
        </w:rPr>
        <w:t xml:space="preserve">for this project </w:t>
      </w:r>
      <w:r w:rsidR="0043408F">
        <w:rPr>
          <w:rFonts w:cs="Arial"/>
          <w:szCs w:val="22"/>
          <w:lang w:val="en-GB"/>
        </w:rPr>
        <w:t>are listed in</w:t>
      </w:r>
      <w:r w:rsidR="000E5D08">
        <w:rPr>
          <w:rFonts w:cs="Arial"/>
          <w:szCs w:val="22"/>
          <w:lang w:val="en-GB"/>
        </w:rPr>
        <w:t xml:space="preserve"> </w:t>
      </w:r>
      <w:r w:rsidR="0073732A">
        <w:rPr>
          <w:rFonts w:cs="Arial"/>
          <w:szCs w:val="22"/>
          <w:lang w:val="en-GB"/>
        </w:rPr>
        <w:fldChar w:fldCharType="begin"/>
      </w:r>
      <w:r w:rsidR="0073732A">
        <w:rPr>
          <w:rFonts w:cs="Arial"/>
          <w:szCs w:val="22"/>
          <w:lang w:val="en-GB"/>
        </w:rPr>
        <w:instrText xml:space="preserve"> REF _Ref337734853 \h </w:instrText>
      </w:r>
      <w:r w:rsidR="0073732A">
        <w:rPr>
          <w:rFonts w:cs="Arial"/>
          <w:szCs w:val="22"/>
          <w:lang w:val="en-GB"/>
        </w:rPr>
      </w:r>
      <w:r w:rsidR="0073732A">
        <w:rPr>
          <w:rFonts w:cs="Arial"/>
          <w:szCs w:val="22"/>
          <w:lang w:val="en-GB"/>
        </w:rPr>
        <w:fldChar w:fldCharType="separate"/>
      </w:r>
      <w:r w:rsidR="00921873" w:rsidRPr="004622EC">
        <w:rPr>
          <w:rFonts w:asciiTheme="majorHAnsi" w:hAnsiTheme="majorHAnsi"/>
        </w:rPr>
        <w:t xml:space="preserve">Annex </w:t>
      </w:r>
      <w:r w:rsidR="00921873">
        <w:rPr>
          <w:rFonts w:asciiTheme="majorHAnsi" w:hAnsiTheme="majorHAnsi"/>
        </w:rPr>
        <w:t>N</w:t>
      </w:r>
      <w:r w:rsidR="00921873" w:rsidRPr="004622EC">
        <w:rPr>
          <w:rFonts w:asciiTheme="majorHAnsi" w:hAnsiTheme="majorHAnsi"/>
        </w:rPr>
        <w:t xml:space="preserve">. Stakeholder </w:t>
      </w:r>
      <w:r w:rsidR="00921873">
        <w:rPr>
          <w:rFonts w:asciiTheme="majorHAnsi" w:hAnsiTheme="majorHAnsi"/>
        </w:rPr>
        <w:t>A</w:t>
      </w:r>
      <w:r w:rsidR="00921873" w:rsidRPr="004622EC">
        <w:rPr>
          <w:rFonts w:asciiTheme="majorHAnsi" w:hAnsiTheme="majorHAnsi"/>
        </w:rPr>
        <w:t>nalysis</w:t>
      </w:r>
      <w:r w:rsidR="0073732A">
        <w:rPr>
          <w:rFonts w:cs="Arial"/>
          <w:szCs w:val="22"/>
          <w:lang w:val="en-GB"/>
        </w:rPr>
        <w:fldChar w:fldCharType="end"/>
      </w:r>
      <w:r w:rsidR="0073732A">
        <w:rPr>
          <w:rFonts w:cs="Arial"/>
          <w:szCs w:val="22"/>
          <w:lang w:val="en-GB"/>
        </w:rPr>
        <w:t>.</w:t>
      </w:r>
    </w:p>
    <w:p w14:paraId="255577C3" w14:textId="77777777" w:rsidR="00393350" w:rsidRPr="004622EC" w:rsidRDefault="00A572FB" w:rsidP="00CA6A37">
      <w:pPr>
        <w:pStyle w:val="afb"/>
        <w:keepNext/>
        <w:keepLines/>
        <w:numPr>
          <w:ilvl w:val="0"/>
          <w:numId w:val="5"/>
        </w:numPr>
        <w:spacing w:before="240" w:after="120"/>
        <w:rPr>
          <w:b/>
          <w:i/>
          <w:szCs w:val="20"/>
        </w:rPr>
      </w:pPr>
      <w:r w:rsidRPr="004622EC">
        <w:rPr>
          <w:rFonts w:ascii="Calibri" w:hAnsi="Calibri"/>
          <w:b/>
          <w:i/>
          <w:szCs w:val="20"/>
        </w:rPr>
        <w:t>Stakeholder engagement</w:t>
      </w:r>
    </w:p>
    <w:p w14:paraId="5AE0358D" w14:textId="77777777" w:rsidR="00A70B06" w:rsidRPr="000E17F6" w:rsidRDefault="00FC3BA7" w:rsidP="0020322F">
      <w:pPr>
        <w:pStyle w:val="a7"/>
        <w:numPr>
          <w:ilvl w:val="0"/>
          <w:numId w:val="9"/>
        </w:numPr>
        <w:tabs>
          <w:tab w:val="clear" w:pos="4153"/>
          <w:tab w:val="clear" w:pos="8306"/>
          <w:tab w:val="left" w:pos="426"/>
        </w:tabs>
        <w:spacing w:after="120"/>
        <w:rPr>
          <w:rFonts w:cs="Arial"/>
          <w:szCs w:val="22"/>
          <w:lang w:val="en-GB"/>
        </w:rPr>
      </w:pPr>
      <w:r w:rsidRPr="004622EC">
        <w:rPr>
          <w:rFonts w:cs="Arial"/>
          <w:szCs w:val="22"/>
          <w:lang w:val="en-GB"/>
        </w:rPr>
        <w:t>At the national level, the project management team will build on the stakeholder consultation process that include</w:t>
      </w:r>
      <w:r w:rsidR="0087140D">
        <w:rPr>
          <w:rFonts w:cs="Arial"/>
          <w:szCs w:val="22"/>
          <w:lang w:val="en-GB"/>
        </w:rPr>
        <w:t>s</w:t>
      </w:r>
      <w:r w:rsidRPr="004622EC">
        <w:rPr>
          <w:rFonts w:cs="Arial"/>
          <w:szCs w:val="22"/>
          <w:lang w:val="en-GB"/>
        </w:rPr>
        <w:t xml:space="preserve"> the inception workshop and other bi-lateral meetings. A broader consultation with a range of stakeholders will be held under the leadership of the </w:t>
      </w:r>
      <w:r w:rsidR="0045579D" w:rsidRPr="004622EC">
        <w:rPr>
          <w:rFonts w:cs="Arial"/>
          <w:szCs w:val="22"/>
          <w:lang w:val="en-GB"/>
        </w:rPr>
        <w:t xml:space="preserve">Ministry of Energy to design policy and financing derisking instruments for large and small-scale renewable energy developments. The consultation will be arranged via the Working groups </w:t>
      </w:r>
      <w:r w:rsidR="00D61A75" w:rsidRPr="004622EC">
        <w:rPr>
          <w:rFonts w:cs="Arial"/>
          <w:szCs w:val="22"/>
          <w:lang w:val="en-GB"/>
        </w:rPr>
        <w:t xml:space="preserve">set up under the </w:t>
      </w:r>
      <w:r w:rsidR="00E65015" w:rsidRPr="004622EC">
        <w:rPr>
          <w:rFonts w:cs="Arial"/>
          <w:szCs w:val="22"/>
          <w:lang w:val="en-GB"/>
        </w:rPr>
        <w:t xml:space="preserve">Project </w:t>
      </w:r>
      <w:r w:rsidR="00293CFB" w:rsidRPr="004622EC">
        <w:rPr>
          <w:rFonts w:cs="Arial"/>
          <w:szCs w:val="22"/>
          <w:lang w:val="en-GB"/>
        </w:rPr>
        <w:t>Management</w:t>
      </w:r>
      <w:r w:rsidR="00D61A75" w:rsidRPr="004622EC">
        <w:rPr>
          <w:rFonts w:cs="Arial"/>
          <w:szCs w:val="22"/>
          <w:lang w:val="en-GB"/>
        </w:rPr>
        <w:t xml:space="preserve"> Unit</w:t>
      </w:r>
      <w:r w:rsidR="00A022E0" w:rsidRPr="004622EC">
        <w:rPr>
          <w:rFonts w:cs="Arial"/>
          <w:szCs w:val="22"/>
          <w:lang w:val="en-GB"/>
        </w:rPr>
        <w:t xml:space="preserve"> (</w:t>
      </w:r>
      <w:r w:rsidR="0087140D" w:rsidRPr="004622EC">
        <w:rPr>
          <w:rFonts w:cs="Arial"/>
          <w:szCs w:val="22"/>
          <w:lang w:val="en-GB"/>
        </w:rPr>
        <w:fldChar w:fldCharType="begin"/>
      </w:r>
      <w:r w:rsidR="0087140D" w:rsidRPr="004622EC">
        <w:rPr>
          <w:rFonts w:cs="Arial"/>
          <w:szCs w:val="22"/>
          <w:lang w:val="en-GB"/>
        </w:rPr>
        <w:instrText xml:space="preserve"> REF _Ref464114287 \h </w:instrText>
      </w:r>
      <w:r w:rsidR="0087140D">
        <w:rPr>
          <w:rFonts w:cs="Arial"/>
          <w:szCs w:val="22"/>
          <w:lang w:val="en-GB"/>
        </w:rPr>
        <w:instrText xml:space="preserve"> \* MERGEFORMAT </w:instrText>
      </w:r>
      <w:r w:rsidR="0087140D" w:rsidRPr="004622EC">
        <w:rPr>
          <w:rFonts w:cs="Arial"/>
          <w:szCs w:val="22"/>
          <w:lang w:val="en-GB"/>
        </w:rPr>
      </w:r>
      <w:r w:rsidR="0087140D" w:rsidRPr="004622EC">
        <w:rPr>
          <w:rFonts w:cs="Arial"/>
          <w:szCs w:val="22"/>
          <w:lang w:val="en-GB"/>
        </w:rPr>
        <w:fldChar w:fldCharType="separate"/>
      </w:r>
      <w:r w:rsidR="00921873" w:rsidRPr="00921873">
        <w:rPr>
          <w:szCs w:val="22"/>
        </w:rPr>
        <w:t xml:space="preserve">Figure </w:t>
      </w:r>
      <w:r w:rsidR="00921873" w:rsidRPr="00921873">
        <w:rPr>
          <w:noProof/>
          <w:szCs w:val="22"/>
        </w:rPr>
        <w:t>11</w:t>
      </w:r>
      <w:r w:rsidR="0087140D" w:rsidRPr="004622EC">
        <w:rPr>
          <w:rFonts w:cs="Arial"/>
          <w:szCs w:val="22"/>
          <w:lang w:val="en-GB"/>
        </w:rPr>
        <w:fldChar w:fldCharType="end"/>
      </w:r>
      <w:r w:rsidR="0087140D" w:rsidRPr="004622EC">
        <w:rPr>
          <w:rFonts w:cs="Arial"/>
          <w:szCs w:val="22"/>
          <w:lang w:val="en-GB"/>
        </w:rPr>
        <w:t>).</w:t>
      </w:r>
    </w:p>
    <w:p w14:paraId="66734786" w14:textId="77777777" w:rsidR="00F84144" w:rsidRPr="0045579D" w:rsidRDefault="00FC3BA7" w:rsidP="0020322F">
      <w:pPr>
        <w:pStyle w:val="a7"/>
        <w:numPr>
          <w:ilvl w:val="0"/>
          <w:numId w:val="9"/>
        </w:numPr>
        <w:tabs>
          <w:tab w:val="clear" w:pos="4153"/>
          <w:tab w:val="clear" w:pos="8306"/>
          <w:tab w:val="left" w:pos="426"/>
        </w:tabs>
        <w:spacing w:after="120"/>
        <w:rPr>
          <w:rFonts w:cs="Arial"/>
          <w:szCs w:val="22"/>
          <w:lang w:val="en-GB"/>
        </w:rPr>
      </w:pPr>
      <w:r w:rsidRPr="00FC3BA7">
        <w:rPr>
          <w:rFonts w:cs="Arial"/>
          <w:szCs w:val="22"/>
          <w:lang w:val="en-GB"/>
        </w:rPr>
        <w:t xml:space="preserve">At the local level, </w:t>
      </w:r>
      <w:r w:rsidRPr="0045579D">
        <w:rPr>
          <w:rFonts w:cs="Arial"/>
          <w:szCs w:val="22"/>
          <w:lang w:val="en-GB"/>
        </w:rPr>
        <w:t>stakeholders will be engaged through the UNDP</w:t>
      </w:r>
      <w:r w:rsidR="0045579D">
        <w:rPr>
          <w:rFonts w:cs="Arial"/>
          <w:szCs w:val="22"/>
          <w:lang w:val="en-GB"/>
        </w:rPr>
        <w:t>’</w:t>
      </w:r>
      <w:r w:rsidRPr="0045579D">
        <w:rPr>
          <w:rFonts w:cs="Arial"/>
          <w:szCs w:val="22"/>
          <w:lang w:val="en-GB"/>
        </w:rPr>
        <w:t>s standard st</w:t>
      </w:r>
      <w:r w:rsidR="0045579D">
        <w:rPr>
          <w:rFonts w:cs="Arial"/>
          <w:szCs w:val="22"/>
          <w:lang w:val="en-GB"/>
        </w:rPr>
        <w:t>akeholder engagement processes. T</w:t>
      </w:r>
      <w:r w:rsidRPr="0045579D">
        <w:rPr>
          <w:rFonts w:cs="Arial"/>
          <w:szCs w:val="22"/>
          <w:lang w:val="en-GB"/>
        </w:rPr>
        <w:t xml:space="preserve">he project management team and </w:t>
      </w:r>
      <w:r w:rsidR="00A022E0">
        <w:rPr>
          <w:rFonts w:cs="Arial"/>
          <w:szCs w:val="22"/>
          <w:lang w:val="en-GB"/>
        </w:rPr>
        <w:t>Ministry of Energy</w:t>
      </w:r>
      <w:r w:rsidR="00A022E0" w:rsidRPr="0045579D">
        <w:rPr>
          <w:rFonts w:cs="Arial"/>
          <w:szCs w:val="22"/>
          <w:lang w:val="en-GB"/>
        </w:rPr>
        <w:t xml:space="preserve"> </w:t>
      </w:r>
      <w:r w:rsidRPr="0045579D">
        <w:rPr>
          <w:rFonts w:cs="Arial"/>
          <w:szCs w:val="22"/>
          <w:lang w:val="en-GB"/>
        </w:rPr>
        <w:t>will continue to work closely with key project stakeholders such as</w:t>
      </w:r>
      <w:r w:rsidR="0045579D">
        <w:rPr>
          <w:rFonts w:cs="Arial"/>
          <w:szCs w:val="22"/>
          <w:lang w:val="en-GB"/>
        </w:rPr>
        <w:t xml:space="preserve"> </w:t>
      </w:r>
      <w:r w:rsidRPr="0045579D">
        <w:rPr>
          <w:rFonts w:cs="Arial"/>
          <w:szCs w:val="22"/>
          <w:lang w:val="en-GB"/>
        </w:rPr>
        <w:t>project sponsors, co-financing institutions</w:t>
      </w:r>
      <w:r w:rsidR="0045579D">
        <w:rPr>
          <w:rFonts w:cs="Arial"/>
          <w:szCs w:val="22"/>
          <w:lang w:val="en-GB"/>
        </w:rPr>
        <w:t xml:space="preserve">, </w:t>
      </w:r>
      <w:r w:rsidRPr="0045579D">
        <w:rPr>
          <w:rFonts w:cs="Arial"/>
          <w:szCs w:val="22"/>
          <w:lang w:val="en-GB"/>
        </w:rPr>
        <w:t xml:space="preserve">community-based organizations and relevant </w:t>
      </w:r>
      <w:r w:rsidR="0087140D">
        <w:rPr>
          <w:rFonts w:cs="Arial"/>
          <w:szCs w:val="22"/>
          <w:lang w:val="en-GB"/>
        </w:rPr>
        <w:t>NGOs</w:t>
      </w:r>
      <w:r w:rsidRPr="0045579D">
        <w:rPr>
          <w:rFonts w:cs="Arial"/>
          <w:szCs w:val="22"/>
          <w:lang w:val="en-GB"/>
        </w:rPr>
        <w:t xml:space="preserve">. </w:t>
      </w:r>
    </w:p>
    <w:p w14:paraId="6F8BCFB2" w14:textId="77777777" w:rsidR="00F84144" w:rsidRPr="006004D1" w:rsidRDefault="0045579D" w:rsidP="0020322F">
      <w:pPr>
        <w:pStyle w:val="a7"/>
        <w:numPr>
          <w:ilvl w:val="0"/>
          <w:numId w:val="9"/>
        </w:numPr>
        <w:tabs>
          <w:tab w:val="clear" w:pos="4153"/>
          <w:tab w:val="clear" w:pos="8306"/>
          <w:tab w:val="left" w:pos="426"/>
        </w:tabs>
        <w:spacing w:after="120"/>
        <w:rPr>
          <w:rFonts w:cs="Arial"/>
          <w:szCs w:val="22"/>
          <w:lang w:val="en-GB"/>
        </w:rPr>
      </w:pPr>
      <w:r>
        <w:rPr>
          <w:rFonts w:cs="Arial"/>
          <w:szCs w:val="22"/>
          <w:lang w:val="en-GB"/>
        </w:rPr>
        <w:t>The f</w:t>
      </w:r>
      <w:r w:rsidR="00F84144" w:rsidRPr="006004D1">
        <w:rPr>
          <w:rFonts w:cs="Arial"/>
          <w:szCs w:val="22"/>
          <w:lang w:val="en-GB"/>
        </w:rPr>
        <w:t>ollowing civil society</w:t>
      </w:r>
      <w:r>
        <w:rPr>
          <w:rFonts w:cs="Arial"/>
          <w:szCs w:val="22"/>
          <w:lang w:val="en-GB"/>
        </w:rPr>
        <w:t xml:space="preserve"> organisations</w:t>
      </w:r>
      <w:r w:rsidR="00F84144" w:rsidRPr="006004D1">
        <w:rPr>
          <w:rFonts w:cs="Arial"/>
          <w:szCs w:val="22"/>
          <w:lang w:val="en-GB"/>
        </w:rPr>
        <w:t xml:space="preserve"> will be closely involved in project </w:t>
      </w:r>
      <w:r w:rsidR="0043408F">
        <w:rPr>
          <w:rFonts w:cs="Arial"/>
          <w:szCs w:val="22"/>
          <w:lang w:val="en-GB"/>
        </w:rPr>
        <w:t>implementation</w:t>
      </w:r>
      <w:r w:rsidR="00F84144" w:rsidRPr="006004D1">
        <w:rPr>
          <w:rFonts w:cs="Arial"/>
          <w:szCs w:val="22"/>
          <w:lang w:val="en-GB"/>
        </w:rPr>
        <w:t>:</w:t>
      </w:r>
    </w:p>
    <w:p w14:paraId="61ABCEB5" w14:textId="77777777" w:rsidR="00F84144" w:rsidRPr="006E404E" w:rsidRDefault="00F84144" w:rsidP="0020322F">
      <w:pPr>
        <w:pStyle w:val="Normalbullets"/>
        <w:numPr>
          <w:ilvl w:val="0"/>
          <w:numId w:val="49"/>
        </w:numPr>
        <w:contextualSpacing/>
        <w:rPr>
          <w:rFonts w:cs="Arial"/>
          <w:szCs w:val="22"/>
          <w:lang w:eastAsia="ko-KR"/>
        </w:rPr>
      </w:pPr>
      <w:r w:rsidRPr="006E404E">
        <w:rPr>
          <w:rFonts w:cs="Arial"/>
          <w:szCs w:val="22"/>
          <w:lang w:eastAsia="ko-KR"/>
        </w:rPr>
        <w:t xml:space="preserve">Association of AAO (Building-level Associations of </w:t>
      </w:r>
      <w:r w:rsidR="00E52D04" w:rsidRPr="006E404E">
        <w:rPr>
          <w:rFonts w:cs="Arial"/>
          <w:szCs w:val="22"/>
          <w:lang w:eastAsia="ko-KR"/>
        </w:rPr>
        <w:t>Apartment</w:t>
      </w:r>
      <w:r w:rsidRPr="006E404E">
        <w:rPr>
          <w:rFonts w:cs="Arial"/>
          <w:szCs w:val="22"/>
          <w:lang w:eastAsia="ko-KR"/>
        </w:rPr>
        <w:t xml:space="preserve"> Owners and Tenants) will be involved in design of business and financial models for pilot projects under “RES for Urban Life” sub-component</w:t>
      </w:r>
      <w:r w:rsidR="0087140D" w:rsidRPr="006E404E">
        <w:rPr>
          <w:rFonts w:cs="Arial"/>
          <w:szCs w:val="22"/>
          <w:lang w:eastAsia="ko-KR"/>
        </w:rPr>
        <w:t>;</w:t>
      </w:r>
    </w:p>
    <w:p w14:paraId="1725D717" w14:textId="77777777" w:rsidR="00011104" w:rsidRPr="006E404E" w:rsidRDefault="00F84144" w:rsidP="0020322F">
      <w:pPr>
        <w:pStyle w:val="Normalbullets"/>
        <w:numPr>
          <w:ilvl w:val="0"/>
          <w:numId w:val="49"/>
        </w:numPr>
        <w:contextualSpacing/>
        <w:rPr>
          <w:rFonts w:cs="Arial"/>
          <w:szCs w:val="22"/>
          <w:lang w:eastAsia="ko-KR"/>
        </w:rPr>
      </w:pPr>
      <w:r w:rsidRPr="006E404E">
        <w:rPr>
          <w:rFonts w:cs="Arial"/>
          <w:szCs w:val="22"/>
          <w:lang w:eastAsia="ko-KR"/>
        </w:rPr>
        <w:t>Association of Farmers and Farming Cooperatives will be involved in design of business and financial models for pilot projects under “RES for Rural Life” sub-component</w:t>
      </w:r>
      <w:r w:rsidR="0087140D" w:rsidRPr="006E404E">
        <w:rPr>
          <w:rFonts w:cs="Arial"/>
          <w:szCs w:val="22"/>
          <w:lang w:eastAsia="ko-KR"/>
        </w:rPr>
        <w:t>;</w:t>
      </w:r>
    </w:p>
    <w:p w14:paraId="21B93EF6" w14:textId="77777777" w:rsidR="001F0F47" w:rsidRPr="006E404E" w:rsidRDefault="00011104" w:rsidP="0020322F">
      <w:pPr>
        <w:pStyle w:val="Normalbullets"/>
        <w:numPr>
          <w:ilvl w:val="0"/>
          <w:numId w:val="49"/>
        </w:numPr>
        <w:contextualSpacing/>
        <w:rPr>
          <w:rFonts w:cs="Arial"/>
          <w:szCs w:val="22"/>
          <w:lang w:eastAsia="ko-KR"/>
        </w:rPr>
      </w:pPr>
      <w:r w:rsidRPr="006E404E">
        <w:rPr>
          <w:rFonts w:cs="Arial"/>
          <w:szCs w:val="22"/>
          <w:lang w:eastAsia="ko-KR"/>
        </w:rPr>
        <w:t>RES Association is a non-profit organization amalgamating companies interested in the development of renewable energy in Kazakhstan. The company seeks to create comfortable conditions for development of green energy in Kazakhstan. RES Association will be involved in the activities related to large-scale developments under Component 1.</w:t>
      </w:r>
    </w:p>
    <w:p w14:paraId="5AB12048" w14:textId="77777777" w:rsidR="00F84144" w:rsidRDefault="00F84144" w:rsidP="0020322F">
      <w:pPr>
        <w:pStyle w:val="a7"/>
        <w:numPr>
          <w:ilvl w:val="0"/>
          <w:numId w:val="9"/>
        </w:numPr>
        <w:tabs>
          <w:tab w:val="clear" w:pos="4153"/>
          <w:tab w:val="clear" w:pos="8306"/>
          <w:tab w:val="left" w:pos="426"/>
        </w:tabs>
        <w:spacing w:after="120"/>
        <w:rPr>
          <w:rFonts w:cs="Arial"/>
          <w:szCs w:val="22"/>
          <w:lang w:val="en-GB"/>
        </w:rPr>
      </w:pPr>
      <w:r w:rsidRPr="006004D1">
        <w:rPr>
          <w:rFonts w:cs="Arial"/>
          <w:szCs w:val="22"/>
          <w:lang w:val="en-GB"/>
        </w:rPr>
        <w:t>The project will directly support indigenous communities of Kazakhs shepherds, living traditional nomadic or semi-nomadic lifestyle</w:t>
      </w:r>
      <w:r w:rsidR="0087140D">
        <w:rPr>
          <w:rFonts w:cs="Arial"/>
          <w:szCs w:val="22"/>
          <w:lang w:val="en-GB"/>
        </w:rPr>
        <w:t>s</w:t>
      </w:r>
      <w:r w:rsidRPr="006004D1">
        <w:rPr>
          <w:rFonts w:cs="Arial"/>
          <w:szCs w:val="22"/>
          <w:lang w:val="en-GB"/>
        </w:rPr>
        <w:t xml:space="preserve"> and therefore not being able to use and benefit from </w:t>
      </w:r>
      <w:r w:rsidR="0087140D">
        <w:rPr>
          <w:rFonts w:cs="Arial"/>
          <w:szCs w:val="22"/>
          <w:lang w:val="en-GB"/>
        </w:rPr>
        <w:t xml:space="preserve">a </w:t>
      </w:r>
      <w:r w:rsidRPr="006004D1">
        <w:rPr>
          <w:rFonts w:cs="Arial"/>
          <w:szCs w:val="22"/>
          <w:lang w:val="en-GB"/>
        </w:rPr>
        <w:t xml:space="preserve">centralized grid-connected energy supply system. The project will directly benefit “off-grid” indigenous communities by facilitating their access to sustainable and </w:t>
      </w:r>
      <w:r w:rsidR="0087140D">
        <w:rPr>
          <w:rFonts w:cs="Arial"/>
          <w:szCs w:val="22"/>
          <w:lang w:val="en-GB"/>
        </w:rPr>
        <w:t>renewable energy</w:t>
      </w:r>
      <w:r w:rsidRPr="006004D1">
        <w:rPr>
          <w:rFonts w:cs="Arial"/>
          <w:szCs w:val="22"/>
          <w:lang w:val="en-GB"/>
        </w:rPr>
        <w:t>-based energy sources.</w:t>
      </w:r>
    </w:p>
    <w:p w14:paraId="58305DD8" w14:textId="77777777" w:rsidR="00A7241D" w:rsidRPr="004622EC" w:rsidRDefault="001A30B3" w:rsidP="003D0310">
      <w:pPr>
        <w:pStyle w:val="afb"/>
        <w:numPr>
          <w:ilvl w:val="0"/>
          <w:numId w:val="5"/>
        </w:numPr>
        <w:spacing w:before="240" w:after="120"/>
        <w:rPr>
          <w:b/>
          <w:i/>
          <w:szCs w:val="20"/>
        </w:rPr>
      </w:pPr>
      <w:r w:rsidRPr="004622EC">
        <w:rPr>
          <w:rFonts w:ascii="Calibri" w:hAnsi="Calibri"/>
          <w:b/>
          <w:i/>
          <w:szCs w:val="20"/>
        </w:rPr>
        <w:t>Mainstreaming gender</w:t>
      </w:r>
    </w:p>
    <w:p w14:paraId="528D12B1" w14:textId="77777777" w:rsidR="00352266" w:rsidRPr="00352266" w:rsidRDefault="00352266" w:rsidP="0020322F">
      <w:pPr>
        <w:pStyle w:val="a7"/>
        <w:numPr>
          <w:ilvl w:val="0"/>
          <w:numId w:val="9"/>
        </w:numPr>
        <w:tabs>
          <w:tab w:val="clear" w:pos="4153"/>
          <w:tab w:val="clear" w:pos="8306"/>
          <w:tab w:val="left" w:pos="426"/>
        </w:tabs>
        <w:spacing w:after="120"/>
        <w:rPr>
          <w:rFonts w:cs="Arial"/>
          <w:szCs w:val="22"/>
          <w:lang w:val="en-GB"/>
        </w:rPr>
      </w:pPr>
      <w:r w:rsidRPr="00352266">
        <w:rPr>
          <w:rFonts w:cs="Arial"/>
          <w:szCs w:val="22"/>
          <w:lang w:val="en-GB"/>
        </w:rPr>
        <w:t>The population of Kazakhstan in 2004 was 14.95 million of which 7.75 million (51.9%) were women (UNDP 2004). Over 50% of the population live</w:t>
      </w:r>
      <w:r w:rsidR="005B4F97">
        <w:rPr>
          <w:rFonts w:cs="Arial"/>
          <w:szCs w:val="22"/>
          <w:lang w:val="en-GB"/>
        </w:rPr>
        <w:t>s</w:t>
      </w:r>
      <w:r w:rsidRPr="00352266">
        <w:rPr>
          <w:rFonts w:cs="Arial"/>
          <w:szCs w:val="22"/>
          <w:lang w:val="en-GB"/>
        </w:rPr>
        <w:t xml:space="preserve"> in rural areas and small towns that once supported single industries. In these communities, people with higher education have difficulty finding jobs, and a high proportion of women are forced into self-employment, which yields a low return on their labor. Many men are forced to migrate to urban areas seeking employment, leaving women alone to cope with family survival. Housing poverty rates in rural areas are as high as 60%, compared with 24% in urban areas, a situation that especially affects women’s capacity to care for children and most family needs. Poverty levels are higher in rural areas</w:t>
      </w:r>
      <w:r w:rsidR="00207993">
        <w:rPr>
          <w:rFonts w:cs="Arial"/>
          <w:szCs w:val="22"/>
          <w:lang w:val="en-GB"/>
        </w:rPr>
        <w:t xml:space="preserve"> </w:t>
      </w:r>
      <w:r w:rsidRPr="00352266">
        <w:rPr>
          <w:rFonts w:cs="Arial"/>
          <w:szCs w:val="22"/>
          <w:lang w:val="en-GB"/>
        </w:rPr>
        <w:t>—</w:t>
      </w:r>
      <w:r w:rsidR="00207993">
        <w:rPr>
          <w:rFonts w:cs="Arial"/>
          <w:szCs w:val="22"/>
          <w:lang w:val="en-GB"/>
        </w:rPr>
        <w:t xml:space="preserve"> </w:t>
      </w:r>
      <w:r w:rsidRPr="00352266">
        <w:rPr>
          <w:rFonts w:cs="Arial"/>
          <w:szCs w:val="22"/>
          <w:lang w:val="en-GB"/>
        </w:rPr>
        <w:t>22% compared to 10% in larger urban areas</w:t>
      </w:r>
      <w:r w:rsidR="00561451">
        <w:rPr>
          <w:rFonts w:cs="Arial"/>
          <w:szCs w:val="22"/>
          <w:lang w:val="en-GB"/>
        </w:rPr>
        <w:t xml:space="preserve"> (ADB, 2013</w:t>
      </w:r>
      <w:r w:rsidR="00DE4BAD">
        <w:rPr>
          <w:rFonts w:cs="Arial"/>
          <w:szCs w:val="22"/>
          <w:lang w:val="en-GB"/>
        </w:rPr>
        <w:t>)</w:t>
      </w:r>
      <w:r w:rsidRPr="00352266">
        <w:rPr>
          <w:rFonts w:cs="Arial"/>
          <w:szCs w:val="22"/>
          <w:lang w:val="en-GB"/>
        </w:rPr>
        <w:t>.</w:t>
      </w:r>
    </w:p>
    <w:p w14:paraId="0912E75F" w14:textId="77777777" w:rsidR="00352266" w:rsidRPr="00352266" w:rsidRDefault="00352266" w:rsidP="0020322F">
      <w:pPr>
        <w:pStyle w:val="a7"/>
        <w:numPr>
          <w:ilvl w:val="0"/>
          <w:numId w:val="9"/>
        </w:numPr>
        <w:tabs>
          <w:tab w:val="clear" w:pos="4153"/>
          <w:tab w:val="clear" w:pos="8306"/>
          <w:tab w:val="left" w:pos="426"/>
        </w:tabs>
        <w:spacing w:after="120"/>
        <w:rPr>
          <w:rFonts w:cs="Arial"/>
          <w:szCs w:val="22"/>
          <w:lang w:val="en-GB"/>
        </w:rPr>
      </w:pPr>
      <w:r w:rsidRPr="00352266">
        <w:rPr>
          <w:rFonts w:cs="Arial"/>
          <w:szCs w:val="22"/>
          <w:lang w:val="en-GB"/>
        </w:rPr>
        <w:t>Women</w:t>
      </w:r>
      <w:r w:rsidR="00207993">
        <w:rPr>
          <w:rFonts w:cs="Arial"/>
          <w:szCs w:val="22"/>
          <w:lang w:val="en-GB"/>
        </w:rPr>
        <w:t>,</w:t>
      </w:r>
      <w:r w:rsidRPr="00352266">
        <w:rPr>
          <w:rFonts w:cs="Arial"/>
          <w:szCs w:val="22"/>
          <w:lang w:val="en-GB"/>
        </w:rPr>
        <w:t xml:space="preserve"> therefore</w:t>
      </w:r>
      <w:r w:rsidR="00207993">
        <w:rPr>
          <w:rFonts w:cs="Arial"/>
          <w:szCs w:val="22"/>
          <w:lang w:val="en-GB"/>
        </w:rPr>
        <w:t>,</w:t>
      </w:r>
      <w:r w:rsidRPr="00352266">
        <w:rPr>
          <w:rFonts w:cs="Arial"/>
          <w:szCs w:val="22"/>
          <w:lang w:val="en-GB"/>
        </w:rPr>
        <w:t xml:space="preserve"> face greater economic insecurity and are more vulnerable to living in poverty than men. Women’s average nominal wages across all sectors of the economy are 61.7% of men’s wages; and</w:t>
      </w:r>
      <w:r w:rsidR="00207993">
        <w:rPr>
          <w:rFonts w:cs="Arial"/>
          <w:szCs w:val="22"/>
          <w:lang w:val="en-GB"/>
        </w:rPr>
        <w:t>,</w:t>
      </w:r>
      <w:r w:rsidRPr="00352266">
        <w:rPr>
          <w:rFonts w:cs="Arial"/>
          <w:szCs w:val="22"/>
          <w:lang w:val="en-GB"/>
        </w:rPr>
        <w:t xml:space="preserve"> despite higher educational achievements, women made up 57.3% of the unemployed in 2003</w:t>
      </w:r>
      <w:r w:rsidR="00561451">
        <w:rPr>
          <w:rFonts w:cs="Arial"/>
          <w:szCs w:val="22"/>
          <w:lang w:val="en-GB"/>
        </w:rPr>
        <w:t xml:space="preserve"> (ADB, 2013</w:t>
      </w:r>
      <w:r w:rsidR="00DE4BAD">
        <w:rPr>
          <w:rFonts w:cs="Arial"/>
          <w:szCs w:val="22"/>
          <w:lang w:val="en-GB"/>
        </w:rPr>
        <w:t>)</w:t>
      </w:r>
      <w:r w:rsidR="00DE4BAD" w:rsidRPr="00352266">
        <w:rPr>
          <w:rFonts w:cs="Arial"/>
          <w:szCs w:val="22"/>
          <w:lang w:val="en-GB"/>
        </w:rPr>
        <w:t>.</w:t>
      </w:r>
    </w:p>
    <w:p w14:paraId="3542DD89" w14:textId="77777777" w:rsidR="00352266" w:rsidRDefault="00352266" w:rsidP="0020322F">
      <w:pPr>
        <w:pStyle w:val="a7"/>
        <w:numPr>
          <w:ilvl w:val="0"/>
          <w:numId w:val="9"/>
        </w:numPr>
        <w:tabs>
          <w:tab w:val="clear" w:pos="4153"/>
          <w:tab w:val="clear" w:pos="8306"/>
          <w:tab w:val="left" w:pos="426"/>
        </w:tabs>
        <w:spacing w:after="120"/>
        <w:rPr>
          <w:rFonts w:cs="Arial"/>
          <w:szCs w:val="22"/>
          <w:lang w:val="en-GB"/>
        </w:rPr>
      </w:pPr>
      <w:r w:rsidRPr="00352266">
        <w:rPr>
          <w:rFonts w:cs="Arial"/>
          <w:szCs w:val="22"/>
          <w:lang w:val="en-GB"/>
        </w:rPr>
        <w:t>The government acknowledges</w:t>
      </w:r>
      <w:r w:rsidR="00503EA8">
        <w:rPr>
          <w:rFonts w:cs="Arial"/>
          <w:szCs w:val="22"/>
          <w:lang w:val="en-GB"/>
        </w:rPr>
        <w:t xml:space="preserve"> </w:t>
      </w:r>
      <w:r w:rsidRPr="00352266">
        <w:rPr>
          <w:rFonts w:cs="Arial"/>
          <w:szCs w:val="22"/>
          <w:lang w:val="en-GB"/>
        </w:rPr>
        <w:t>that gender stereotypes trap women in</w:t>
      </w:r>
      <w:r w:rsidR="00503EA8">
        <w:rPr>
          <w:rFonts w:cs="Arial"/>
          <w:szCs w:val="22"/>
          <w:lang w:val="en-GB"/>
        </w:rPr>
        <w:t xml:space="preserve"> </w:t>
      </w:r>
      <w:r w:rsidRPr="00352266">
        <w:rPr>
          <w:rFonts w:cs="Arial"/>
          <w:szCs w:val="22"/>
          <w:lang w:val="en-GB"/>
        </w:rPr>
        <w:t>low-paying jobs and that employers are</w:t>
      </w:r>
      <w:r w:rsidR="00503EA8">
        <w:rPr>
          <w:rFonts w:cs="Arial"/>
          <w:szCs w:val="22"/>
          <w:lang w:val="en-GB"/>
        </w:rPr>
        <w:t xml:space="preserve"> </w:t>
      </w:r>
      <w:r w:rsidRPr="00352266">
        <w:rPr>
          <w:rFonts w:cs="Arial"/>
          <w:szCs w:val="22"/>
          <w:lang w:val="en-GB"/>
        </w:rPr>
        <w:t>reluctant to hire women because they carry the sole responsibility for child care. The government notes that women’s unemployment is at critical levels in rural areas and small towns</w:t>
      </w:r>
      <w:r w:rsidR="00207993">
        <w:rPr>
          <w:rFonts w:cs="Arial"/>
          <w:szCs w:val="22"/>
          <w:lang w:val="en-GB"/>
        </w:rPr>
        <w:t>,</w:t>
      </w:r>
      <w:r w:rsidRPr="00352266">
        <w:rPr>
          <w:rFonts w:cs="Arial"/>
          <w:szCs w:val="22"/>
          <w:lang w:val="en-GB"/>
        </w:rPr>
        <w:t xml:space="preserve"> and that targeted programs are required. The so-called “reverse gender gap” in education is also noted, but women are unable to convert their higher educational attainments into well-paying jobs. Poor maternal health is also identified as contributing to poverty. </w:t>
      </w:r>
    </w:p>
    <w:p w14:paraId="6139A92F" w14:textId="77777777" w:rsidR="00F56264" w:rsidRPr="00047916" w:rsidRDefault="00B71CCF" w:rsidP="0020322F">
      <w:pPr>
        <w:pStyle w:val="a7"/>
        <w:numPr>
          <w:ilvl w:val="0"/>
          <w:numId w:val="9"/>
        </w:numPr>
        <w:tabs>
          <w:tab w:val="clear" w:pos="4153"/>
          <w:tab w:val="clear" w:pos="8306"/>
          <w:tab w:val="left" w:pos="426"/>
        </w:tabs>
        <w:spacing w:after="120"/>
        <w:rPr>
          <w:rFonts w:cs="Arial"/>
          <w:szCs w:val="22"/>
          <w:lang w:val="en-GB"/>
        </w:rPr>
      </w:pPr>
      <w:r>
        <w:rPr>
          <w:kern w:val="1"/>
          <w:szCs w:val="22"/>
        </w:rPr>
        <w:t>In Central Asia (ADB, 2013</w:t>
      </w:r>
      <w:r w:rsidR="00047916">
        <w:rPr>
          <w:kern w:val="1"/>
          <w:szCs w:val="22"/>
        </w:rPr>
        <w:t>)</w:t>
      </w:r>
      <w:r w:rsidR="00352266" w:rsidRPr="00352266">
        <w:rPr>
          <w:kern w:val="1"/>
          <w:szCs w:val="22"/>
        </w:rPr>
        <w:t xml:space="preserve">, </w:t>
      </w:r>
      <w:r w:rsidR="00047916" w:rsidRPr="00047916">
        <w:rPr>
          <w:kern w:val="1"/>
          <w:szCs w:val="22"/>
        </w:rPr>
        <w:t xml:space="preserve">frequently </w:t>
      </w:r>
      <w:r w:rsidR="00352266" w:rsidRPr="00047916">
        <w:rPr>
          <w:kern w:val="1"/>
          <w:szCs w:val="22"/>
        </w:rPr>
        <w:t>power supplies cannot meet the needs of industry, social service provision, and households. Women perform most household chores (</w:t>
      </w:r>
      <w:r w:rsidR="00207993">
        <w:rPr>
          <w:kern w:val="1"/>
          <w:szCs w:val="22"/>
        </w:rPr>
        <w:t xml:space="preserve">e.g. </w:t>
      </w:r>
      <w:r w:rsidR="00352266" w:rsidRPr="00047916">
        <w:rPr>
          <w:kern w:val="1"/>
          <w:szCs w:val="22"/>
        </w:rPr>
        <w:t>cooking, cleaning, laundry)</w:t>
      </w:r>
      <w:r w:rsidR="00207993">
        <w:rPr>
          <w:kern w:val="1"/>
          <w:szCs w:val="22"/>
        </w:rPr>
        <w:t>,</w:t>
      </w:r>
      <w:r w:rsidR="00352266" w:rsidRPr="00047916">
        <w:rPr>
          <w:kern w:val="1"/>
          <w:szCs w:val="22"/>
        </w:rPr>
        <w:t xml:space="preserve"> and are particularly burdened by power interruptions and the inability to use labor-saving appliances. </w:t>
      </w:r>
      <w:r w:rsidR="00F56264" w:rsidRPr="00047916">
        <w:rPr>
          <w:kern w:val="1"/>
          <w:szCs w:val="22"/>
        </w:rPr>
        <w:t>Currently, e</w:t>
      </w:r>
      <w:r w:rsidR="00352266" w:rsidRPr="00047916">
        <w:rPr>
          <w:kern w:val="1"/>
          <w:szCs w:val="22"/>
        </w:rPr>
        <w:t xml:space="preserve">nergy investments </w:t>
      </w:r>
      <w:r w:rsidR="00047916" w:rsidRPr="00047916">
        <w:rPr>
          <w:kern w:val="1"/>
          <w:szCs w:val="22"/>
        </w:rPr>
        <w:t>are mainly</w:t>
      </w:r>
      <w:r w:rsidR="00352266" w:rsidRPr="00047916">
        <w:rPr>
          <w:kern w:val="1"/>
          <w:szCs w:val="22"/>
        </w:rPr>
        <w:t xml:space="preserve"> focus</w:t>
      </w:r>
      <w:r w:rsidR="00047916" w:rsidRPr="00047916">
        <w:rPr>
          <w:kern w:val="1"/>
          <w:szCs w:val="22"/>
        </w:rPr>
        <w:t>ed</w:t>
      </w:r>
      <w:r w:rsidR="00352266" w:rsidRPr="00047916">
        <w:rPr>
          <w:kern w:val="1"/>
          <w:szCs w:val="22"/>
        </w:rPr>
        <w:t xml:space="preserve"> on physical and infrastructure improvements rather than assistance to households to enable them to transition to modern and more efficient forms of energy. Women’s engagement in microenterprise and home-based work is seen as an important means of expanding women’s economic opportunities, but many women’s informal sector activities are energy-intensive and therefore affected by energy availability </w:t>
      </w:r>
      <w:r w:rsidR="00712429" w:rsidRPr="00047916">
        <w:rPr>
          <w:kern w:val="1"/>
          <w:szCs w:val="22"/>
        </w:rPr>
        <w:t>and price.</w:t>
      </w:r>
    </w:p>
    <w:p w14:paraId="7C1C56CC" w14:textId="77777777" w:rsidR="00352266" w:rsidRPr="00F56264" w:rsidRDefault="00F56264" w:rsidP="0020322F">
      <w:pPr>
        <w:pStyle w:val="a7"/>
        <w:numPr>
          <w:ilvl w:val="0"/>
          <w:numId w:val="9"/>
        </w:numPr>
        <w:tabs>
          <w:tab w:val="clear" w:pos="4153"/>
          <w:tab w:val="clear" w:pos="8306"/>
          <w:tab w:val="left" w:pos="426"/>
        </w:tabs>
        <w:spacing w:after="120"/>
        <w:rPr>
          <w:rFonts w:cs="Arial"/>
          <w:szCs w:val="22"/>
          <w:lang w:val="en-GB"/>
        </w:rPr>
      </w:pPr>
      <w:r>
        <w:rPr>
          <w:rFonts w:cs="Arial"/>
          <w:szCs w:val="22"/>
          <w:lang w:val="en-GB"/>
        </w:rPr>
        <w:t xml:space="preserve">The “RES for Life” </w:t>
      </w:r>
      <w:r w:rsidR="00207993">
        <w:rPr>
          <w:rFonts w:cs="Arial"/>
          <w:szCs w:val="22"/>
          <w:lang w:val="en-GB"/>
        </w:rPr>
        <w:t xml:space="preserve">components </w:t>
      </w:r>
      <w:r>
        <w:rPr>
          <w:rFonts w:cs="Arial"/>
          <w:szCs w:val="22"/>
          <w:lang w:val="en-GB"/>
        </w:rPr>
        <w:t>of the project will allow women in rural and urban areas to</w:t>
      </w:r>
      <w:r w:rsidR="00352266" w:rsidRPr="00F56264">
        <w:rPr>
          <w:kern w:val="1"/>
          <w:szCs w:val="22"/>
        </w:rPr>
        <w:t xml:space="preserve"> </w:t>
      </w:r>
      <w:r>
        <w:rPr>
          <w:rFonts w:cs="Arial"/>
          <w:szCs w:val="22"/>
          <w:lang w:val="en-GB"/>
        </w:rPr>
        <w:t xml:space="preserve">benefit </w:t>
      </w:r>
      <w:r w:rsidR="00352266" w:rsidRPr="00F56264">
        <w:rPr>
          <w:kern w:val="1"/>
          <w:szCs w:val="22"/>
        </w:rPr>
        <w:t>greatly from improved energy services in the form of heat and power</w:t>
      </w:r>
      <w:r w:rsidR="00047916">
        <w:rPr>
          <w:kern w:val="1"/>
          <w:szCs w:val="22"/>
        </w:rPr>
        <w:t xml:space="preserve"> generated from </w:t>
      </w:r>
      <w:r w:rsidR="00207993">
        <w:rPr>
          <w:kern w:val="1"/>
          <w:szCs w:val="22"/>
        </w:rPr>
        <w:t>renewable energy sources</w:t>
      </w:r>
      <w:r w:rsidR="00352266" w:rsidRPr="00F56264">
        <w:rPr>
          <w:kern w:val="1"/>
          <w:szCs w:val="22"/>
        </w:rPr>
        <w:t>. These improvements could ease women’s workloads, reduce the time spent on household tasks such as cooking and cleaning, and could provide improved comfort and reduced vulnerability during the heating season.</w:t>
      </w:r>
    </w:p>
    <w:p w14:paraId="663AD16F" w14:textId="77777777" w:rsidR="00F84144" w:rsidRPr="006004D1" w:rsidRDefault="00F84144" w:rsidP="0020322F">
      <w:pPr>
        <w:pStyle w:val="a7"/>
        <w:numPr>
          <w:ilvl w:val="0"/>
          <w:numId w:val="9"/>
        </w:numPr>
        <w:tabs>
          <w:tab w:val="clear" w:pos="4153"/>
          <w:tab w:val="clear" w:pos="8306"/>
          <w:tab w:val="left" w:pos="426"/>
        </w:tabs>
        <w:spacing w:after="120"/>
        <w:rPr>
          <w:rFonts w:cs="Arial"/>
          <w:szCs w:val="22"/>
          <w:lang w:val="en-GB"/>
        </w:rPr>
      </w:pPr>
      <w:r w:rsidRPr="006004D1">
        <w:rPr>
          <w:rFonts w:cs="Arial"/>
          <w:szCs w:val="22"/>
          <w:lang w:val="en-GB"/>
        </w:rPr>
        <w:t xml:space="preserve">Gender issues </w:t>
      </w:r>
      <w:r w:rsidR="00352266">
        <w:rPr>
          <w:rFonts w:cs="Arial"/>
          <w:szCs w:val="22"/>
          <w:lang w:val="en-GB"/>
        </w:rPr>
        <w:t>are</w:t>
      </w:r>
      <w:r w:rsidRPr="006004D1">
        <w:rPr>
          <w:rFonts w:cs="Arial"/>
          <w:szCs w:val="22"/>
          <w:lang w:val="en-GB"/>
        </w:rPr>
        <w:t xml:space="preserve"> mainstreamed in the design of </w:t>
      </w:r>
      <w:r w:rsidR="00207993">
        <w:rPr>
          <w:rFonts w:cs="Arial"/>
          <w:szCs w:val="22"/>
          <w:lang w:val="en-GB"/>
        </w:rPr>
        <w:t>c</w:t>
      </w:r>
      <w:r w:rsidRPr="006004D1">
        <w:rPr>
          <w:rFonts w:cs="Arial"/>
          <w:szCs w:val="22"/>
          <w:lang w:val="en-GB"/>
        </w:rPr>
        <w:t>omponents 2 and 3 of the project as follows:</w:t>
      </w:r>
    </w:p>
    <w:p w14:paraId="79817CF1" w14:textId="3F4BE7B4" w:rsidR="00F84144" w:rsidRPr="006E404E" w:rsidRDefault="00F84144" w:rsidP="0020322F">
      <w:pPr>
        <w:pStyle w:val="Normalbullets"/>
        <w:numPr>
          <w:ilvl w:val="0"/>
          <w:numId w:val="49"/>
        </w:numPr>
        <w:contextualSpacing/>
        <w:rPr>
          <w:rFonts w:cs="Arial"/>
          <w:szCs w:val="22"/>
          <w:lang w:eastAsia="ko-KR"/>
        </w:rPr>
      </w:pPr>
      <w:r w:rsidRPr="006E404E">
        <w:rPr>
          <w:rFonts w:cs="Arial"/>
          <w:szCs w:val="22"/>
          <w:lang w:eastAsia="ko-KR"/>
        </w:rPr>
        <w:t>Component 2 “Renewable Energy for Life: Policy Derisking</w:t>
      </w:r>
      <w:r w:rsidR="00745221">
        <w:rPr>
          <w:rFonts w:cs="Arial"/>
          <w:szCs w:val="22"/>
          <w:lang w:eastAsia="ko-KR"/>
        </w:rPr>
        <w:t>”</w:t>
      </w:r>
      <w:r w:rsidRPr="006E404E">
        <w:rPr>
          <w:rFonts w:cs="Arial"/>
          <w:szCs w:val="22"/>
          <w:lang w:eastAsia="ko-KR"/>
        </w:rPr>
        <w:t>: at least 50% of beneficiaries for tra</w:t>
      </w:r>
      <w:r w:rsidR="0013529A" w:rsidRPr="006E404E">
        <w:rPr>
          <w:rFonts w:cs="Arial"/>
          <w:szCs w:val="22"/>
          <w:lang w:eastAsia="ko-KR"/>
        </w:rPr>
        <w:t>i</w:t>
      </w:r>
      <w:r w:rsidRPr="006E404E">
        <w:rPr>
          <w:rFonts w:cs="Arial"/>
          <w:szCs w:val="22"/>
          <w:lang w:eastAsia="ko-KR"/>
        </w:rPr>
        <w:t xml:space="preserve">ning and capacity building related to RES are women and/or women-headed organizations (i.e. Associations of </w:t>
      </w:r>
      <w:r w:rsidR="0013529A" w:rsidRPr="006E404E">
        <w:rPr>
          <w:rFonts w:cs="Arial"/>
          <w:szCs w:val="22"/>
          <w:lang w:eastAsia="ko-KR"/>
        </w:rPr>
        <w:t>Apartment</w:t>
      </w:r>
      <w:r w:rsidRPr="006E404E">
        <w:rPr>
          <w:rFonts w:cs="Arial"/>
          <w:szCs w:val="22"/>
          <w:lang w:eastAsia="ko-KR"/>
        </w:rPr>
        <w:t xml:space="preserve"> Owners, SMEs, farming communities);</w:t>
      </w:r>
    </w:p>
    <w:p w14:paraId="77A31FC9" w14:textId="77777777" w:rsidR="00F84144" w:rsidRPr="006E404E" w:rsidRDefault="00F84144" w:rsidP="0020322F">
      <w:pPr>
        <w:pStyle w:val="Normalbullets"/>
        <w:numPr>
          <w:ilvl w:val="0"/>
          <w:numId w:val="49"/>
        </w:numPr>
        <w:contextualSpacing/>
        <w:rPr>
          <w:rFonts w:cs="Arial"/>
          <w:szCs w:val="22"/>
          <w:lang w:eastAsia="ko-KR"/>
        </w:rPr>
      </w:pPr>
      <w:r w:rsidRPr="006E404E">
        <w:rPr>
          <w:rFonts w:cs="Arial"/>
          <w:szCs w:val="22"/>
          <w:lang w:eastAsia="ko-KR"/>
        </w:rPr>
        <w:t>Component 3 “Renewable Energy for Life: Financial Derisking and Financial Incentives” at least 50% of beneficiaries for project-supported “</w:t>
      </w:r>
      <w:r w:rsidR="00207993" w:rsidRPr="006E404E">
        <w:rPr>
          <w:rFonts w:cs="Arial"/>
          <w:szCs w:val="22"/>
          <w:lang w:eastAsia="ko-KR"/>
        </w:rPr>
        <w:t xml:space="preserve">Renewable Energy </w:t>
      </w:r>
      <w:r w:rsidRPr="006E404E">
        <w:rPr>
          <w:rFonts w:cs="Arial"/>
          <w:szCs w:val="22"/>
          <w:lang w:eastAsia="ko-KR"/>
        </w:rPr>
        <w:t xml:space="preserve">for </w:t>
      </w:r>
      <w:r w:rsidR="00207993" w:rsidRPr="006E404E">
        <w:rPr>
          <w:rFonts w:cs="Arial"/>
          <w:szCs w:val="22"/>
          <w:lang w:eastAsia="ko-KR"/>
        </w:rPr>
        <w:t>L</w:t>
      </w:r>
      <w:r w:rsidRPr="006E404E">
        <w:rPr>
          <w:rFonts w:cs="Arial"/>
          <w:szCs w:val="22"/>
          <w:lang w:eastAsia="ko-KR"/>
        </w:rPr>
        <w:t>ife” applications in cities and rural areas will be women.</w:t>
      </w:r>
    </w:p>
    <w:p w14:paraId="48075423" w14:textId="77777777" w:rsidR="00207993" w:rsidRDefault="00DF4879" w:rsidP="0020322F">
      <w:pPr>
        <w:pStyle w:val="a7"/>
        <w:numPr>
          <w:ilvl w:val="0"/>
          <w:numId w:val="9"/>
        </w:numPr>
        <w:tabs>
          <w:tab w:val="clear" w:pos="4153"/>
          <w:tab w:val="clear" w:pos="8306"/>
          <w:tab w:val="left" w:pos="426"/>
        </w:tabs>
        <w:spacing w:after="120"/>
        <w:rPr>
          <w:rFonts w:cs="Arial"/>
          <w:szCs w:val="22"/>
          <w:lang w:val="en-GB"/>
        </w:rPr>
      </w:pPr>
      <w:r>
        <w:rPr>
          <w:rFonts w:cs="Arial"/>
          <w:szCs w:val="22"/>
          <w:lang w:val="en-GB"/>
        </w:rPr>
        <w:t xml:space="preserve">The project </w:t>
      </w:r>
      <w:r w:rsidR="00F84144" w:rsidRPr="006004D1">
        <w:rPr>
          <w:rFonts w:cs="Arial"/>
          <w:szCs w:val="22"/>
          <w:lang w:val="en-GB"/>
        </w:rPr>
        <w:t>also address</w:t>
      </w:r>
      <w:r>
        <w:rPr>
          <w:rFonts w:cs="Arial"/>
          <w:szCs w:val="22"/>
          <w:lang w:val="en-GB"/>
        </w:rPr>
        <w:t>es</w:t>
      </w:r>
      <w:r w:rsidR="00F84144" w:rsidRPr="006004D1">
        <w:rPr>
          <w:rFonts w:cs="Arial"/>
          <w:szCs w:val="22"/>
          <w:lang w:val="en-GB"/>
        </w:rPr>
        <w:t xml:space="preserve"> gender aspects in the following ways throughout the life cycle of the project:</w:t>
      </w:r>
      <w:r>
        <w:rPr>
          <w:rFonts w:cs="Arial"/>
          <w:szCs w:val="22"/>
          <w:lang w:val="en-GB"/>
        </w:rPr>
        <w:t xml:space="preserve"> </w:t>
      </w:r>
    </w:p>
    <w:p w14:paraId="5C338EC4" w14:textId="77777777" w:rsidR="00207993" w:rsidRPr="006E404E" w:rsidRDefault="00F84144" w:rsidP="0020322F">
      <w:pPr>
        <w:pStyle w:val="Normalbullets"/>
        <w:numPr>
          <w:ilvl w:val="0"/>
          <w:numId w:val="49"/>
        </w:numPr>
        <w:contextualSpacing/>
        <w:rPr>
          <w:rFonts w:cs="Arial"/>
          <w:szCs w:val="22"/>
          <w:lang w:eastAsia="ko-KR"/>
        </w:rPr>
      </w:pPr>
      <w:r w:rsidRPr="006E404E">
        <w:rPr>
          <w:rFonts w:cs="Arial"/>
          <w:szCs w:val="22"/>
          <w:lang w:eastAsia="ko-KR"/>
        </w:rPr>
        <w:t xml:space="preserve">The project </w:t>
      </w:r>
      <w:r w:rsidR="00DF4879" w:rsidRPr="006E404E">
        <w:rPr>
          <w:rFonts w:cs="Arial"/>
          <w:szCs w:val="22"/>
          <w:lang w:eastAsia="ko-KR"/>
        </w:rPr>
        <w:t>applies</w:t>
      </w:r>
      <w:r w:rsidRPr="006E404E">
        <w:rPr>
          <w:rFonts w:cs="Arial"/>
          <w:szCs w:val="22"/>
          <w:lang w:eastAsia="ko-KR"/>
        </w:rPr>
        <w:t xml:space="preserve"> a gender marker as per UNDP guid</w:t>
      </w:r>
      <w:r w:rsidR="00DF4879" w:rsidRPr="006E404E">
        <w:rPr>
          <w:rFonts w:cs="Arial"/>
          <w:szCs w:val="22"/>
          <w:lang w:eastAsia="ko-KR"/>
        </w:rPr>
        <w:t>ance</w:t>
      </w:r>
      <w:r w:rsidR="00207993" w:rsidRPr="006E404E">
        <w:rPr>
          <w:rFonts w:cs="Arial"/>
          <w:szCs w:val="22"/>
          <w:lang w:eastAsia="ko-KR"/>
        </w:rPr>
        <w:t>;</w:t>
      </w:r>
    </w:p>
    <w:p w14:paraId="40F8DD0E" w14:textId="77777777" w:rsidR="00207993" w:rsidRPr="006E404E" w:rsidRDefault="00DF4879" w:rsidP="0020322F">
      <w:pPr>
        <w:pStyle w:val="Normalbullets"/>
        <w:numPr>
          <w:ilvl w:val="0"/>
          <w:numId w:val="49"/>
        </w:numPr>
        <w:contextualSpacing/>
        <w:rPr>
          <w:rFonts w:cs="Arial"/>
          <w:szCs w:val="22"/>
          <w:lang w:eastAsia="ko-KR"/>
        </w:rPr>
      </w:pPr>
      <w:r w:rsidRPr="006E404E">
        <w:rPr>
          <w:rFonts w:cs="Arial"/>
          <w:szCs w:val="22"/>
          <w:lang w:eastAsia="ko-KR"/>
        </w:rPr>
        <w:t xml:space="preserve">The project </w:t>
      </w:r>
      <w:r w:rsidR="00F84144" w:rsidRPr="006E404E">
        <w:rPr>
          <w:rFonts w:cs="Arial"/>
          <w:szCs w:val="22"/>
          <w:lang w:eastAsia="ko-KR"/>
        </w:rPr>
        <w:t>incorporate</w:t>
      </w:r>
      <w:r w:rsidRPr="006E404E">
        <w:rPr>
          <w:rFonts w:cs="Arial"/>
          <w:szCs w:val="22"/>
          <w:lang w:eastAsia="ko-KR"/>
        </w:rPr>
        <w:t>s</w:t>
      </w:r>
      <w:r w:rsidR="00F84144" w:rsidRPr="006E404E">
        <w:rPr>
          <w:rFonts w:cs="Arial"/>
          <w:szCs w:val="22"/>
          <w:lang w:eastAsia="ko-KR"/>
        </w:rPr>
        <w:t xml:space="preserve"> gender issues in the project results framework, including gender-sensitive actions, indicators, targets, and/or budget</w:t>
      </w:r>
      <w:r w:rsidR="00207993" w:rsidRPr="006E404E">
        <w:rPr>
          <w:rFonts w:cs="Arial"/>
          <w:szCs w:val="22"/>
          <w:lang w:eastAsia="ko-KR"/>
        </w:rPr>
        <w:t>;</w:t>
      </w:r>
    </w:p>
    <w:p w14:paraId="2645327C" w14:textId="77777777" w:rsidR="00207993" w:rsidRPr="006E404E" w:rsidRDefault="00F84144" w:rsidP="0020322F">
      <w:pPr>
        <w:pStyle w:val="Normalbullets"/>
        <w:numPr>
          <w:ilvl w:val="0"/>
          <w:numId w:val="49"/>
        </w:numPr>
        <w:contextualSpacing/>
        <w:rPr>
          <w:rFonts w:cs="Arial"/>
          <w:szCs w:val="22"/>
          <w:lang w:eastAsia="ko-KR"/>
        </w:rPr>
      </w:pPr>
      <w:r w:rsidRPr="006E404E">
        <w:rPr>
          <w:rFonts w:cs="Arial"/>
          <w:szCs w:val="22"/>
          <w:lang w:eastAsia="ko-KR"/>
        </w:rPr>
        <w:t>The project will monitor the share of women and men as direct beneficiaries</w:t>
      </w:r>
      <w:r w:rsidR="00207993" w:rsidRPr="006E404E">
        <w:rPr>
          <w:rFonts w:cs="Arial"/>
          <w:szCs w:val="22"/>
          <w:lang w:eastAsia="ko-KR"/>
        </w:rPr>
        <w:t>;</w:t>
      </w:r>
    </w:p>
    <w:p w14:paraId="47AE9510" w14:textId="77777777" w:rsidR="00F84144" w:rsidRDefault="00F84144" w:rsidP="0020322F">
      <w:pPr>
        <w:pStyle w:val="Normalbullets"/>
        <w:numPr>
          <w:ilvl w:val="0"/>
          <w:numId w:val="49"/>
        </w:numPr>
        <w:contextualSpacing/>
        <w:rPr>
          <w:rFonts w:cs="Arial"/>
          <w:szCs w:val="22"/>
          <w:lang w:eastAsia="ko-KR"/>
        </w:rPr>
      </w:pPr>
      <w:r w:rsidRPr="006E404E">
        <w:rPr>
          <w:rFonts w:cs="Arial"/>
          <w:szCs w:val="22"/>
          <w:lang w:eastAsia="ko-KR"/>
        </w:rPr>
        <w:t>An analysis of women’s inclusion in project activities will be included in both the mid-term evaluation and the terminal evaluation of the project and will be explicitly stated in the terms of reference for those evaluations.</w:t>
      </w:r>
    </w:p>
    <w:p w14:paraId="0D2015AF" w14:textId="48B03DE4" w:rsidR="00585A78" w:rsidRPr="00585A78" w:rsidRDefault="00E04A51" w:rsidP="00585A78">
      <w:pPr>
        <w:pStyle w:val="a7"/>
        <w:numPr>
          <w:ilvl w:val="0"/>
          <w:numId w:val="9"/>
        </w:numPr>
        <w:tabs>
          <w:tab w:val="clear" w:pos="4153"/>
          <w:tab w:val="clear" w:pos="8306"/>
          <w:tab w:val="left" w:pos="426"/>
        </w:tabs>
        <w:spacing w:after="120"/>
        <w:rPr>
          <w:rFonts w:cs="Arial"/>
          <w:szCs w:val="22"/>
          <w:lang w:val="en-GB"/>
        </w:rPr>
      </w:pPr>
      <w:r>
        <w:rPr>
          <w:rFonts w:cs="Arial"/>
          <w:szCs w:val="22"/>
          <w:lang w:val="en-GB"/>
        </w:rPr>
        <w:t>T</w:t>
      </w:r>
      <w:r w:rsidR="00585A78">
        <w:rPr>
          <w:rFonts w:cs="Arial"/>
          <w:szCs w:val="22"/>
          <w:lang w:val="en-GB"/>
        </w:rPr>
        <w:t>he ‘Gender mainstreaming and action plan’</w:t>
      </w:r>
      <w:r>
        <w:rPr>
          <w:rFonts w:cs="Arial"/>
          <w:szCs w:val="22"/>
          <w:lang w:val="en-GB"/>
        </w:rPr>
        <w:t xml:space="preserve"> is provided in Annex Q</w:t>
      </w:r>
      <w:r w:rsidR="00585A78">
        <w:rPr>
          <w:rFonts w:cs="Arial"/>
          <w:szCs w:val="22"/>
          <w:lang w:val="en-GB"/>
        </w:rPr>
        <w:t>.</w:t>
      </w:r>
    </w:p>
    <w:p w14:paraId="22EC95B2" w14:textId="77777777" w:rsidR="00A67522" w:rsidRPr="004622EC" w:rsidRDefault="00C77E42" w:rsidP="003D0310">
      <w:pPr>
        <w:pStyle w:val="afb"/>
        <w:numPr>
          <w:ilvl w:val="0"/>
          <w:numId w:val="5"/>
        </w:numPr>
        <w:spacing w:before="240" w:after="120"/>
        <w:rPr>
          <w:b/>
          <w:i/>
          <w:szCs w:val="20"/>
        </w:rPr>
      </w:pPr>
      <w:r w:rsidRPr="004622EC">
        <w:rPr>
          <w:rFonts w:ascii="Calibri" w:hAnsi="Calibri"/>
          <w:b/>
          <w:i/>
          <w:szCs w:val="20"/>
        </w:rPr>
        <w:t>South-South and Triangular Cooperation (SSTrC)</w:t>
      </w:r>
    </w:p>
    <w:p w14:paraId="69378D33" w14:textId="77777777" w:rsidR="00503EA8" w:rsidRDefault="00326A98" w:rsidP="0020322F">
      <w:pPr>
        <w:pStyle w:val="a7"/>
        <w:numPr>
          <w:ilvl w:val="0"/>
          <w:numId w:val="9"/>
        </w:numPr>
        <w:tabs>
          <w:tab w:val="clear" w:pos="4153"/>
          <w:tab w:val="clear" w:pos="8306"/>
          <w:tab w:val="left" w:pos="426"/>
        </w:tabs>
        <w:spacing w:after="120"/>
        <w:rPr>
          <w:rFonts w:cs="Arial"/>
          <w:szCs w:val="22"/>
          <w:lang w:val="en-GB"/>
        </w:rPr>
      </w:pPr>
      <w:r>
        <w:rPr>
          <w:rFonts w:cs="Arial"/>
          <w:szCs w:val="22"/>
          <w:lang w:val="en-GB"/>
        </w:rPr>
        <w:t xml:space="preserve">The </w:t>
      </w:r>
      <w:r w:rsidR="00207993">
        <w:rPr>
          <w:rFonts w:cs="Arial"/>
          <w:szCs w:val="22"/>
          <w:lang w:val="en-GB"/>
        </w:rPr>
        <w:t>p</w:t>
      </w:r>
      <w:r>
        <w:rPr>
          <w:rFonts w:cs="Arial"/>
          <w:szCs w:val="22"/>
          <w:lang w:val="en-GB"/>
        </w:rPr>
        <w:t xml:space="preserve">roject will </w:t>
      </w:r>
      <w:r w:rsidRPr="00326A98">
        <w:rPr>
          <w:rFonts w:cs="Arial"/>
          <w:szCs w:val="22"/>
          <w:lang w:val="en-GB"/>
        </w:rPr>
        <w:t>promote joint learning and the exchange of know-how, build bridges between stakeholders and help create the setting for a partnership between</w:t>
      </w:r>
      <w:r w:rsidR="00A20A81">
        <w:rPr>
          <w:rFonts w:cs="Arial"/>
          <w:szCs w:val="22"/>
          <w:lang w:val="en-GB"/>
        </w:rPr>
        <w:t xml:space="preserve"> regional stakeholders. </w:t>
      </w:r>
      <w:r w:rsidR="00B34DA9">
        <w:rPr>
          <w:rFonts w:cs="Arial"/>
          <w:szCs w:val="22"/>
          <w:lang w:val="en-GB"/>
        </w:rPr>
        <w:t xml:space="preserve">The </w:t>
      </w:r>
      <w:r w:rsidRPr="00A20A81">
        <w:rPr>
          <w:rFonts w:cs="Arial"/>
          <w:szCs w:val="22"/>
          <w:lang w:val="en-GB"/>
        </w:rPr>
        <w:t xml:space="preserve">project is one among several UNDP-implemented GEF-financed projects </w:t>
      </w:r>
      <w:r w:rsidR="00207993">
        <w:rPr>
          <w:rFonts w:cs="Arial"/>
          <w:szCs w:val="22"/>
          <w:lang w:val="en-GB"/>
        </w:rPr>
        <w:t>that</w:t>
      </w:r>
      <w:r w:rsidR="00207993" w:rsidRPr="00A20A81">
        <w:rPr>
          <w:rFonts w:cs="Arial"/>
          <w:szCs w:val="22"/>
          <w:lang w:val="en-GB"/>
        </w:rPr>
        <w:t xml:space="preserve"> </w:t>
      </w:r>
      <w:r w:rsidRPr="00A20A81">
        <w:rPr>
          <w:rFonts w:cs="Arial"/>
          <w:szCs w:val="22"/>
          <w:lang w:val="en-GB"/>
        </w:rPr>
        <w:t>are being designed and implemented based on UNDP’s DREI framework and methodology. UNDP</w:t>
      </w:r>
      <w:r w:rsidR="005D20C1">
        <w:rPr>
          <w:rFonts w:cs="Arial"/>
          <w:szCs w:val="22"/>
          <w:lang w:val="en-GB"/>
        </w:rPr>
        <w:t>, under output 3.1</w:t>
      </w:r>
      <w:r w:rsidR="00207993">
        <w:rPr>
          <w:rFonts w:cs="Arial"/>
          <w:szCs w:val="22"/>
          <w:lang w:val="en-GB"/>
        </w:rPr>
        <w:t>,</w:t>
      </w:r>
      <w:r w:rsidRPr="00A20A81">
        <w:rPr>
          <w:rFonts w:cs="Arial"/>
          <w:szCs w:val="22"/>
          <w:lang w:val="en-GB"/>
        </w:rPr>
        <w:t xml:space="preserve"> will facilitate regular exchange of knowledge and progress in </w:t>
      </w:r>
      <w:r w:rsidR="005D20C1">
        <w:rPr>
          <w:rFonts w:cs="Arial"/>
          <w:szCs w:val="22"/>
          <w:lang w:val="en-GB"/>
        </w:rPr>
        <w:t xml:space="preserve">small-scale </w:t>
      </w:r>
      <w:r w:rsidRPr="00A20A81">
        <w:rPr>
          <w:rFonts w:cs="Arial"/>
          <w:szCs w:val="22"/>
          <w:lang w:val="en-GB"/>
        </w:rPr>
        <w:t xml:space="preserve">DREI implementation among “sister” projects, as well as systematic collection, analysis and presentation of </w:t>
      </w:r>
      <w:r w:rsidR="00BB2191">
        <w:rPr>
          <w:rFonts w:cs="Arial"/>
          <w:szCs w:val="22"/>
          <w:lang w:val="en-GB"/>
        </w:rPr>
        <w:t xml:space="preserve">a </w:t>
      </w:r>
      <w:r w:rsidRPr="00A20A81">
        <w:rPr>
          <w:rFonts w:cs="Arial"/>
          <w:szCs w:val="22"/>
          <w:lang w:val="en-GB"/>
        </w:rPr>
        <w:t>DREI case stud</w:t>
      </w:r>
      <w:r w:rsidR="00BB2191">
        <w:rPr>
          <w:rFonts w:cs="Arial"/>
          <w:szCs w:val="22"/>
          <w:lang w:val="en-GB"/>
        </w:rPr>
        <w:t>y</w:t>
      </w:r>
      <w:r w:rsidR="00207993">
        <w:rPr>
          <w:rFonts w:cs="Arial"/>
          <w:szCs w:val="22"/>
          <w:lang w:val="en-GB"/>
        </w:rPr>
        <w:t xml:space="preserve"> </w:t>
      </w:r>
      <w:r w:rsidRPr="00A20A81">
        <w:rPr>
          <w:rFonts w:cs="Arial"/>
          <w:szCs w:val="22"/>
          <w:lang w:val="en-GB"/>
        </w:rPr>
        <w:t>and lessons learnt</w:t>
      </w:r>
      <w:r w:rsidR="00BB2191">
        <w:rPr>
          <w:rFonts w:cs="Arial"/>
          <w:szCs w:val="22"/>
          <w:lang w:val="en-GB"/>
        </w:rPr>
        <w:t>, as part of activity 3.2.</w:t>
      </w:r>
      <w:r w:rsidR="00207993">
        <w:rPr>
          <w:rFonts w:cs="Arial"/>
          <w:szCs w:val="22"/>
          <w:lang w:val="en-GB"/>
        </w:rPr>
        <w:t>5</w:t>
      </w:r>
      <w:r w:rsidR="00BB2191">
        <w:rPr>
          <w:rFonts w:cs="Arial"/>
          <w:szCs w:val="22"/>
          <w:lang w:val="en-GB"/>
        </w:rPr>
        <w:t>,</w:t>
      </w:r>
      <w:r w:rsidRPr="00A20A81">
        <w:rPr>
          <w:rFonts w:cs="Arial"/>
          <w:szCs w:val="22"/>
          <w:lang w:val="en-GB"/>
        </w:rPr>
        <w:t xml:space="preserve"> through the corporate platform established at http://www.undp.org/drei. Other related approved projects </w:t>
      </w:r>
      <w:r w:rsidR="00207993">
        <w:rPr>
          <w:rFonts w:cs="Arial"/>
          <w:szCs w:val="22"/>
          <w:lang w:val="en-GB"/>
        </w:rPr>
        <w:t>with which the project will cooperate are</w:t>
      </w:r>
      <w:r w:rsidRPr="00A20A81">
        <w:rPr>
          <w:rFonts w:cs="Arial"/>
          <w:szCs w:val="22"/>
          <w:lang w:val="en-GB"/>
        </w:rPr>
        <w:t xml:space="preserve">: </w:t>
      </w:r>
    </w:p>
    <w:p w14:paraId="1330DEEE" w14:textId="77777777" w:rsidR="00326A98" w:rsidRDefault="00326A98" w:rsidP="0020322F">
      <w:pPr>
        <w:pStyle w:val="a7"/>
        <w:numPr>
          <w:ilvl w:val="0"/>
          <w:numId w:val="11"/>
        </w:numPr>
        <w:tabs>
          <w:tab w:val="clear" w:pos="4153"/>
          <w:tab w:val="clear" w:pos="8306"/>
          <w:tab w:val="left" w:pos="426"/>
        </w:tabs>
        <w:spacing w:after="120"/>
        <w:contextualSpacing/>
        <w:rPr>
          <w:rFonts w:cs="Arial"/>
          <w:szCs w:val="22"/>
          <w:lang w:val="en-GB"/>
        </w:rPr>
      </w:pPr>
      <w:r w:rsidRPr="00326A98">
        <w:rPr>
          <w:rFonts w:cs="Arial"/>
          <w:szCs w:val="22"/>
          <w:lang w:val="en-GB"/>
        </w:rPr>
        <w:t>UNDP-GEF “NAMA Suppo</w:t>
      </w:r>
      <w:r w:rsidR="003B1043">
        <w:rPr>
          <w:rFonts w:cs="Arial"/>
          <w:szCs w:val="22"/>
          <w:lang w:val="en-GB"/>
        </w:rPr>
        <w:t>rt for the Tunisia Solar Plan”;</w:t>
      </w:r>
    </w:p>
    <w:p w14:paraId="54E51E89" w14:textId="77777777" w:rsidR="00326A98" w:rsidRPr="00326A98" w:rsidRDefault="00326A98" w:rsidP="0020322F">
      <w:pPr>
        <w:pStyle w:val="a7"/>
        <w:numPr>
          <w:ilvl w:val="0"/>
          <w:numId w:val="11"/>
        </w:numPr>
        <w:tabs>
          <w:tab w:val="clear" w:pos="4153"/>
          <w:tab w:val="clear" w:pos="8306"/>
          <w:tab w:val="left" w:pos="426"/>
        </w:tabs>
        <w:spacing w:after="120"/>
        <w:contextualSpacing/>
        <w:rPr>
          <w:rFonts w:cs="Arial"/>
          <w:szCs w:val="22"/>
          <w:lang w:val="en-GB"/>
        </w:rPr>
      </w:pPr>
      <w:r w:rsidRPr="00326A98">
        <w:rPr>
          <w:rFonts w:cs="Arial"/>
          <w:szCs w:val="22"/>
          <w:lang w:val="en-GB"/>
        </w:rPr>
        <w:t>UNDP-GEF “ Promoting Low Carbon Energy Solutions in Nigeria Energy/Power Supply”.</w:t>
      </w:r>
    </w:p>
    <w:p w14:paraId="74D151F2" w14:textId="77777777" w:rsidR="007D4109" w:rsidRDefault="007D4109">
      <w:pPr>
        <w:rPr>
          <w:b/>
          <w:smallCaps/>
          <w:spacing w:val="-2"/>
          <w:sz w:val="28"/>
          <w:szCs w:val="28"/>
        </w:rPr>
      </w:pPr>
      <w:bookmarkStart w:id="76" w:name="_Toc207800912"/>
      <w:r>
        <w:rPr>
          <w:szCs w:val="28"/>
        </w:rPr>
        <w:br w:type="page"/>
      </w:r>
    </w:p>
    <w:p w14:paraId="1D41AB80" w14:textId="77777777" w:rsidR="00F75A9F" w:rsidRPr="006004D1" w:rsidRDefault="008C65EB" w:rsidP="004D38A5">
      <w:pPr>
        <w:pStyle w:val="1"/>
        <w:spacing w:before="0" w:after="0"/>
        <w:rPr>
          <w:rFonts w:ascii="Calibri" w:hAnsi="Calibri"/>
          <w:szCs w:val="28"/>
        </w:rPr>
      </w:pPr>
      <w:bookmarkStart w:id="77" w:name="_Toc479693883"/>
      <w:r w:rsidRPr="006004D1">
        <w:rPr>
          <w:rFonts w:ascii="Calibri" w:hAnsi="Calibri"/>
          <w:szCs w:val="28"/>
        </w:rPr>
        <w:t>F</w:t>
      </w:r>
      <w:r w:rsidR="00F75A9F" w:rsidRPr="006004D1">
        <w:rPr>
          <w:rFonts w:ascii="Calibri" w:hAnsi="Calibri"/>
          <w:szCs w:val="28"/>
        </w:rPr>
        <w:t>easibility</w:t>
      </w:r>
      <w:bookmarkEnd w:id="77"/>
    </w:p>
    <w:p w14:paraId="7B5D0744" w14:textId="77777777" w:rsidR="00473D26" w:rsidRPr="004622EC" w:rsidRDefault="00774618" w:rsidP="0020322F">
      <w:pPr>
        <w:pStyle w:val="afb"/>
        <w:numPr>
          <w:ilvl w:val="0"/>
          <w:numId w:val="40"/>
        </w:numPr>
        <w:spacing w:before="240" w:after="120"/>
        <w:rPr>
          <w:rFonts w:ascii="Calibri" w:hAnsi="Calibri"/>
          <w:b/>
          <w:i/>
          <w:szCs w:val="20"/>
        </w:rPr>
      </w:pPr>
      <w:r w:rsidRPr="004622EC">
        <w:rPr>
          <w:rFonts w:ascii="Calibri" w:hAnsi="Calibri"/>
          <w:b/>
          <w:i/>
          <w:szCs w:val="20"/>
        </w:rPr>
        <w:t>Cost efficiency and effectiveness</w:t>
      </w:r>
    </w:p>
    <w:p w14:paraId="3AECBDA1" w14:textId="77777777" w:rsidR="004462F0" w:rsidRDefault="004462F0" w:rsidP="0020322F">
      <w:pPr>
        <w:pStyle w:val="a7"/>
        <w:numPr>
          <w:ilvl w:val="0"/>
          <w:numId w:val="9"/>
        </w:numPr>
        <w:tabs>
          <w:tab w:val="clear" w:pos="4153"/>
          <w:tab w:val="clear" w:pos="8306"/>
          <w:tab w:val="left" w:pos="426"/>
        </w:tabs>
        <w:spacing w:after="120"/>
        <w:rPr>
          <w:rFonts w:cs="Arial"/>
          <w:szCs w:val="22"/>
          <w:lang w:val="en-GB"/>
        </w:rPr>
      </w:pPr>
      <w:r>
        <w:rPr>
          <w:rFonts w:cs="Arial"/>
          <w:szCs w:val="22"/>
          <w:lang w:val="en-GB"/>
        </w:rPr>
        <w:t>Cost efficiency and effectiveness have been built into the project strategy from the beginning. The strategy is based on the UNDP DREI methodology, developed by UNDP to support policy decision making by quantitatively comparing the cost-effectiveness of various public instrument portfolios aimed at derisking renewable energy investments. This framework, as set out earlier, consists of 4 stages that cover analysis of the risk environment, public instrument selection, levelised costs and evaluation. The focus of the method is on quantifying how instruments can reduce financing costs. The framework facilitates a structured, transparent process whereby key inputs and assumptions are made explicit.</w:t>
      </w:r>
    </w:p>
    <w:p w14:paraId="2733A221" w14:textId="77777777" w:rsidR="004462F0" w:rsidRDefault="004462F0" w:rsidP="0020322F">
      <w:pPr>
        <w:pStyle w:val="a7"/>
        <w:numPr>
          <w:ilvl w:val="0"/>
          <w:numId w:val="9"/>
        </w:numPr>
        <w:tabs>
          <w:tab w:val="clear" w:pos="4153"/>
          <w:tab w:val="clear" w:pos="8306"/>
          <w:tab w:val="left" w:pos="426"/>
        </w:tabs>
        <w:spacing w:after="120"/>
        <w:rPr>
          <w:rFonts w:cs="Arial"/>
          <w:szCs w:val="22"/>
          <w:lang w:val="en-GB"/>
        </w:rPr>
      </w:pPr>
      <w:r>
        <w:rPr>
          <w:rFonts w:cs="Arial"/>
          <w:szCs w:val="22"/>
          <w:lang w:val="en-GB"/>
        </w:rPr>
        <w:t xml:space="preserve">Cost savings for Kazakhstan </w:t>
      </w:r>
      <w:r w:rsidR="00CA6A37">
        <w:rPr>
          <w:rFonts w:cs="Arial"/>
          <w:szCs w:val="22"/>
          <w:lang w:val="en-GB"/>
        </w:rPr>
        <w:t xml:space="preserve">due to </w:t>
      </w:r>
      <w:r>
        <w:rPr>
          <w:rFonts w:cs="Arial"/>
          <w:szCs w:val="22"/>
          <w:lang w:val="en-GB"/>
        </w:rPr>
        <w:t xml:space="preserve">implementing the package of instruments has been quantified, and the results show </w:t>
      </w:r>
      <w:r w:rsidRPr="003E5D06">
        <w:rPr>
          <w:rFonts w:cs="Arial"/>
          <w:szCs w:val="22"/>
          <w:lang w:val="en-GB"/>
        </w:rPr>
        <w:t>that investing in derisking measures to target these investment risks is a cost-effective approach to achieving the investment objectives of the Kazakhstan Green Economy</w:t>
      </w:r>
      <w:r>
        <w:rPr>
          <w:rFonts w:cs="Arial"/>
          <w:szCs w:val="22"/>
          <w:lang w:val="en-GB"/>
        </w:rPr>
        <w:t xml:space="preserve">: </w:t>
      </w:r>
      <w:r w:rsidRPr="003E5D06">
        <w:rPr>
          <w:rFonts w:cs="Arial"/>
          <w:szCs w:val="22"/>
          <w:lang w:val="en-GB"/>
        </w:rPr>
        <w:t xml:space="preserve">derisking measures </w:t>
      </w:r>
      <w:r>
        <w:rPr>
          <w:rFonts w:cs="Arial"/>
          <w:szCs w:val="22"/>
          <w:lang w:val="en-GB"/>
        </w:rPr>
        <w:t xml:space="preserve">reduce </w:t>
      </w:r>
      <w:r w:rsidRPr="003E5D06">
        <w:rPr>
          <w:rFonts w:cs="Arial"/>
          <w:szCs w:val="22"/>
          <w:lang w:val="en-GB"/>
        </w:rPr>
        <w:t xml:space="preserve">generation cost of wind </w:t>
      </w:r>
      <w:r>
        <w:rPr>
          <w:rFonts w:cs="Arial"/>
          <w:szCs w:val="22"/>
          <w:lang w:val="en-GB"/>
        </w:rPr>
        <w:t xml:space="preserve">and </w:t>
      </w:r>
      <w:r w:rsidRPr="003E5D06">
        <w:rPr>
          <w:rFonts w:cs="Arial"/>
          <w:szCs w:val="22"/>
          <w:lang w:val="en-GB"/>
        </w:rPr>
        <w:t>solar PV</w:t>
      </w:r>
      <w:r>
        <w:rPr>
          <w:rFonts w:cs="Arial"/>
          <w:szCs w:val="22"/>
          <w:lang w:val="en-GB"/>
        </w:rPr>
        <w:t xml:space="preserve"> substantially</w:t>
      </w:r>
      <w:r w:rsidRPr="003E5D06">
        <w:rPr>
          <w:rFonts w:cs="Arial"/>
          <w:szCs w:val="22"/>
          <w:lang w:val="en-GB"/>
        </w:rPr>
        <w:t xml:space="preserve">. These lower generation costs have important implications for affordability for </w:t>
      </w:r>
      <w:r>
        <w:rPr>
          <w:rFonts w:cs="Arial"/>
          <w:szCs w:val="22"/>
          <w:lang w:val="en-GB"/>
        </w:rPr>
        <w:t>the people of Kazakhstan</w:t>
      </w:r>
      <w:r w:rsidRPr="003E5D06">
        <w:rPr>
          <w:rFonts w:cs="Arial"/>
          <w:szCs w:val="22"/>
          <w:lang w:val="en-GB"/>
        </w:rPr>
        <w:t>. The modelling also demonstrates that investing in derisking measures is good value for money when measured against paying a premium price for wind energy and solar PV.</w:t>
      </w:r>
      <w:r>
        <w:rPr>
          <w:rFonts w:cs="Arial"/>
          <w:szCs w:val="22"/>
          <w:lang w:val="en-GB"/>
        </w:rPr>
        <w:t xml:space="preserve"> Details of the savings are given in paragraphs 25-28.</w:t>
      </w:r>
    </w:p>
    <w:p w14:paraId="02DFA143" w14:textId="77777777" w:rsidR="004462F0" w:rsidRDefault="004462F0" w:rsidP="0020322F">
      <w:pPr>
        <w:pStyle w:val="a7"/>
        <w:numPr>
          <w:ilvl w:val="0"/>
          <w:numId w:val="9"/>
        </w:numPr>
        <w:tabs>
          <w:tab w:val="clear" w:pos="4153"/>
          <w:tab w:val="clear" w:pos="8306"/>
          <w:tab w:val="left" w:pos="426"/>
        </w:tabs>
        <w:spacing w:after="120"/>
        <w:rPr>
          <w:rFonts w:cs="Arial"/>
          <w:szCs w:val="22"/>
          <w:lang w:val="en-GB"/>
        </w:rPr>
      </w:pPr>
      <w:r>
        <w:rPr>
          <w:rFonts w:cs="Arial"/>
          <w:szCs w:val="22"/>
          <w:lang w:val="en-GB"/>
        </w:rPr>
        <w:t>The framework has been piloted in Tunisia</w:t>
      </w:r>
      <w:r w:rsidR="009E7C56">
        <w:rPr>
          <w:rFonts w:cs="Arial"/>
          <w:szCs w:val="22"/>
          <w:lang w:val="en-GB"/>
        </w:rPr>
        <w:t>,</w:t>
      </w:r>
      <w:r>
        <w:rPr>
          <w:rFonts w:cs="Arial"/>
          <w:szCs w:val="22"/>
          <w:lang w:val="en-GB"/>
        </w:rPr>
        <w:t xml:space="preserve"> Nigeria</w:t>
      </w:r>
      <w:r w:rsidR="009E7C56">
        <w:rPr>
          <w:rFonts w:cs="Arial"/>
          <w:szCs w:val="22"/>
          <w:lang w:val="en-GB"/>
        </w:rPr>
        <w:t xml:space="preserve">, Lebanon and </w:t>
      </w:r>
      <w:r w:rsidR="00A54236">
        <w:rPr>
          <w:rFonts w:cs="Arial"/>
          <w:szCs w:val="22"/>
          <w:lang w:val="en-GB"/>
        </w:rPr>
        <w:t>Belarus</w:t>
      </w:r>
      <w:r>
        <w:rPr>
          <w:rFonts w:cs="Arial"/>
          <w:szCs w:val="22"/>
          <w:lang w:val="en-GB"/>
        </w:rPr>
        <w:t xml:space="preserve">, and the approaches proposed in Kazakhstan build on these pilots and best practice throughout the region and globally. </w:t>
      </w:r>
    </w:p>
    <w:p w14:paraId="68422390" w14:textId="69D2B56C" w:rsidR="00BB2191" w:rsidRDefault="00BB2191" w:rsidP="0020322F">
      <w:pPr>
        <w:pStyle w:val="a7"/>
        <w:numPr>
          <w:ilvl w:val="0"/>
          <w:numId w:val="9"/>
        </w:numPr>
        <w:tabs>
          <w:tab w:val="clear" w:pos="4153"/>
          <w:tab w:val="clear" w:pos="8306"/>
          <w:tab w:val="left" w:pos="426"/>
        </w:tabs>
        <w:spacing w:after="120"/>
        <w:rPr>
          <w:rFonts w:cs="Arial"/>
          <w:szCs w:val="22"/>
          <w:lang w:val="en-GB"/>
        </w:rPr>
      </w:pPr>
      <w:r w:rsidRPr="00473D26">
        <w:rPr>
          <w:rFonts w:cs="Arial"/>
          <w:szCs w:val="22"/>
          <w:lang w:val="en-GB"/>
        </w:rPr>
        <w:t xml:space="preserve">The project is </w:t>
      </w:r>
      <w:r w:rsidR="00F35653" w:rsidRPr="00473D26">
        <w:rPr>
          <w:rFonts w:cs="Arial"/>
          <w:szCs w:val="22"/>
          <w:lang w:val="en-GB"/>
        </w:rPr>
        <w:t>highly cost effective</w:t>
      </w:r>
      <w:r w:rsidR="004462F0">
        <w:rPr>
          <w:rFonts w:cs="Arial"/>
          <w:szCs w:val="22"/>
          <w:lang w:val="en-GB"/>
        </w:rPr>
        <w:t xml:space="preserve"> from a GHG perspective</w:t>
      </w:r>
      <w:r w:rsidR="004462F0" w:rsidRPr="00473D26">
        <w:rPr>
          <w:rFonts w:cs="Arial"/>
          <w:szCs w:val="22"/>
          <w:lang w:val="en-GB"/>
        </w:rPr>
        <w:t xml:space="preserve">. The cost per tonne of direct GHG reduction to the </w:t>
      </w:r>
      <w:r w:rsidR="004462F0" w:rsidRPr="008B1195">
        <w:rPr>
          <w:rFonts w:cs="Arial"/>
          <w:szCs w:val="22"/>
          <w:lang w:val="en-GB"/>
        </w:rPr>
        <w:t xml:space="preserve">GEF based solely on direct and </w:t>
      </w:r>
      <w:r w:rsidR="0089295E">
        <w:rPr>
          <w:rFonts w:cs="Arial"/>
          <w:szCs w:val="22"/>
          <w:lang w:val="en-GB"/>
        </w:rPr>
        <w:t>consequential</w:t>
      </w:r>
      <w:r w:rsidR="0089295E" w:rsidRPr="008B1195">
        <w:rPr>
          <w:rFonts w:cs="Arial"/>
          <w:szCs w:val="22"/>
          <w:lang w:val="en-GB"/>
        </w:rPr>
        <w:t xml:space="preserve"> </w:t>
      </w:r>
      <w:r w:rsidR="004462F0" w:rsidRPr="008B1195">
        <w:rPr>
          <w:rFonts w:cs="Arial"/>
          <w:szCs w:val="22"/>
          <w:lang w:val="en-GB"/>
        </w:rPr>
        <w:t>emissions from the small</w:t>
      </w:r>
      <w:r w:rsidR="004462F0">
        <w:rPr>
          <w:rFonts w:cs="Arial"/>
          <w:szCs w:val="22"/>
          <w:lang w:val="en-GB"/>
        </w:rPr>
        <w:t>-</w:t>
      </w:r>
      <w:r w:rsidR="004462F0" w:rsidRPr="008B1195">
        <w:rPr>
          <w:rFonts w:cs="Arial"/>
          <w:szCs w:val="22"/>
          <w:lang w:val="en-GB"/>
        </w:rPr>
        <w:t>scale project components is shown in</w:t>
      </w:r>
      <w:r w:rsidRPr="008B1195">
        <w:rPr>
          <w:rFonts w:cs="Arial"/>
          <w:szCs w:val="22"/>
          <w:lang w:val="en-GB"/>
        </w:rPr>
        <w:t xml:space="preserve"> </w:t>
      </w:r>
      <w:r w:rsidR="008B1195" w:rsidRPr="008B1195">
        <w:rPr>
          <w:rFonts w:cs="Arial"/>
          <w:szCs w:val="22"/>
          <w:lang w:val="en-GB"/>
        </w:rPr>
        <w:fldChar w:fldCharType="begin"/>
      </w:r>
      <w:r w:rsidR="008B1195" w:rsidRPr="008B1195">
        <w:rPr>
          <w:rFonts w:cs="Arial"/>
          <w:szCs w:val="22"/>
          <w:lang w:val="en-GB"/>
        </w:rPr>
        <w:instrText xml:space="preserve"> REF _Ref464115187 \h </w:instrText>
      </w:r>
      <w:r w:rsidR="008B1195">
        <w:rPr>
          <w:rFonts w:cs="Arial"/>
          <w:szCs w:val="22"/>
          <w:lang w:val="en-GB"/>
        </w:rPr>
        <w:instrText xml:space="preserve"> \* MERGEFORMAT </w:instrText>
      </w:r>
      <w:r w:rsidR="008B1195" w:rsidRPr="008B1195">
        <w:rPr>
          <w:rFonts w:cs="Arial"/>
          <w:szCs w:val="22"/>
          <w:lang w:val="en-GB"/>
        </w:rPr>
      </w:r>
      <w:r w:rsidR="008B1195" w:rsidRPr="008B1195">
        <w:rPr>
          <w:rFonts w:cs="Arial"/>
          <w:szCs w:val="22"/>
          <w:lang w:val="en-GB"/>
        </w:rPr>
        <w:fldChar w:fldCharType="separate"/>
      </w:r>
      <w:r w:rsidR="00921873" w:rsidRPr="00921873">
        <w:rPr>
          <w:rFonts w:cs="Arial"/>
          <w:szCs w:val="22"/>
          <w:lang w:val="en-GB"/>
        </w:rPr>
        <w:t>Table 6</w:t>
      </w:r>
      <w:r w:rsidR="008B1195" w:rsidRPr="008B1195">
        <w:rPr>
          <w:rFonts w:cs="Arial"/>
          <w:szCs w:val="22"/>
          <w:lang w:val="en-GB"/>
        </w:rPr>
        <w:fldChar w:fldCharType="end"/>
      </w:r>
      <w:r w:rsidRPr="008E1D7C">
        <w:rPr>
          <w:rFonts w:cs="Arial"/>
          <w:szCs w:val="22"/>
          <w:lang w:val="en-GB"/>
        </w:rPr>
        <w:t xml:space="preserve"> below. A similar marginal cost of reduction can be expected from the UNDP grant </w:t>
      </w:r>
      <w:r w:rsidRPr="00473D26">
        <w:rPr>
          <w:rFonts w:cs="Arial"/>
          <w:szCs w:val="22"/>
          <w:lang w:val="en-GB"/>
        </w:rPr>
        <w:t>resources.</w:t>
      </w:r>
    </w:p>
    <w:p w14:paraId="4C5B357C" w14:textId="77777777" w:rsidR="008B1195" w:rsidRPr="004622EC" w:rsidRDefault="008B1195" w:rsidP="00863DD5">
      <w:pPr>
        <w:pStyle w:val="aff3"/>
      </w:pPr>
      <w:bookmarkStart w:id="78" w:name="_Ref464115187"/>
      <w:bookmarkStart w:id="79" w:name="_Toc464138781"/>
      <w:bookmarkStart w:id="80" w:name="_Toc479693913"/>
      <w:r>
        <w:t xml:space="preserve">Table </w:t>
      </w:r>
      <w:r w:rsidR="00AA15A7">
        <w:fldChar w:fldCharType="begin"/>
      </w:r>
      <w:r w:rsidR="00AA15A7">
        <w:instrText xml:space="preserve"> SEQ Table \* ARABIC </w:instrText>
      </w:r>
      <w:r w:rsidR="00AA15A7">
        <w:fldChar w:fldCharType="separate"/>
      </w:r>
      <w:r w:rsidR="00921873">
        <w:rPr>
          <w:noProof/>
        </w:rPr>
        <w:t>6</w:t>
      </w:r>
      <w:r w:rsidR="00AA15A7">
        <w:rPr>
          <w:noProof/>
        </w:rPr>
        <w:fldChar w:fldCharType="end"/>
      </w:r>
      <w:bookmarkEnd w:id="78"/>
      <w:r w:rsidR="002B343A">
        <w:t>:</w:t>
      </w:r>
      <w:r>
        <w:t xml:space="preserve"> Summary of the project’s cost efficiency and effectiveness</w:t>
      </w:r>
      <w:bookmarkEnd w:id="79"/>
      <w:bookmarkEnd w:id="80"/>
    </w:p>
    <w:tbl>
      <w:tblPr>
        <w:tblW w:w="5000" w:type="pct"/>
        <w:tblLook w:val="04A0" w:firstRow="1" w:lastRow="0" w:firstColumn="1" w:lastColumn="0" w:noHBand="0" w:noVBand="1"/>
      </w:tblPr>
      <w:tblGrid>
        <w:gridCol w:w="6662"/>
        <w:gridCol w:w="2795"/>
      </w:tblGrid>
      <w:tr w:rsidR="008B1195" w:rsidRPr="006E404E" w14:paraId="4B1CB991" w14:textId="77777777" w:rsidTr="004462F0">
        <w:trPr>
          <w:trHeight w:val="404"/>
        </w:trPr>
        <w:tc>
          <w:tcPr>
            <w:tcW w:w="3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1FBEA5" w14:textId="77777777" w:rsidR="00BB2191" w:rsidRPr="006E404E" w:rsidRDefault="00BB2191" w:rsidP="00F35653">
            <w:pPr>
              <w:rPr>
                <w:rFonts w:eastAsia="Times New Roman" w:cs="Arial"/>
                <w:sz w:val="20"/>
                <w:szCs w:val="20"/>
                <w:lang w:val="en-GB"/>
              </w:rPr>
            </w:pPr>
            <w:r w:rsidRPr="006E404E">
              <w:rPr>
                <w:rFonts w:eastAsia="Times New Roman" w:cs="Arial"/>
                <w:sz w:val="20"/>
                <w:szCs w:val="20"/>
                <w:lang w:val="en-GB"/>
              </w:rPr>
              <w:t>GEF project grant</w:t>
            </w:r>
          </w:p>
        </w:tc>
        <w:tc>
          <w:tcPr>
            <w:tcW w:w="1478" w:type="pct"/>
            <w:tcBorders>
              <w:top w:val="single" w:sz="4" w:space="0" w:color="auto"/>
              <w:left w:val="nil"/>
              <w:bottom w:val="single" w:sz="4" w:space="0" w:color="auto"/>
              <w:right w:val="single" w:sz="4" w:space="0" w:color="auto"/>
            </w:tcBorders>
            <w:shd w:val="clear" w:color="auto" w:fill="auto"/>
            <w:noWrap/>
            <w:vAlign w:val="center"/>
            <w:hideMark/>
          </w:tcPr>
          <w:p w14:paraId="76E1AFA8" w14:textId="77777777" w:rsidR="00BB2191" w:rsidRPr="006E404E" w:rsidRDefault="00BB2191" w:rsidP="004622EC">
            <w:pPr>
              <w:jc w:val="right"/>
              <w:rPr>
                <w:rFonts w:eastAsia="Times New Roman" w:cs="Arial"/>
                <w:sz w:val="20"/>
                <w:szCs w:val="20"/>
                <w:lang w:val="en-GB"/>
              </w:rPr>
            </w:pPr>
            <w:r w:rsidRPr="006E404E">
              <w:rPr>
                <w:rFonts w:cs="Arial"/>
                <w:sz w:val="20"/>
                <w:szCs w:val="20"/>
                <w:lang w:val="en-GB"/>
              </w:rPr>
              <w:t>$</w:t>
            </w:r>
            <w:r w:rsidR="00F35653" w:rsidRPr="006E404E">
              <w:rPr>
                <w:rFonts w:cs="Arial"/>
                <w:sz w:val="20"/>
                <w:szCs w:val="20"/>
                <w:lang w:val="en-GB"/>
              </w:rPr>
              <w:t>4,510,000</w:t>
            </w:r>
          </w:p>
        </w:tc>
      </w:tr>
      <w:tr w:rsidR="008B1195" w:rsidRPr="006E404E" w14:paraId="3C64CE82" w14:textId="77777777" w:rsidTr="004462F0">
        <w:trPr>
          <w:trHeight w:val="305"/>
        </w:trPr>
        <w:tc>
          <w:tcPr>
            <w:tcW w:w="3522" w:type="pct"/>
            <w:tcBorders>
              <w:top w:val="nil"/>
              <w:left w:val="single" w:sz="4" w:space="0" w:color="auto"/>
              <w:bottom w:val="single" w:sz="4" w:space="0" w:color="auto"/>
              <w:right w:val="single" w:sz="4" w:space="0" w:color="auto"/>
            </w:tcBorders>
            <w:shd w:val="clear" w:color="auto" w:fill="auto"/>
            <w:vAlign w:val="center"/>
            <w:hideMark/>
          </w:tcPr>
          <w:p w14:paraId="2807BB21" w14:textId="23D3979D" w:rsidR="00BB2191" w:rsidRPr="006E404E" w:rsidRDefault="00F35653" w:rsidP="00F35653">
            <w:pPr>
              <w:rPr>
                <w:rFonts w:eastAsia="Times New Roman" w:cs="Arial"/>
                <w:sz w:val="20"/>
                <w:szCs w:val="20"/>
                <w:lang w:val="en-GB"/>
              </w:rPr>
            </w:pPr>
            <w:r w:rsidRPr="006E404E">
              <w:rPr>
                <w:rFonts w:eastAsia="Times New Roman" w:cs="Arial"/>
                <w:sz w:val="20"/>
                <w:szCs w:val="20"/>
                <w:lang w:val="en-GB"/>
              </w:rPr>
              <w:t>Direct l</w:t>
            </w:r>
            <w:r w:rsidR="00BB2191" w:rsidRPr="006E404E">
              <w:rPr>
                <w:rFonts w:eastAsia="Times New Roman" w:cs="Arial"/>
                <w:sz w:val="20"/>
                <w:szCs w:val="20"/>
                <w:lang w:val="en-GB"/>
              </w:rPr>
              <w:t>ifetime tonnes of CO</w:t>
            </w:r>
            <w:r w:rsidR="00BB2191" w:rsidRPr="006E404E">
              <w:rPr>
                <w:rFonts w:eastAsia="Times New Roman" w:cs="Arial"/>
                <w:sz w:val="20"/>
                <w:szCs w:val="20"/>
                <w:vertAlign w:val="subscript"/>
                <w:lang w:val="en-GB"/>
              </w:rPr>
              <w:t>2</w:t>
            </w:r>
            <w:r w:rsidRPr="006E404E">
              <w:rPr>
                <w:rFonts w:eastAsia="Times New Roman" w:cs="Arial"/>
                <w:sz w:val="20"/>
                <w:szCs w:val="20"/>
                <w:vertAlign w:val="subscript"/>
                <w:lang w:val="en-GB"/>
              </w:rPr>
              <w:t>eq</w:t>
            </w:r>
            <w:r w:rsidR="00BB2191" w:rsidRPr="006E404E">
              <w:rPr>
                <w:rFonts w:eastAsia="Times New Roman" w:cs="Arial"/>
                <w:sz w:val="20"/>
                <w:szCs w:val="20"/>
                <w:lang w:val="en-GB"/>
              </w:rPr>
              <w:t xml:space="preserve"> reduced</w:t>
            </w:r>
          </w:p>
        </w:tc>
        <w:tc>
          <w:tcPr>
            <w:tcW w:w="1478" w:type="pct"/>
            <w:tcBorders>
              <w:top w:val="nil"/>
              <w:left w:val="nil"/>
              <w:bottom w:val="single" w:sz="4" w:space="0" w:color="auto"/>
              <w:right w:val="single" w:sz="4" w:space="0" w:color="auto"/>
            </w:tcBorders>
            <w:shd w:val="clear" w:color="auto" w:fill="auto"/>
            <w:noWrap/>
            <w:vAlign w:val="center"/>
            <w:hideMark/>
          </w:tcPr>
          <w:p w14:paraId="4BA2B775" w14:textId="77777777" w:rsidR="00BB2191" w:rsidRPr="006E404E" w:rsidRDefault="00F35653" w:rsidP="004622EC">
            <w:pPr>
              <w:jc w:val="right"/>
              <w:rPr>
                <w:rFonts w:eastAsia="Times New Roman" w:cs="Arial"/>
                <w:sz w:val="20"/>
                <w:szCs w:val="20"/>
                <w:lang w:val="en-GB"/>
              </w:rPr>
            </w:pPr>
            <w:r w:rsidRPr="006E404E">
              <w:rPr>
                <w:rFonts w:cs="Arial"/>
                <w:sz w:val="20"/>
                <w:szCs w:val="20"/>
                <w:lang w:val="en-GB"/>
              </w:rPr>
              <w:t>460,000</w:t>
            </w:r>
          </w:p>
        </w:tc>
      </w:tr>
      <w:tr w:rsidR="008B1195" w:rsidRPr="006E404E" w14:paraId="5394462C" w14:textId="77777777" w:rsidTr="004462F0">
        <w:trPr>
          <w:trHeight w:val="73"/>
        </w:trPr>
        <w:tc>
          <w:tcPr>
            <w:tcW w:w="3522" w:type="pct"/>
            <w:tcBorders>
              <w:top w:val="nil"/>
              <w:left w:val="single" w:sz="4" w:space="0" w:color="auto"/>
              <w:bottom w:val="single" w:sz="4" w:space="0" w:color="auto"/>
              <w:right w:val="single" w:sz="4" w:space="0" w:color="auto"/>
            </w:tcBorders>
            <w:shd w:val="clear" w:color="auto" w:fill="auto"/>
            <w:vAlign w:val="center"/>
            <w:hideMark/>
          </w:tcPr>
          <w:p w14:paraId="02532440" w14:textId="77777777" w:rsidR="00BB2191" w:rsidRPr="006E404E" w:rsidRDefault="00BB2191" w:rsidP="00F35653">
            <w:pPr>
              <w:rPr>
                <w:rFonts w:eastAsia="Times New Roman" w:cs="Arial"/>
                <w:sz w:val="20"/>
                <w:szCs w:val="20"/>
                <w:lang w:val="en-GB"/>
              </w:rPr>
            </w:pPr>
            <w:r w:rsidRPr="006E404E">
              <w:rPr>
                <w:rFonts w:eastAsia="Times New Roman" w:cs="Arial"/>
                <w:sz w:val="20"/>
                <w:szCs w:val="20"/>
                <w:lang w:val="en-GB"/>
              </w:rPr>
              <w:t xml:space="preserve">Cost per tonne of </w:t>
            </w:r>
            <w:r w:rsidR="00F35653" w:rsidRPr="006E404E">
              <w:rPr>
                <w:rFonts w:eastAsia="Times New Roman" w:cs="Arial"/>
                <w:sz w:val="20"/>
                <w:szCs w:val="20"/>
                <w:lang w:val="en-GB"/>
              </w:rPr>
              <w:t>CO</w:t>
            </w:r>
            <w:r w:rsidR="00F35653" w:rsidRPr="006E404E">
              <w:rPr>
                <w:rFonts w:eastAsia="Times New Roman" w:cs="Arial"/>
                <w:sz w:val="20"/>
                <w:szCs w:val="20"/>
                <w:vertAlign w:val="subscript"/>
                <w:lang w:val="en-GB"/>
              </w:rPr>
              <w:t>2eq</w:t>
            </w:r>
            <w:r w:rsidR="00F35653" w:rsidRPr="006E404E">
              <w:rPr>
                <w:rFonts w:eastAsia="Times New Roman" w:cs="Arial"/>
                <w:sz w:val="20"/>
                <w:szCs w:val="20"/>
                <w:lang w:val="en-GB"/>
              </w:rPr>
              <w:t xml:space="preserve"> </w:t>
            </w:r>
            <w:r w:rsidRPr="006E404E">
              <w:rPr>
                <w:rFonts w:eastAsia="Times New Roman" w:cs="Arial"/>
                <w:sz w:val="20"/>
                <w:szCs w:val="20"/>
                <w:lang w:val="en-GB"/>
              </w:rPr>
              <w:t xml:space="preserve">reduction to the GEF </w:t>
            </w:r>
            <w:r w:rsidR="00F35653" w:rsidRPr="006E404E">
              <w:rPr>
                <w:rFonts w:eastAsia="Times New Roman" w:cs="Arial"/>
                <w:sz w:val="20"/>
                <w:szCs w:val="20"/>
                <w:lang w:val="en-GB"/>
              </w:rPr>
              <w:t>–</w:t>
            </w:r>
            <w:r w:rsidRPr="006E404E">
              <w:rPr>
                <w:rFonts w:eastAsia="Times New Roman" w:cs="Arial"/>
                <w:sz w:val="20"/>
                <w:szCs w:val="20"/>
                <w:lang w:val="en-GB"/>
              </w:rPr>
              <w:t xml:space="preserve"> </w:t>
            </w:r>
            <w:r w:rsidR="00F35653" w:rsidRPr="006E404E">
              <w:rPr>
                <w:rFonts w:eastAsia="Times New Roman" w:cs="Arial"/>
                <w:sz w:val="20"/>
                <w:szCs w:val="20"/>
                <w:lang w:val="en-GB"/>
              </w:rPr>
              <w:t>direct lifetime emissions</w:t>
            </w:r>
          </w:p>
        </w:tc>
        <w:tc>
          <w:tcPr>
            <w:tcW w:w="1478" w:type="pct"/>
            <w:tcBorders>
              <w:top w:val="nil"/>
              <w:left w:val="nil"/>
              <w:bottom w:val="single" w:sz="4" w:space="0" w:color="auto"/>
              <w:right w:val="single" w:sz="4" w:space="0" w:color="auto"/>
            </w:tcBorders>
            <w:shd w:val="clear" w:color="auto" w:fill="auto"/>
            <w:noWrap/>
            <w:vAlign w:val="center"/>
            <w:hideMark/>
          </w:tcPr>
          <w:p w14:paraId="4AA2689E" w14:textId="77777777" w:rsidR="00BB2191" w:rsidRPr="006E404E" w:rsidRDefault="00BB2191" w:rsidP="004622EC">
            <w:pPr>
              <w:jc w:val="right"/>
              <w:rPr>
                <w:rFonts w:eastAsia="Times New Roman" w:cs="Arial"/>
                <w:sz w:val="20"/>
                <w:szCs w:val="20"/>
                <w:lang w:val="en-GB"/>
              </w:rPr>
            </w:pPr>
            <w:r w:rsidRPr="006E404E">
              <w:rPr>
                <w:rFonts w:cs="Arial"/>
                <w:sz w:val="20"/>
                <w:szCs w:val="20"/>
                <w:lang w:val="en-GB"/>
              </w:rPr>
              <w:t>$</w:t>
            </w:r>
            <w:r w:rsidR="00F35653" w:rsidRPr="006E404E">
              <w:rPr>
                <w:rFonts w:cs="Arial"/>
                <w:sz w:val="20"/>
                <w:szCs w:val="20"/>
                <w:lang w:val="en-GB"/>
              </w:rPr>
              <w:t>9.80</w:t>
            </w:r>
          </w:p>
        </w:tc>
      </w:tr>
      <w:tr w:rsidR="008B1195" w:rsidRPr="006E404E" w14:paraId="30A083C4" w14:textId="77777777" w:rsidTr="0041008F">
        <w:trPr>
          <w:trHeight w:val="125"/>
        </w:trPr>
        <w:tc>
          <w:tcPr>
            <w:tcW w:w="3522" w:type="pct"/>
            <w:tcBorders>
              <w:top w:val="nil"/>
              <w:left w:val="single" w:sz="4" w:space="0" w:color="auto"/>
              <w:bottom w:val="single" w:sz="4" w:space="0" w:color="auto"/>
              <w:right w:val="single" w:sz="4" w:space="0" w:color="auto"/>
            </w:tcBorders>
            <w:shd w:val="clear" w:color="auto" w:fill="auto"/>
            <w:vAlign w:val="center"/>
            <w:hideMark/>
          </w:tcPr>
          <w:p w14:paraId="7A54EF7B" w14:textId="589BB4B9" w:rsidR="00BB2191" w:rsidRPr="006E404E" w:rsidRDefault="00C34F9D" w:rsidP="00F35653">
            <w:pPr>
              <w:rPr>
                <w:rFonts w:eastAsia="Times New Roman" w:cs="Arial"/>
                <w:sz w:val="20"/>
                <w:szCs w:val="20"/>
                <w:lang w:val="en-GB"/>
              </w:rPr>
            </w:pPr>
            <w:r>
              <w:rPr>
                <w:rFonts w:eastAsia="Times New Roman" w:cs="Arial"/>
                <w:sz w:val="20"/>
                <w:szCs w:val="20"/>
                <w:lang w:val="en-GB"/>
              </w:rPr>
              <w:t>Consequential</w:t>
            </w:r>
            <w:r w:rsidRPr="006E404E">
              <w:rPr>
                <w:rFonts w:eastAsia="Times New Roman" w:cs="Arial"/>
                <w:sz w:val="20"/>
                <w:szCs w:val="20"/>
                <w:lang w:val="en-GB"/>
              </w:rPr>
              <w:t xml:space="preserve"> </w:t>
            </w:r>
            <w:r w:rsidR="00F35653" w:rsidRPr="006E404E">
              <w:rPr>
                <w:rFonts w:eastAsia="Times New Roman" w:cs="Arial"/>
                <w:sz w:val="20"/>
                <w:szCs w:val="20"/>
                <w:lang w:val="en-GB"/>
              </w:rPr>
              <w:t>emissions estimate</w:t>
            </w:r>
            <w:r w:rsidR="0041008F">
              <w:rPr>
                <w:rFonts w:eastAsia="Times New Roman" w:cs="Arial"/>
                <w:sz w:val="20"/>
                <w:szCs w:val="20"/>
                <w:lang w:val="en-GB"/>
              </w:rPr>
              <w:t xml:space="preserve"> (</w:t>
            </w:r>
            <w:r w:rsidR="0041008F" w:rsidRPr="006E404E">
              <w:rPr>
                <w:rFonts w:eastAsia="Times New Roman" w:cs="Arial"/>
                <w:sz w:val="20"/>
                <w:szCs w:val="20"/>
                <w:lang w:val="en-GB"/>
              </w:rPr>
              <w:t>tonnes of CO</w:t>
            </w:r>
            <w:r w:rsidR="0041008F" w:rsidRPr="006E404E">
              <w:rPr>
                <w:rFonts w:eastAsia="Times New Roman" w:cs="Arial"/>
                <w:sz w:val="20"/>
                <w:szCs w:val="20"/>
                <w:vertAlign w:val="subscript"/>
                <w:lang w:val="en-GB"/>
              </w:rPr>
              <w:t>2eq</w:t>
            </w:r>
            <w:r w:rsidR="0041008F" w:rsidRPr="0041008F">
              <w:rPr>
                <w:rFonts w:eastAsia="Times New Roman" w:cs="Arial"/>
                <w:sz w:val="20"/>
                <w:szCs w:val="20"/>
                <w:lang w:val="en-GB"/>
              </w:rPr>
              <w:t>)</w:t>
            </w:r>
          </w:p>
        </w:tc>
        <w:tc>
          <w:tcPr>
            <w:tcW w:w="1478" w:type="pct"/>
            <w:tcBorders>
              <w:top w:val="nil"/>
              <w:left w:val="nil"/>
              <w:bottom w:val="single" w:sz="4" w:space="0" w:color="auto"/>
              <w:right w:val="single" w:sz="4" w:space="0" w:color="auto"/>
            </w:tcBorders>
            <w:shd w:val="clear" w:color="auto" w:fill="auto"/>
            <w:noWrap/>
            <w:vAlign w:val="center"/>
            <w:hideMark/>
          </w:tcPr>
          <w:p w14:paraId="2774384C" w14:textId="77777777" w:rsidR="00BB2191" w:rsidRPr="006E404E" w:rsidRDefault="00F35653" w:rsidP="004622EC">
            <w:pPr>
              <w:jc w:val="right"/>
              <w:rPr>
                <w:rFonts w:eastAsia="Times New Roman" w:cs="Arial"/>
                <w:sz w:val="20"/>
                <w:szCs w:val="20"/>
                <w:lang w:val="en-GB"/>
              </w:rPr>
            </w:pPr>
            <w:r w:rsidRPr="006E404E">
              <w:rPr>
                <w:rFonts w:eastAsia="Times New Roman" w:cs="Arial"/>
                <w:sz w:val="20"/>
                <w:szCs w:val="20"/>
                <w:lang w:val="en-GB"/>
              </w:rPr>
              <w:t xml:space="preserve">1,800,000 (bottom up) to </w:t>
            </w:r>
            <w:r w:rsidRPr="006E404E">
              <w:rPr>
                <w:rFonts w:eastAsia="Times New Roman" w:cs="Arial"/>
                <w:sz w:val="20"/>
                <w:szCs w:val="20"/>
                <w:lang w:val="en-GB"/>
              </w:rPr>
              <w:br/>
              <w:t>8,000,000 (top down)</w:t>
            </w:r>
          </w:p>
        </w:tc>
      </w:tr>
      <w:tr w:rsidR="008B1195" w:rsidRPr="006E404E" w14:paraId="45810EFE" w14:textId="77777777" w:rsidTr="0041008F">
        <w:trPr>
          <w:trHeight w:val="323"/>
        </w:trPr>
        <w:tc>
          <w:tcPr>
            <w:tcW w:w="3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BCCF9" w14:textId="5386D529" w:rsidR="00BB2191" w:rsidRPr="006E404E" w:rsidRDefault="00BB2191" w:rsidP="0089295E">
            <w:pPr>
              <w:rPr>
                <w:rFonts w:eastAsia="Times New Roman" w:cs="Arial"/>
                <w:sz w:val="20"/>
                <w:szCs w:val="20"/>
                <w:lang w:val="en-GB"/>
              </w:rPr>
            </w:pPr>
            <w:r w:rsidRPr="006E404E">
              <w:rPr>
                <w:rFonts w:eastAsia="Times New Roman" w:cs="Arial"/>
                <w:sz w:val="20"/>
                <w:szCs w:val="20"/>
                <w:lang w:val="en-GB"/>
              </w:rPr>
              <w:t xml:space="preserve">Cost per tonne of </w:t>
            </w:r>
            <w:r w:rsidR="00F35653" w:rsidRPr="006E404E">
              <w:rPr>
                <w:rFonts w:eastAsia="Times New Roman" w:cs="Arial"/>
                <w:sz w:val="20"/>
                <w:szCs w:val="20"/>
                <w:lang w:val="en-GB"/>
              </w:rPr>
              <w:t>CO</w:t>
            </w:r>
            <w:r w:rsidR="00F35653" w:rsidRPr="006E404E">
              <w:rPr>
                <w:rFonts w:eastAsia="Times New Roman" w:cs="Arial"/>
                <w:sz w:val="20"/>
                <w:szCs w:val="20"/>
                <w:vertAlign w:val="subscript"/>
                <w:lang w:val="en-GB"/>
              </w:rPr>
              <w:t>2eq</w:t>
            </w:r>
            <w:r w:rsidRPr="006E404E">
              <w:rPr>
                <w:rFonts w:eastAsia="Times New Roman" w:cs="Arial"/>
                <w:sz w:val="20"/>
                <w:szCs w:val="20"/>
                <w:lang w:val="en-GB"/>
              </w:rPr>
              <w:t xml:space="preserve"> reduction to the GEF </w:t>
            </w:r>
            <w:r w:rsidR="00F35653" w:rsidRPr="006E404E">
              <w:rPr>
                <w:rFonts w:eastAsia="Times New Roman" w:cs="Arial"/>
                <w:sz w:val="20"/>
                <w:szCs w:val="20"/>
                <w:lang w:val="en-GB"/>
              </w:rPr>
              <w:t>–</w:t>
            </w:r>
            <w:r w:rsidRPr="006E404E">
              <w:rPr>
                <w:rFonts w:eastAsia="Times New Roman" w:cs="Arial"/>
                <w:sz w:val="20"/>
                <w:szCs w:val="20"/>
                <w:lang w:val="en-GB"/>
              </w:rPr>
              <w:t xml:space="preserve"> </w:t>
            </w:r>
            <w:r w:rsidR="00F35653" w:rsidRPr="006E404E">
              <w:rPr>
                <w:rFonts w:eastAsia="Times New Roman" w:cs="Arial"/>
                <w:sz w:val="20"/>
                <w:szCs w:val="20"/>
                <w:lang w:val="en-GB"/>
              </w:rPr>
              <w:t xml:space="preserve">direct and </w:t>
            </w:r>
            <w:r w:rsidR="0089295E">
              <w:rPr>
                <w:rFonts w:eastAsia="Times New Roman" w:cs="Arial"/>
                <w:sz w:val="20"/>
                <w:szCs w:val="20"/>
                <w:lang w:val="en-GB"/>
              </w:rPr>
              <w:t>consequential</w:t>
            </w:r>
            <w:r w:rsidR="0089295E" w:rsidRPr="006E404E">
              <w:rPr>
                <w:rFonts w:eastAsia="Times New Roman" w:cs="Arial"/>
                <w:sz w:val="20"/>
                <w:szCs w:val="20"/>
                <w:lang w:val="en-GB"/>
              </w:rPr>
              <w:t xml:space="preserve"> </w:t>
            </w:r>
            <w:r w:rsidR="00F35653" w:rsidRPr="006E404E">
              <w:rPr>
                <w:rFonts w:eastAsia="Times New Roman" w:cs="Arial"/>
                <w:sz w:val="20"/>
                <w:szCs w:val="20"/>
                <w:lang w:val="en-GB"/>
              </w:rPr>
              <w:t>emissions</w:t>
            </w:r>
          </w:p>
        </w:tc>
        <w:tc>
          <w:tcPr>
            <w:tcW w:w="1478" w:type="pct"/>
            <w:tcBorders>
              <w:top w:val="single" w:sz="4" w:space="0" w:color="auto"/>
              <w:left w:val="nil"/>
              <w:bottom w:val="single" w:sz="4" w:space="0" w:color="auto"/>
              <w:right w:val="single" w:sz="4" w:space="0" w:color="auto"/>
            </w:tcBorders>
            <w:shd w:val="clear" w:color="auto" w:fill="auto"/>
            <w:noWrap/>
            <w:vAlign w:val="center"/>
            <w:hideMark/>
          </w:tcPr>
          <w:p w14:paraId="29232CF9" w14:textId="77777777" w:rsidR="00BB2191" w:rsidRPr="006E404E" w:rsidRDefault="00F35653" w:rsidP="004622EC">
            <w:pPr>
              <w:jc w:val="right"/>
              <w:rPr>
                <w:rFonts w:eastAsia="Times New Roman" w:cs="Arial"/>
                <w:sz w:val="20"/>
                <w:szCs w:val="20"/>
                <w:lang w:val="en-GB"/>
              </w:rPr>
            </w:pPr>
            <w:r w:rsidRPr="006E404E">
              <w:rPr>
                <w:rFonts w:eastAsia="Times New Roman" w:cs="Arial"/>
                <w:sz w:val="20"/>
                <w:szCs w:val="20"/>
                <w:lang w:val="en-GB"/>
              </w:rPr>
              <w:t xml:space="preserve">Between $2.00 and $0.53 </w:t>
            </w:r>
          </w:p>
        </w:tc>
      </w:tr>
    </w:tbl>
    <w:p w14:paraId="14DFB6CF" w14:textId="77777777" w:rsidR="0041008F" w:rsidRDefault="0041008F"/>
    <w:p w14:paraId="03290B81" w14:textId="1F75640F" w:rsidR="004462F0" w:rsidRPr="00673312" w:rsidRDefault="0041008F" w:rsidP="0020322F">
      <w:pPr>
        <w:pStyle w:val="a7"/>
        <w:keepNext/>
        <w:keepLines/>
        <w:numPr>
          <w:ilvl w:val="0"/>
          <w:numId w:val="9"/>
        </w:numPr>
        <w:tabs>
          <w:tab w:val="clear" w:pos="4153"/>
          <w:tab w:val="clear" w:pos="8306"/>
          <w:tab w:val="left" w:pos="426"/>
        </w:tabs>
        <w:spacing w:after="120"/>
        <w:rPr>
          <w:rFonts w:cs="Arial"/>
          <w:szCs w:val="22"/>
          <w:lang w:val="en-GB"/>
        </w:rPr>
      </w:pPr>
      <w:r>
        <w:rPr>
          <w:rFonts w:cs="Arial"/>
          <w:szCs w:val="22"/>
          <w:lang w:val="en-GB"/>
        </w:rPr>
        <w:t>T</w:t>
      </w:r>
      <w:r w:rsidR="004462F0">
        <w:rPr>
          <w:rFonts w:cs="Arial"/>
          <w:szCs w:val="22"/>
          <w:lang w:val="en-GB"/>
        </w:rPr>
        <w:t>he project strategy is highly innovative</w:t>
      </w:r>
      <w:r>
        <w:rPr>
          <w:rFonts w:cs="Arial"/>
          <w:szCs w:val="22"/>
          <w:lang w:val="en-GB"/>
        </w:rPr>
        <w:t xml:space="preserve"> for Kazakhstan</w:t>
      </w:r>
      <w:r w:rsidR="004462F0">
        <w:rPr>
          <w:rFonts w:cs="Arial"/>
          <w:szCs w:val="22"/>
          <w:lang w:val="en-GB"/>
        </w:rPr>
        <w:t>. For large-scale renewables, the proposed policy and financial derisking activities, have a compelling analytical basis – the DREI framework – that have not existed to date. This framework provides strong indications to the Government of how investment in derisking will lead to a substantially reduced cost, and substantial savings for the economy.</w:t>
      </w:r>
    </w:p>
    <w:p w14:paraId="58AB168C" w14:textId="77777777" w:rsidR="00BB2191" w:rsidRPr="00473D26" w:rsidRDefault="00BB2191" w:rsidP="0020322F">
      <w:pPr>
        <w:pStyle w:val="a7"/>
        <w:numPr>
          <w:ilvl w:val="0"/>
          <w:numId w:val="9"/>
        </w:numPr>
        <w:tabs>
          <w:tab w:val="clear" w:pos="4153"/>
          <w:tab w:val="clear" w:pos="8306"/>
          <w:tab w:val="left" w:pos="426"/>
        </w:tabs>
        <w:spacing w:after="120"/>
        <w:rPr>
          <w:rFonts w:cs="Arial"/>
          <w:szCs w:val="22"/>
          <w:lang w:val="en-GB"/>
        </w:rPr>
      </w:pPr>
      <w:r w:rsidRPr="0064644B">
        <w:rPr>
          <w:rFonts w:cs="Arial"/>
          <w:szCs w:val="22"/>
          <w:lang w:val="en-GB"/>
        </w:rPr>
        <w:t xml:space="preserve">The project’s approach involves a mix of business models which can be replicated both within </w:t>
      </w:r>
      <w:r w:rsidR="0064644B">
        <w:rPr>
          <w:rFonts w:cs="Arial"/>
          <w:szCs w:val="22"/>
          <w:lang w:val="en-GB"/>
        </w:rPr>
        <w:t xml:space="preserve">Kazakhstan </w:t>
      </w:r>
      <w:r w:rsidRPr="00473D26">
        <w:rPr>
          <w:rFonts w:cs="Arial"/>
          <w:szCs w:val="22"/>
          <w:lang w:val="en-GB"/>
        </w:rPr>
        <w:t>and elsewhere. The combination of technical assistance</w:t>
      </w:r>
      <w:r w:rsidR="0064644B">
        <w:rPr>
          <w:rFonts w:cs="Arial"/>
          <w:szCs w:val="22"/>
          <w:lang w:val="en-GB"/>
        </w:rPr>
        <w:t xml:space="preserve"> and concessional finance </w:t>
      </w:r>
      <w:r w:rsidRPr="00473D26">
        <w:rPr>
          <w:rFonts w:cs="Arial"/>
          <w:szCs w:val="22"/>
          <w:lang w:val="en-GB"/>
        </w:rPr>
        <w:t xml:space="preserve">is expected to have a significant market impact </w:t>
      </w:r>
      <w:r w:rsidR="004622EC">
        <w:rPr>
          <w:rFonts w:cs="Arial"/>
          <w:szCs w:val="22"/>
          <w:lang w:val="en-GB"/>
        </w:rPr>
        <w:t>in a new market (small-</w:t>
      </w:r>
      <w:r w:rsidR="0064644B">
        <w:rPr>
          <w:rFonts w:cs="Arial"/>
          <w:szCs w:val="22"/>
          <w:lang w:val="en-GB"/>
        </w:rPr>
        <w:t>scale renewables)</w:t>
      </w:r>
      <w:r w:rsidRPr="00473D26">
        <w:rPr>
          <w:rFonts w:cs="Arial"/>
          <w:szCs w:val="22"/>
          <w:lang w:val="en-GB"/>
        </w:rPr>
        <w:t>.</w:t>
      </w:r>
    </w:p>
    <w:p w14:paraId="368CEC07" w14:textId="77777777" w:rsidR="003D2C23" w:rsidRPr="004622EC" w:rsidRDefault="00F75A9F" w:rsidP="0020322F">
      <w:pPr>
        <w:pStyle w:val="afb"/>
        <w:numPr>
          <w:ilvl w:val="0"/>
          <w:numId w:val="40"/>
        </w:numPr>
        <w:spacing w:before="240" w:after="120"/>
        <w:rPr>
          <w:rFonts w:ascii="Calibri" w:hAnsi="Calibri"/>
          <w:b/>
          <w:i/>
          <w:szCs w:val="20"/>
        </w:rPr>
      </w:pPr>
      <w:r w:rsidRPr="004622EC">
        <w:rPr>
          <w:rFonts w:ascii="Calibri" w:hAnsi="Calibri"/>
          <w:b/>
          <w:i/>
          <w:szCs w:val="20"/>
        </w:rPr>
        <w:t>Risk Management</w:t>
      </w:r>
    </w:p>
    <w:p w14:paraId="574799FD" w14:textId="1D32C2E2" w:rsidR="00B134EE" w:rsidRDefault="00FD1890" w:rsidP="0020322F">
      <w:pPr>
        <w:pStyle w:val="a7"/>
        <w:numPr>
          <w:ilvl w:val="0"/>
          <w:numId w:val="9"/>
        </w:numPr>
        <w:tabs>
          <w:tab w:val="clear" w:pos="4153"/>
          <w:tab w:val="clear" w:pos="8306"/>
          <w:tab w:val="left" w:pos="426"/>
        </w:tabs>
        <w:spacing w:after="120"/>
        <w:rPr>
          <w:rFonts w:cs="Arial"/>
          <w:szCs w:val="22"/>
          <w:lang w:val="en-GB"/>
        </w:rPr>
      </w:pPr>
      <w:r w:rsidRPr="006004D1">
        <w:rPr>
          <w:rFonts w:cs="Arial"/>
          <w:szCs w:val="22"/>
          <w:lang w:val="en-GB"/>
        </w:rPr>
        <w:t xml:space="preserve">As per standard UNDP requirements, </w:t>
      </w:r>
      <w:r w:rsidR="009A496C" w:rsidRPr="006004D1">
        <w:rPr>
          <w:rFonts w:cs="Arial"/>
          <w:szCs w:val="22"/>
          <w:lang w:val="en-GB"/>
        </w:rPr>
        <w:t>the</w:t>
      </w:r>
      <w:r w:rsidR="00774618" w:rsidRPr="006004D1">
        <w:rPr>
          <w:rFonts w:cs="Arial"/>
          <w:szCs w:val="22"/>
          <w:lang w:val="en-GB"/>
        </w:rPr>
        <w:t xml:space="preserve"> Project Manager will </w:t>
      </w:r>
      <w:r w:rsidR="001310FB" w:rsidRPr="006004D1">
        <w:rPr>
          <w:rFonts w:cs="Arial"/>
          <w:szCs w:val="22"/>
          <w:lang w:val="en-GB"/>
        </w:rPr>
        <w:t>monitor risks quarterly and report on the status of risks</w:t>
      </w:r>
      <w:r w:rsidR="00774618" w:rsidRPr="006004D1">
        <w:rPr>
          <w:rFonts w:cs="Arial"/>
          <w:szCs w:val="22"/>
          <w:lang w:val="en-GB"/>
        </w:rPr>
        <w:t xml:space="preserve"> to </w:t>
      </w:r>
      <w:r w:rsidRPr="006004D1">
        <w:rPr>
          <w:rFonts w:cs="Arial"/>
          <w:szCs w:val="22"/>
          <w:lang w:val="en-GB"/>
        </w:rPr>
        <w:t>the UNDP Country Office</w:t>
      </w:r>
      <w:r w:rsidR="001310FB" w:rsidRPr="006004D1">
        <w:rPr>
          <w:rFonts w:cs="Arial"/>
          <w:szCs w:val="22"/>
          <w:lang w:val="en-GB"/>
        </w:rPr>
        <w:t xml:space="preserve">. The UNDP Country Office </w:t>
      </w:r>
      <w:r w:rsidR="00774618" w:rsidRPr="006004D1">
        <w:rPr>
          <w:rFonts w:cs="Arial"/>
          <w:szCs w:val="22"/>
          <w:lang w:val="en-GB"/>
        </w:rPr>
        <w:t xml:space="preserve">will record progress </w:t>
      </w:r>
      <w:r w:rsidRPr="006004D1">
        <w:rPr>
          <w:rFonts w:cs="Arial"/>
          <w:szCs w:val="22"/>
          <w:lang w:val="en-GB"/>
        </w:rPr>
        <w:t>in the UNDP ATLAS risk log.</w:t>
      </w:r>
      <w:r w:rsidR="00CB1142" w:rsidRPr="006004D1">
        <w:rPr>
          <w:rFonts w:cs="Arial"/>
          <w:szCs w:val="22"/>
          <w:lang w:val="en-GB"/>
        </w:rPr>
        <w:t xml:space="preserve"> Risks will be reported as critical when the impact and </w:t>
      </w:r>
      <w:r w:rsidR="00C953AA" w:rsidRPr="006004D1">
        <w:rPr>
          <w:rFonts w:cs="Arial"/>
          <w:szCs w:val="22"/>
          <w:lang w:val="en-GB"/>
        </w:rPr>
        <w:t>probability</w:t>
      </w:r>
      <w:r w:rsidR="00CB1142" w:rsidRPr="006004D1">
        <w:rPr>
          <w:rFonts w:cs="Arial"/>
          <w:szCs w:val="22"/>
          <w:lang w:val="en-GB"/>
        </w:rPr>
        <w:t xml:space="preserve"> are high</w:t>
      </w:r>
      <w:r w:rsidR="00774618" w:rsidRPr="006004D1">
        <w:rPr>
          <w:rFonts w:cs="Arial"/>
          <w:szCs w:val="22"/>
          <w:lang w:val="en-GB"/>
        </w:rPr>
        <w:t xml:space="preserve"> (i.e.</w:t>
      </w:r>
      <w:r w:rsidR="00A4185A">
        <w:rPr>
          <w:rFonts w:cs="Arial"/>
          <w:szCs w:val="22"/>
          <w:lang w:val="en-GB"/>
        </w:rPr>
        <w:t xml:space="preserve"> corresponding to</w:t>
      </w:r>
      <w:r w:rsidR="009A496C" w:rsidRPr="006004D1">
        <w:rPr>
          <w:rFonts w:cs="Arial"/>
          <w:szCs w:val="22"/>
          <w:lang w:val="en-GB"/>
        </w:rPr>
        <w:t xml:space="preserve"> when</w:t>
      </w:r>
      <w:r w:rsidR="00774618" w:rsidRPr="006004D1">
        <w:rPr>
          <w:rFonts w:cs="Arial"/>
          <w:szCs w:val="22"/>
          <w:lang w:val="en-GB"/>
        </w:rPr>
        <w:t xml:space="preserve"> </w:t>
      </w:r>
      <w:r w:rsidR="001310FB" w:rsidRPr="006004D1">
        <w:rPr>
          <w:rFonts w:cs="Arial"/>
          <w:szCs w:val="22"/>
          <w:lang w:val="en-GB"/>
        </w:rPr>
        <w:t xml:space="preserve">impact is rated as 5, </w:t>
      </w:r>
      <w:r w:rsidR="009A496C" w:rsidRPr="006004D1">
        <w:rPr>
          <w:rFonts w:cs="Arial"/>
          <w:szCs w:val="22"/>
          <w:lang w:val="en-GB"/>
        </w:rPr>
        <w:t>and when impac</w:t>
      </w:r>
      <w:r w:rsidR="001310FB" w:rsidRPr="006004D1">
        <w:rPr>
          <w:rFonts w:cs="Arial"/>
          <w:szCs w:val="22"/>
          <w:lang w:val="en-GB"/>
        </w:rPr>
        <w:t xml:space="preserve">t is rated as 4 and probability </w:t>
      </w:r>
      <w:r w:rsidR="009A496C" w:rsidRPr="006004D1">
        <w:rPr>
          <w:rFonts w:cs="Arial"/>
          <w:szCs w:val="22"/>
          <w:lang w:val="en-GB"/>
        </w:rPr>
        <w:t xml:space="preserve">is rated </w:t>
      </w:r>
      <w:r w:rsidR="00D122DD" w:rsidRPr="006004D1">
        <w:rPr>
          <w:rFonts w:cs="Arial"/>
          <w:szCs w:val="22"/>
          <w:lang w:val="en-GB"/>
        </w:rPr>
        <w:t>at 3 or higher</w:t>
      </w:r>
      <w:r w:rsidR="00774618" w:rsidRPr="006004D1">
        <w:rPr>
          <w:rFonts w:cs="Arial"/>
          <w:szCs w:val="22"/>
          <w:lang w:val="en-GB"/>
        </w:rPr>
        <w:t>)</w:t>
      </w:r>
      <w:r w:rsidR="00CB1142" w:rsidRPr="006004D1">
        <w:rPr>
          <w:rFonts w:cs="Arial"/>
          <w:szCs w:val="22"/>
          <w:lang w:val="en-GB"/>
        </w:rPr>
        <w:t>. Management responses to critical risks will also be reported to the GEF in the annual PIR.</w:t>
      </w:r>
    </w:p>
    <w:p w14:paraId="70EB69C1" w14:textId="77777777" w:rsidR="00312A95" w:rsidRPr="004622EC" w:rsidRDefault="002B343A" w:rsidP="00863DD5">
      <w:pPr>
        <w:pStyle w:val="aff3"/>
      </w:pPr>
      <w:bookmarkStart w:id="81" w:name="_Toc337722218"/>
      <w:bookmarkStart w:id="82" w:name="_Toc464138782"/>
      <w:bookmarkStart w:id="83" w:name="_Toc479693914"/>
      <w:r>
        <w:t xml:space="preserve">Table </w:t>
      </w:r>
      <w:r w:rsidR="00AA15A7">
        <w:fldChar w:fldCharType="begin"/>
      </w:r>
      <w:r w:rsidR="00AA15A7">
        <w:instrText xml:space="preserve"> SEQ Table \* ARABIC </w:instrText>
      </w:r>
      <w:r w:rsidR="00AA15A7">
        <w:fldChar w:fldCharType="separate"/>
      </w:r>
      <w:r w:rsidR="00921873">
        <w:rPr>
          <w:noProof/>
        </w:rPr>
        <w:t>7</w:t>
      </w:r>
      <w:r w:rsidR="00AA15A7">
        <w:rPr>
          <w:noProof/>
        </w:rPr>
        <w:fldChar w:fldCharType="end"/>
      </w:r>
      <w:r>
        <w:t xml:space="preserve">: </w:t>
      </w:r>
      <w:r w:rsidR="00312A95" w:rsidRPr="004622EC">
        <w:t>Project risks</w:t>
      </w:r>
      <w:bookmarkEnd w:id="81"/>
      <w:bookmarkEnd w:id="82"/>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1350"/>
        <w:gridCol w:w="1170"/>
        <w:gridCol w:w="3878"/>
        <w:gridCol w:w="822"/>
      </w:tblGrid>
      <w:tr w:rsidR="00A4185A" w:rsidRPr="006E404E" w14:paraId="387069A4" w14:textId="77777777" w:rsidTr="00A4185A">
        <w:trPr>
          <w:tblHeader/>
        </w:trPr>
        <w:tc>
          <w:tcPr>
            <w:tcW w:w="2237" w:type="dxa"/>
            <w:shd w:val="clear" w:color="auto" w:fill="D9D9D9" w:themeFill="background1" w:themeFillShade="D9"/>
          </w:tcPr>
          <w:p w14:paraId="12451211" w14:textId="77777777" w:rsidR="00A8609D" w:rsidRPr="006E404E" w:rsidRDefault="00A8609D" w:rsidP="008E1D7C">
            <w:pPr>
              <w:rPr>
                <w:rFonts w:asciiTheme="majorHAnsi" w:hAnsiTheme="majorHAnsi" w:cs="Arial"/>
                <w:b/>
                <w:sz w:val="20"/>
                <w:szCs w:val="20"/>
              </w:rPr>
            </w:pPr>
            <w:r w:rsidRPr="006E404E">
              <w:rPr>
                <w:rFonts w:asciiTheme="majorHAnsi" w:hAnsiTheme="majorHAnsi" w:cs="Arial"/>
                <w:b/>
                <w:sz w:val="20"/>
                <w:szCs w:val="20"/>
              </w:rPr>
              <w:t>Description</w:t>
            </w:r>
          </w:p>
        </w:tc>
        <w:tc>
          <w:tcPr>
            <w:tcW w:w="1350" w:type="dxa"/>
            <w:shd w:val="clear" w:color="auto" w:fill="D9D9D9" w:themeFill="background1" w:themeFillShade="D9"/>
          </w:tcPr>
          <w:p w14:paraId="7ED2E0E0" w14:textId="77777777" w:rsidR="00A8609D" w:rsidRPr="006E404E" w:rsidRDefault="00A8609D" w:rsidP="00150F69">
            <w:pPr>
              <w:rPr>
                <w:rFonts w:asciiTheme="majorHAnsi" w:hAnsiTheme="majorHAnsi" w:cs="Arial"/>
                <w:b/>
                <w:sz w:val="20"/>
                <w:szCs w:val="20"/>
              </w:rPr>
            </w:pPr>
            <w:r w:rsidRPr="006E404E">
              <w:rPr>
                <w:rFonts w:asciiTheme="majorHAnsi" w:hAnsiTheme="majorHAnsi" w:cs="Arial"/>
                <w:b/>
                <w:sz w:val="20"/>
                <w:szCs w:val="20"/>
              </w:rPr>
              <w:t>Type</w:t>
            </w:r>
          </w:p>
        </w:tc>
        <w:tc>
          <w:tcPr>
            <w:tcW w:w="1170" w:type="dxa"/>
            <w:shd w:val="clear" w:color="auto" w:fill="D9D9D9" w:themeFill="background1" w:themeFillShade="D9"/>
          </w:tcPr>
          <w:p w14:paraId="7B09F53F" w14:textId="77777777" w:rsidR="00A8609D" w:rsidRPr="006E404E" w:rsidRDefault="00A8609D" w:rsidP="00150F69">
            <w:pPr>
              <w:rPr>
                <w:rFonts w:asciiTheme="majorHAnsi" w:hAnsiTheme="majorHAnsi" w:cs="Arial"/>
                <w:b/>
                <w:sz w:val="20"/>
                <w:szCs w:val="20"/>
              </w:rPr>
            </w:pPr>
            <w:r w:rsidRPr="006E404E">
              <w:rPr>
                <w:rFonts w:asciiTheme="majorHAnsi" w:hAnsiTheme="majorHAnsi" w:cs="Arial"/>
                <w:b/>
                <w:sz w:val="20"/>
                <w:szCs w:val="20"/>
              </w:rPr>
              <w:t>Impact &amp;</w:t>
            </w:r>
          </w:p>
          <w:p w14:paraId="4812661A" w14:textId="77777777" w:rsidR="00A8609D" w:rsidRPr="006E404E" w:rsidRDefault="00A8609D" w:rsidP="00150F69">
            <w:pPr>
              <w:rPr>
                <w:rFonts w:asciiTheme="majorHAnsi" w:hAnsiTheme="majorHAnsi" w:cs="Arial"/>
                <w:b/>
                <w:sz w:val="20"/>
                <w:szCs w:val="20"/>
              </w:rPr>
            </w:pPr>
            <w:r w:rsidRPr="006E404E">
              <w:rPr>
                <w:rFonts w:asciiTheme="majorHAnsi" w:hAnsiTheme="majorHAnsi" w:cs="Arial"/>
                <w:b/>
                <w:sz w:val="20"/>
                <w:szCs w:val="20"/>
              </w:rPr>
              <w:t>Probability</w:t>
            </w:r>
          </w:p>
        </w:tc>
        <w:tc>
          <w:tcPr>
            <w:tcW w:w="3878" w:type="dxa"/>
            <w:shd w:val="clear" w:color="auto" w:fill="D9D9D9" w:themeFill="background1" w:themeFillShade="D9"/>
          </w:tcPr>
          <w:p w14:paraId="04E3C2CC" w14:textId="77777777" w:rsidR="00A8609D" w:rsidRPr="006E404E" w:rsidRDefault="00A8609D" w:rsidP="00150F69">
            <w:pPr>
              <w:rPr>
                <w:rFonts w:asciiTheme="majorHAnsi" w:hAnsiTheme="majorHAnsi" w:cs="Arial"/>
                <w:b/>
                <w:sz w:val="20"/>
                <w:szCs w:val="20"/>
              </w:rPr>
            </w:pPr>
            <w:r w:rsidRPr="006E404E">
              <w:rPr>
                <w:rFonts w:asciiTheme="majorHAnsi" w:hAnsiTheme="majorHAnsi" w:cs="Arial"/>
                <w:b/>
                <w:sz w:val="20"/>
                <w:szCs w:val="20"/>
              </w:rPr>
              <w:t>Mitigation Measures</w:t>
            </w:r>
          </w:p>
        </w:tc>
        <w:tc>
          <w:tcPr>
            <w:tcW w:w="0" w:type="auto"/>
            <w:shd w:val="clear" w:color="auto" w:fill="D9D9D9" w:themeFill="background1" w:themeFillShade="D9"/>
          </w:tcPr>
          <w:p w14:paraId="30B4CD4C" w14:textId="77777777" w:rsidR="00A8609D" w:rsidRPr="006E404E" w:rsidRDefault="00A8609D" w:rsidP="00150F69">
            <w:pPr>
              <w:rPr>
                <w:rFonts w:asciiTheme="majorHAnsi" w:hAnsiTheme="majorHAnsi" w:cs="Arial"/>
                <w:b/>
                <w:sz w:val="20"/>
                <w:szCs w:val="20"/>
              </w:rPr>
            </w:pPr>
            <w:r w:rsidRPr="006E404E">
              <w:rPr>
                <w:rFonts w:asciiTheme="majorHAnsi" w:hAnsiTheme="majorHAnsi" w:cs="Arial"/>
                <w:b/>
                <w:sz w:val="20"/>
                <w:szCs w:val="20"/>
              </w:rPr>
              <w:t>Owner</w:t>
            </w:r>
          </w:p>
        </w:tc>
      </w:tr>
      <w:tr w:rsidR="00A4185A" w:rsidRPr="006E404E" w14:paraId="6965E17B" w14:textId="77777777" w:rsidTr="00A4185A">
        <w:tc>
          <w:tcPr>
            <w:tcW w:w="2237" w:type="dxa"/>
          </w:tcPr>
          <w:p w14:paraId="4B917EA3" w14:textId="77777777" w:rsidR="00A8609D" w:rsidRPr="006E404E" w:rsidRDefault="00A8609D" w:rsidP="00150F69">
            <w:pPr>
              <w:rPr>
                <w:rFonts w:asciiTheme="majorHAnsi" w:hAnsiTheme="majorHAnsi"/>
                <w:color w:val="000000"/>
                <w:sz w:val="20"/>
                <w:szCs w:val="20"/>
                <w:lang w:val="en-GB"/>
              </w:rPr>
            </w:pPr>
            <w:r w:rsidRPr="006E404E">
              <w:rPr>
                <w:rFonts w:asciiTheme="majorHAnsi" w:hAnsiTheme="majorHAnsi"/>
                <w:color w:val="000000"/>
                <w:sz w:val="20"/>
                <w:szCs w:val="20"/>
                <w:lang w:val="en-GB"/>
              </w:rPr>
              <w:t>Loss of political support</w:t>
            </w:r>
          </w:p>
        </w:tc>
        <w:tc>
          <w:tcPr>
            <w:tcW w:w="1350" w:type="dxa"/>
          </w:tcPr>
          <w:p w14:paraId="27B406B0"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Political</w:t>
            </w:r>
          </w:p>
          <w:p w14:paraId="40714EC0" w14:textId="77777777" w:rsidR="00A8609D" w:rsidRPr="006E404E" w:rsidRDefault="00A8609D" w:rsidP="00150F69">
            <w:pPr>
              <w:rPr>
                <w:rFonts w:asciiTheme="majorHAnsi" w:hAnsiTheme="majorHAnsi"/>
                <w:sz w:val="20"/>
                <w:szCs w:val="20"/>
              </w:rPr>
            </w:pPr>
          </w:p>
        </w:tc>
        <w:tc>
          <w:tcPr>
            <w:tcW w:w="1170" w:type="dxa"/>
          </w:tcPr>
          <w:p w14:paraId="55E6FA29" w14:textId="77777777" w:rsidR="00A8609D" w:rsidRPr="006E404E" w:rsidRDefault="00A8609D" w:rsidP="00150F69">
            <w:pPr>
              <w:rPr>
                <w:rFonts w:asciiTheme="majorHAnsi" w:hAnsiTheme="majorHAnsi"/>
                <w:color w:val="000000"/>
                <w:sz w:val="20"/>
                <w:szCs w:val="20"/>
                <w:lang w:val="en-GB"/>
              </w:rPr>
            </w:pPr>
            <w:r w:rsidRPr="006E404E">
              <w:rPr>
                <w:rFonts w:asciiTheme="majorHAnsi" w:hAnsiTheme="majorHAnsi"/>
                <w:color w:val="000000"/>
                <w:sz w:val="20"/>
                <w:szCs w:val="20"/>
                <w:lang w:val="en-GB"/>
              </w:rPr>
              <w:t>Medium</w:t>
            </w:r>
          </w:p>
        </w:tc>
        <w:tc>
          <w:tcPr>
            <w:tcW w:w="3878" w:type="dxa"/>
          </w:tcPr>
          <w:p w14:paraId="1917CBA4" w14:textId="77777777" w:rsidR="00A8609D" w:rsidRPr="006E404E" w:rsidRDefault="00A8609D" w:rsidP="00150F69">
            <w:pPr>
              <w:rPr>
                <w:rFonts w:asciiTheme="majorHAnsi" w:hAnsiTheme="majorHAnsi"/>
                <w:color w:val="000000"/>
                <w:sz w:val="20"/>
                <w:szCs w:val="20"/>
                <w:lang w:val="en-GB"/>
              </w:rPr>
            </w:pPr>
            <w:r w:rsidRPr="006E404E">
              <w:rPr>
                <w:rFonts w:asciiTheme="majorHAnsi" w:hAnsiTheme="majorHAnsi"/>
                <w:color w:val="000000"/>
                <w:sz w:val="20"/>
                <w:szCs w:val="20"/>
                <w:lang w:val="en-GB"/>
              </w:rPr>
              <w:t>Project design is rooted and based on the national commitments and targets stated and adopted at the highest possible level, i.e. by the President, the Parliament and the Government of Kazakhstan. Any proposed revisions in the policies, as well as new ones to be proposed by the project will also have to secure the highest level of approval, i.e. by the Parliament (revision in the Law) or by the Government (e.g. changes in the feed-in tariffs). Project implementation will be based in the Ministry of Energy, thus giving the best chance of ensuring ownership and buy-in.</w:t>
            </w:r>
          </w:p>
        </w:tc>
        <w:tc>
          <w:tcPr>
            <w:tcW w:w="0" w:type="auto"/>
          </w:tcPr>
          <w:p w14:paraId="40EC16C3" w14:textId="77777777" w:rsidR="00A8609D" w:rsidRPr="006E404E" w:rsidRDefault="00A8609D" w:rsidP="00150F69">
            <w:pPr>
              <w:rPr>
                <w:rFonts w:asciiTheme="majorHAnsi" w:hAnsiTheme="majorHAnsi" w:cs="Arial"/>
                <w:i/>
                <w:sz w:val="20"/>
                <w:szCs w:val="20"/>
              </w:rPr>
            </w:pPr>
            <w:r w:rsidRPr="006E404E">
              <w:rPr>
                <w:rFonts w:asciiTheme="majorHAnsi" w:hAnsiTheme="majorHAnsi"/>
                <w:color w:val="000000"/>
                <w:sz w:val="20"/>
                <w:szCs w:val="20"/>
                <w:lang w:val="en-GB"/>
              </w:rPr>
              <w:t>Project team</w:t>
            </w:r>
          </w:p>
        </w:tc>
      </w:tr>
      <w:tr w:rsidR="00A4185A" w:rsidRPr="006E404E" w14:paraId="2FD307BB" w14:textId="77777777" w:rsidTr="00A4185A">
        <w:trPr>
          <w:trHeight w:val="602"/>
        </w:trPr>
        <w:tc>
          <w:tcPr>
            <w:tcW w:w="2237" w:type="dxa"/>
          </w:tcPr>
          <w:p w14:paraId="04882718"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 xml:space="preserve">Ongoing low international oil prices </w:t>
            </w:r>
          </w:p>
        </w:tc>
        <w:tc>
          <w:tcPr>
            <w:tcW w:w="1350" w:type="dxa"/>
          </w:tcPr>
          <w:p w14:paraId="76507D69"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Economic</w:t>
            </w:r>
          </w:p>
        </w:tc>
        <w:tc>
          <w:tcPr>
            <w:tcW w:w="1170" w:type="dxa"/>
          </w:tcPr>
          <w:p w14:paraId="08E8201B" w14:textId="77777777" w:rsidR="00A8609D" w:rsidRPr="006E404E" w:rsidRDefault="00A8609D" w:rsidP="00150F69">
            <w:pPr>
              <w:rPr>
                <w:rFonts w:asciiTheme="majorHAnsi" w:hAnsiTheme="majorHAnsi"/>
                <w:color w:val="000000"/>
                <w:sz w:val="20"/>
                <w:szCs w:val="20"/>
                <w:lang w:val="en-GB"/>
              </w:rPr>
            </w:pPr>
            <w:r w:rsidRPr="006E404E">
              <w:rPr>
                <w:rFonts w:asciiTheme="majorHAnsi" w:hAnsiTheme="majorHAnsi"/>
                <w:color w:val="000000"/>
                <w:sz w:val="20"/>
                <w:szCs w:val="20"/>
                <w:lang w:val="en-GB"/>
              </w:rPr>
              <w:t>High</w:t>
            </w:r>
          </w:p>
        </w:tc>
        <w:tc>
          <w:tcPr>
            <w:tcW w:w="3878" w:type="dxa"/>
          </w:tcPr>
          <w:p w14:paraId="4C246222" w14:textId="17922F93" w:rsidR="00A8609D" w:rsidRPr="006E404E" w:rsidRDefault="00A8609D" w:rsidP="00A4185A">
            <w:pPr>
              <w:rPr>
                <w:rFonts w:asciiTheme="majorHAnsi" w:hAnsiTheme="majorHAnsi"/>
                <w:color w:val="000000"/>
                <w:sz w:val="20"/>
                <w:szCs w:val="20"/>
                <w:lang w:val="en-GB"/>
              </w:rPr>
            </w:pPr>
            <w:r w:rsidRPr="006E404E">
              <w:rPr>
                <w:rFonts w:asciiTheme="majorHAnsi" w:hAnsiTheme="majorHAnsi"/>
                <w:sz w:val="20"/>
                <w:szCs w:val="20"/>
              </w:rPr>
              <w:t xml:space="preserve">Unless appropriate policies and regulations, supported by financial derisking </w:t>
            </w:r>
            <w:r w:rsidRPr="00A4185A">
              <w:rPr>
                <w:rFonts w:asciiTheme="majorHAnsi" w:hAnsiTheme="majorHAnsi"/>
                <w:sz w:val="20"/>
                <w:szCs w:val="20"/>
              </w:rPr>
              <w:t>mechanisms and incentives are introduced and enforced, RE will not be able to compete with fossil fuel based power generation in Kazakhstan. Component 1 for large-scale renewables and component 2 for small-scale renewables therefore aims precisely at achieving these goals and leveling playing field for RE.</w:t>
            </w:r>
            <w:r w:rsidR="00A4185A" w:rsidRPr="00A4185A">
              <w:rPr>
                <w:rFonts w:asciiTheme="majorHAnsi" w:hAnsiTheme="majorHAnsi"/>
                <w:sz w:val="20"/>
                <w:szCs w:val="20"/>
              </w:rPr>
              <w:t xml:space="preserve"> Tariffs will considered</w:t>
            </w:r>
            <w:r w:rsidR="00A4185A">
              <w:rPr>
                <w:rFonts w:asciiTheme="majorHAnsi" w:hAnsiTheme="majorHAnsi"/>
                <w:sz w:val="20"/>
                <w:szCs w:val="20"/>
              </w:rPr>
              <w:t xml:space="preserve"> closely during </w:t>
            </w:r>
            <w:r w:rsidR="00A4185A" w:rsidRPr="00A4185A">
              <w:rPr>
                <w:rFonts w:asciiTheme="majorHAnsi" w:hAnsiTheme="majorHAnsi"/>
                <w:color w:val="000000"/>
                <w:sz w:val="20"/>
                <w:szCs w:val="20"/>
                <w:lang w:val="en-GB"/>
              </w:rPr>
              <w:t>project implementation, building on the analysis and attention it is given in the DREI report.</w:t>
            </w:r>
          </w:p>
        </w:tc>
        <w:tc>
          <w:tcPr>
            <w:tcW w:w="0" w:type="auto"/>
          </w:tcPr>
          <w:p w14:paraId="2AD58047" w14:textId="77777777" w:rsidR="00A8609D" w:rsidRPr="006E404E" w:rsidRDefault="00A8609D" w:rsidP="00150F69">
            <w:pPr>
              <w:rPr>
                <w:rFonts w:asciiTheme="majorHAnsi" w:hAnsiTheme="majorHAnsi" w:cs="Arial"/>
                <w:i/>
                <w:sz w:val="20"/>
                <w:szCs w:val="20"/>
              </w:rPr>
            </w:pPr>
            <w:r w:rsidRPr="006E404E">
              <w:rPr>
                <w:rFonts w:asciiTheme="majorHAnsi" w:hAnsiTheme="majorHAnsi"/>
                <w:color w:val="000000"/>
                <w:sz w:val="20"/>
                <w:szCs w:val="20"/>
                <w:lang w:val="en-GB"/>
              </w:rPr>
              <w:t>Project team</w:t>
            </w:r>
          </w:p>
        </w:tc>
      </w:tr>
      <w:tr w:rsidR="00A4185A" w:rsidRPr="006E404E" w14:paraId="0D8005F6" w14:textId="77777777" w:rsidTr="00A4185A">
        <w:trPr>
          <w:trHeight w:val="2654"/>
        </w:trPr>
        <w:tc>
          <w:tcPr>
            <w:tcW w:w="2237" w:type="dxa"/>
          </w:tcPr>
          <w:p w14:paraId="4DDC7051"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Private investors do not find RES investments sufficiently attractive</w:t>
            </w:r>
          </w:p>
        </w:tc>
        <w:tc>
          <w:tcPr>
            <w:tcW w:w="1350" w:type="dxa"/>
          </w:tcPr>
          <w:p w14:paraId="1CCDB609"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Market</w:t>
            </w:r>
          </w:p>
          <w:p w14:paraId="1ACD2C3F" w14:textId="77777777" w:rsidR="00A8609D" w:rsidRPr="006E404E" w:rsidRDefault="00A8609D" w:rsidP="00150F69">
            <w:pPr>
              <w:rPr>
                <w:rFonts w:asciiTheme="majorHAnsi" w:hAnsiTheme="majorHAnsi"/>
                <w:sz w:val="20"/>
                <w:szCs w:val="20"/>
              </w:rPr>
            </w:pPr>
          </w:p>
        </w:tc>
        <w:tc>
          <w:tcPr>
            <w:tcW w:w="1170" w:type="dxa"/>
          </w:tcPr>
          <w:p w14:paraId="4C273079"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Medium</w:t>
            </w:r>
          </w:p>
        </w:tc>
        <w:tc>
          <w:tcPr>
            <w:tcW w:w="3878" w:type="dxa"/>
          </w:tcPr>
          <w:p w14:paraId="167B65A8"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The project adopts private investors’ perspective to the analysis of risk, underlying barriers and the design of derisking strategy. A detailed quantitative analysis of investment has been conducted based on DREI framework and methodology and proposed set of policy and financial derisking tools are proposed in line with investors outlook. Through policy and financial derisking the project will ensure that investments become more attractive.</w:t>
            </w:r>
          </w:p>
        </w:tc>
        <w:tc>
          <w:tcPr>
            <w:tcW w:w="0" w:type="auto"/>
          </w:tcPr>
          <w:p w14:paraId="16F78D64" w14:textId="77777777" w:rsidR="00A8609D" w:rsidRPr="006E404E" w:rsidRDefault="00A8609D" w:rsidP="00150F69">
            <w:pPr>
              <w:rPr>
                <w:rFonts w:asciiTheme="majorHAnsi" w:hAnsiTheme="majorHAnsi" w:cs="Arial"/>
                <w:i/>
                <w:sz w:val="20"/>
                <w:szCs w:val="20"/>
              </w:rPr>
            </w:pPr>
            <w:r w:rsidRPr="006E404E">
              <w:rPr>
                <w:rFonts w:asciiTheme="majorHAnsi" w:hAnsiTheme="majorHAnsi"/>
                <w:color w:val="000000"/>
                <w:sz w:val="20"/>
                <w:szCs w:val="20"/>
                <w:lang w:val="en-GB"/>
              </w:rPr>
              <w:t>Project team</w:t>
            </w:r>
          </w:p>
        </w:tc>
      </w:tr>
      <w:tr w:rsidR="00A4185A" w:rsidRPr="006E404E" w14:paraId="2E743FD2" w14:textId="77777777" w:rsidTr="00A4185A">
        <w:tc>
          <w:tcPr>
            <w:tcW w:w="2237" w:type="dxa"/>
          </w:tcPr>
          <w:p w14:paraId="037167FE"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Domestic supply chain and capacities for RES in Kazakhstan are very limited – this may cause inadequate implementation of RES projects leading to sub-optimal performance, mal-functioning, etc.</w:t>
            </w:r>
          </w:p>
        </w:tc>
        <w:tc>
          <w:tcPr>
            <w:tcW w:w="1350" w:type="dxa"/>
          </w:tcPr>
          <w:p w14:paraId="30AF228A"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 xml:space="preserve">Technology </w:t>
            </w:r>
          </w:p>
          <w:p w14:paraId="49CCC280" w14:textId="77777777" w:rsidR="00A8609D" w:rsidRPr="006E404E" w:rsidRDefault="00A8609D" w:rsidP="00150F69">
            <w:pPr>
              <w:rPr>
                <w:rFonts w:asciiTheme="majorHAnsi" w:hAnsiTheme="majorHAnsi"/>
                <w:sz w:val="20"/>
                <w:szCs w:val="20"/>
              </w:rPr>
            </w:pPr>
          </w:p>
        </w:tc>
        <w:tc>
          <w:tcPr>
            <w:tcW w:w="1170" w:type="dxa"/>
          </w:tcPr>
          <w:p w14:paraId="4F4E9572"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 xml:space="preserve">Medium </w:t>
            </w:r>
          </w:p>
        </w:tc>
        <w:tc>
          <w:tcPr>
            <w:tcW w:w="3878" w:type="dxa"/>
          </w:tcPr>
          <w:p w14:paraId="14C8144D"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First, the project will involve top-level international technical specialists with experience of implementing RES projects in developing countries to provide quality assurance throughout all stages of pilot RES project design and implementation. Second, a significant share of Component 2 will be devoted to building domestic capacity for small-scale RES, through provision of vocational training and other type of learning and educational activities. Finally, domestic quality certification scheme for certain type of RES (e.g. solar PV) will be proposed and implemented to ensure minimum quality standards for RES projects.</w:t>
            </w:r>
          </w:p>
        </w:tc>
        <w:tc>
          <w:tcPr>
            <w:tcW w:w="0" w:type="auto"/>
          </w:tcPr>
          <w:p w14:paraId="5ABF984D" w14:textId="77777777" w:rsidR="00A8609D" w:rsidRPr="006E404E" w:rsidRDefault="00A8609D" w:rsidP="00150F69">
            <w:pPr>
              <w:rPr>
                <w:rFonts w:asciiTheme="majorHAnsi" w:hAnsiTheme="majorHAnsi" w:cs="Arial"/>
                <w:i/>
                <w:sz w:val="20"/>
                <w:szCs w:val="20"/>
              </w:rPr>
            </w:pPr>
            <w:r w:rsidRPr="006E404E">
              <w:rPr>
                <w:rFonts w:asciiTheme="majorHAnsi" w:hAnsiTheme="majorHAnsi"/>
                <w:color w:val="000000"/>
                <w:sz w:val="20"/>
                <w:szCs w:val="20"/>
                <w:lang w:val="en-GB"/>
              </w:rPr>
              <w:t>Project team</w:t>
            </w:r>
          </w:p>
        </w:tc>
      </w:tr>
      <w:tr w:rsidR="00A4185A" w:rsidRPr="006E404E" w14:paraId="6D7514FE" w14:textId="77777777" w:rsidTr="00A4185A">
        <w:trPr>
          <w:trHeight w:val="742"/>
        </w:trPr>
        <w:tc>
          <w:tcPr>
            <w:tcW w:w="2237" w:type="dxa"/>
          </w:tcPr>
          <w:p w14:paraId="3CC128B1"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Co-financing for pilot projects doesn’t materialize due to lack of private sector interest and/or government commitment</w:t>
            </w:r>
          </w:p>
        </w:tc>
        <w:tc>
          <w:tcPr>
            <w:tcW w:w="1350" w:type="dxa"/>
          </w:tcPr>
          <w:p w14:paraId="5942F121"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Financial</w:t>
            </w:r>
          </w:p>
        </w:tc>
        <w:tc>
          <w:tcPr>
            <w:tcW w:w="1170" w:type="dxa"/>
          </w:tcPr>
          <w:p w14:paraId="78296F3A"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Low</w:t>
            </w:r>
          </w:p>
        </w:tc>
        <w:tc>
          <w:tcPr>
            <w:tcW w:w="3878" w:type="dxa"/>
          </w:tcPr>
          <w:p w14:paraId="689D0804" w14:textId="548C88C5" w:rsidR="00A8609D" w:rsidRPr="006E404E" w:rsidRDefault="000441E9" w:rsidP="000441E9">
            <w:pPr>
              <w:rPr>
                <w:rFonts w:asciiTheme="majorHAnsi" w:hAnsiTheme="majorHAnsi"/>
                <w:sz w:val="20"/>
                <w:szCs w:val="20"/>
              </w:rPr>
            </w:pPr>
            <w:r w:rsidRPr="000441E9">
              <w:rPr>
                <w:rFonts w:asciiTheme="majorHAnsi" w:hAnsiTheme="majorHAnsi"/>
                <w:sz w:val="20"/>
                <w:szCs w:val="20"/>
                <w:highlight w:val="yellow"/>
              </w:rPr>
              <w:t>C</w:t>
            </w:r>
            <w:r w:rsidR="00A8609D" w:rsidRPr="000441E9">
              <w:rPr>
                <w:rFonts w:asciiTheme="majorHAnsi" w:hAnsiTheme="majorHAnsi"/>
                <w:sz w:val="20"/>
                <w:szCs w:val="20"/>
                <w:highlight w:val="yellow"/>
              </w:rPr>
              <w:t xml:space="preserve">o-financing for pilot RES for life projects will be provided from </w:t>
            </w:r>
            <w:r w:rsidRPr="000441E9">
              <w:rPr>
                <w:rFonts w:asciiTheme="majorHAnsi" w:hAnsiTheme="majorHAnsi"/>
                <w:sz w:val="20"/>
                <w:szCs w:val="20"/>
                <w:highlight w:val="yellow"/>
              </w:rPr>
              <w:t xml:space="preserve">the </w:t>
            </w:r>
            <w:r>
              <w:rPr>
                <w:rFonts w:asciiTheme="majorHAnsi" w:hAnsiTheme="majorHAnsi"/>
                <w:sz w:val="20"/>
                <w:szCs w:val="20"/>
                <w:highlight w:val="yellow"/>
              </w:rPr>
              <w:t>financial institutions eager to support this technology and sectors</w:t>
            </w:r>
            <w:r w:rsidRPr="000441E9">
              <w:rPr>
                <w:rFonts w:asciiTheme="majorHAnsi" w:hAnsiTheme="majorHAnsi"/>
                <w:sz w:val="20"/>
                <w:szCs w:val="20"/>
                <w:highlight w:val="yellow"/>
              </w:rPr>
              <w:t xml:space="preserve"> with signed letters of financing, with continued </w:t>
            </w:r>
            <w:r>
              <w:rPr>
                <w:rFonts w:asciiTheme="majorHAnsi" w:hAnsiTheme="majorHAnsi"/>
                <w:sz w:val="20"/>
                <w:szCs w:val="20"/>
                <w:highlight w:val="yellow"/>
              </w:rPr>
              <w:t xml:space="preserve">support from </w:t>
            </w:r>
            <w:r w:rsidRPr="000441E9">
              <w:rPr>
                <w:rFonts w:asciiTheme="majorHAnsi" w:hAnsiTheme="majorHAnsi"/>
                <w:sz w:val="20"/>
                <w:szCs w:val="20"/>
                <w:highlight w:val="yellow"/>
              </w:rPr>
              <w:t>the Ministry of Energy.</w:t>
            </w:r>
          </w:p>
        </w:tc>
        <w:tc>
          <w:tcPr>
            <w:tcW w:w="0" w:type="auto"/>
          </w:tcPr>
          <w:p w14:paraId="6B497CB5" w14:textId="77777777" w:rsidR="00A8609D" w:rsidRPr="006E404E" w:rsidRDefault="00A8609D" w:rsidP="00150F69">
            <w:pPr>
              <w:rPr>
                <w:rFonts w:asciiTheme="majorHAnsi" w:hAnsiTheme="majorHAnsi" w:cs="Arial"/>
                <w:i/>
                <w:sz w:val="20"/>
                <w:szCs w:val="20"/>
              </w:rPr>
            </w:pPr>
            <w:r w:rsidRPr="006E404E">
              <w:rPr>
                <w:rFonts w:asciiTheme="majorHAnsi" w:hAnsiTheme="majorHAnsi"/>
                <w:color w:val="000000"/>
                <w:sz w:val="20"/>
                <w:szCs w:val="20"/>
                <w:lang w:val="en-GB"/>
              </w:rPr>
              <w:t>Project team</w:t>
            </w:r>
          </w:p>
        </w:tc>
      </w:tr>
      <w:tr w:rsidR="00A4185A" w:rsidRPr="006E404E" w14:paraId="7306AF63" w14:textId="77777777" w:rsidTr="00A4185A">
        <w:tc>
          <w:tcPr>
            <w:tcW w:w="2237" w:type="dxa"/>
          </w:tcPr>
          <w:p w14:paraId="3FB35693"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Local financial institutions fail to launch financial products to support small-scale RED developments</w:t>
            </w:r>
          </w:p>
        </w:tc>
        <w:tc>
          <w:tcPr>
            <w:tcW w:w="1350" w:type="dxa"/>
          </w:tcPr>
          <w:p w14:paraId="5E0D1A72"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Financial</w:t>
            </w:r>
          </w:p>
        </w:tc>
        <w:tc>
          <w:tcPr>
            <w:tcW w:w="1170" w:type="dxa"/>
          </w:tcPr>
          <w:p w14:paraId="37BC6779"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 xml:space="preserve">Medium </w:t>
            </w:r>
          </w:p>
        </w:tc>
        <w:tc>
          <w:tcPr>
            <w:tcW w:w="3878" w:type="dxa"/>
          </w:tcPr>
          <w:p w14:paraId="51DA618D"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 xml:space="preserve">The project will offer capacity building and training for the local financial institutions. Furthermore, the confidence of the financial institutions will be increased via demonstrations activities, i.e. pilot small-scale RES projects will be supported. Also, created favorable policy environment under Component 2 for small-scale renewables will enable development of financial products. </w:t>
            </w:r>
          </w:p>
        </w:tc>
        <w:tc>
          <w:tcPr>
            <w:tcW w:w="0" w:type="auto"/>
          </w:tcPr>
          <w:p w14:paraId="41DD3AD6" w14:textId="77777777" w:rsidR="00A8609D" w:rsidRPr="006E404E" w:rsidRDefault="00A8609D" w:rsidP="00150F69">
            <w:pPr>
              <w:rPr>
                <w:rFonts w:asciiTheme="majorHAnsi" w:hAnsiTheme="majorHAnsi" w:cs="Arial"/>
                <w:i/>
                <w:sz w:val="20"/>
                <w:szCs w:val="20"/>
              </w:rPr>
            </w:pPr>
            <w:r w:rsidRPr="006E404E">
              <w:rPr>
                <w:rFonts w:asciiTheme="majorHAnsi" w:hAnsiTheme="majorHAnsi"/>
                <w:color w:val="000000"/>
                <w:sz w:val="20"/>
                <w:szCs w:val="20"/>
                <w:lang w:val="en-GB"/>
              </w:rPr>
              <w:t>Project team</w:t>
            </w:r>
          </w:p>
        </w:tc>
      </w:tr>
      <w:tr w:rsidR="00A4185A" w:rsidRPr="006E404E" w14:paraId="2D2CB0D2" w14:textId="77777777" w:rsidTr="00A4185A">
        <w:tc>
          <w:tcPr>
            <w:tcW w:w="2237" w:type="dxa"/>
          </w:tcPr>
          <w:p w14:paraId="62836B6A"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Climate change poses two categories of risks for the deployment of RES in Kazakhstan. First, intensified frequency and scale of natural disasters pose risks to any infrastructure, including to RES projects. Second, availability of some RE resources might be affected as a result of climate change (e.g. hydro)</w:t>
            </w:r>
          </w:p>
        </w:tc>
        <w:tc>
          <w:tcPr>
            <w:tcW w:w="1350" w:type="dxa"/>
          </w:tcPr>
          <w:p w14:paraId="66BCA47C"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Climate change</w:t>
            </w:r>
          </w:p>
        </w:tc>
        <w:tc>
          <w:tcPr>
            <w:tcW w:w="1170" w:type="dxa"/>
          </w:tcPr>
          <w:p w14:paraId="6DFF2739"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 xml:space="preserve">Medium </w:t>
            </w:r>
          </w:p>
        </w:tc>
        <w:tc>
          <w:tcPr>
            <w:tcW w:w="3878" w:type="dxa"/>
          </w:tcPr>
          <w:p w14:paraId="7090B169" w14:textId="77777777" w:rsidR="00A8609D" w:rsidRPr="006E404E" w:rsidRDefault="00A8609D" w:rsidP="00A54236">
            <w:pPr>
              <w:rPr>
                <w:rFonts w:asciiTheme="majorHAnsi" w:hAnsiTheme="majorHAnsi"/>
                <w:sz w:val="20"/>
                <w:szCs w:val="20"/>
              </w:rPr>
            </w:pPr>
            <w:r w:rsidRPr="006E404E">
              <w:rPr>
                <w:rFonts w:asciiTheme="majorHAnsi" w:hAnsiTheme="majorHAnsi"/>
                <w:sz w:val="20"/>
                <w:szCs w:val="20"/>
              </w:rPr>
              <w:t>Resource risk will be mitigated through diversification of targeted RES, solar, wind, biogas, etc. In fact, solar and wind resources, where the largest potential exist in Kazakhstan, are not expected to be negatively affected by the changing climate.</w:t>
            </w:r>
          </w:p>
          <w:p w14:paraId="79F30526" w14:textId="77777777" w:rsidR="00A8609D" w:rsidRPr="006E404E" w:rsidRDefault="00A8609D" w:rsidP="00A54236">
            <w:pPr>
              <w:rPr>
                <w:rFonts w:asciiTheme="majorHAnsi" w:hAnsiTheme="majorHAnsi"/>
                <w:sz w:val="20"/>
                <w:szCs w:val="20"/>
              </w:rPr>
            </w:pPr>
            <w:r w:rsidRPr="006E404E">
              <w:rPr>
                <w:rFonts w:asciiTheme="majorHAnsi" w:hAnsiTheme="majorHAnsi"/>
                <w:sz w:val="20"/>
                <w:szCs w:val="20"/>
              </w:rPr>
              <w:t xml:space="preserve"> Regarding infrastructure risks caused by climate-induced events, for each pilot investment climate risk assessment will be conducted and mitigation strategy proposed as part of pilot project design.</w:t>
            </w:r>
          </w:p>
        </w:tc>
        <w:tc>
          <w:tcPr>
            <w:tcW w:w="0" w:type="auto"/>
          </w:tcPr>
          <w:p w14:paraId="7B197451" w14:textId="77777777" w:rsidR="00A8609D" w:rsidRPr="006E404E" w:rsidRDefault="00A8609D" w:rsidP="00150F69">
            <w:pPr>
              <w:rPr>
                <w:rFonts w:asciiTheme="majorHAnsi" w:hAnsiTheme="majorHAnsi" w:cs="Arial"/>
                <w:i/>
                <w:sz w:val="20"/>
                <w:szCs w:val="20"/>
              </w:rPr>
            </w:pPr>
            <w:r w:rsidRPr="006E404E">
              <w:rPr>
                <w:rFonts w:asciiTheme="majorHAnsi" w:hAnsiTheme="majorHAnsi"/>
                <w:color w:val="000000"/>
                <w:sz w:val="20"/>
                <w:szCs w:val="20"/>
                <w:lang w:val="en-GB"/>
              </w:rPr>
              <w:t>Project team</w:t>
            </w:r>
          </w:p>
        </w:tc>
      </w:tr>
      <w:tr w:rsidR="00A4185A" w:rsidRPr="006E404E" w14:paraId="33168245" w14:textId="77777777" w:rsidTr="00A4185A">
        <w:tc>
          <w:tcPr>
            <w:tcW w:w="2237" w:type="dxa"/>
          </w:tcPr>
          <w:p w14:paraId="26883CA9"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Small-scale urban and rural RES developers do not use developed financial products</w:t>
            </w:r>
          </w:p>
        </w:tc>
        <w:tc>
          <w:tcPr>
            <w:tcW w:w="1350" w:type="dxa"/>
          </w:tcPr>
          <w:p w14:paraId="538BE71A"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Social</w:t>
            </w:r>
          </w:p>
        </w:tc>
        <w:tc>
          <w:tcPr>
            <w:tcW w:w="1170" w:type="dxa"/>
          </w:tcPr>
          <w:p w14:paraId="392DA3C4"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Medium</w:t>
            </w:r>
          </w:p>
        </w:tc>
        <w:tc>
          <w:tcPr>
            <w:tcW w:w="3878" w:type="dxa"/>
          </w:tcPr>
          <w:p w14:paraId="26F06F72"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The risk is mitigated through a country-wide awareness campaign and adequate design of financial products tailored to the needs and abilities of small-scale developers.</w:t>
            </w:r>
          </w:p>
        </w:tc>
        <w:tc>
          <w:tcPr>
            <w:tcW w:w="0" w:type="auto"/>
          </w:tcPr>
          <w:p w14:paraId="70F028B3" w14:textId="77777777" w:rsidR="00A8609D" w:rsidRPr="006E404E" w:rsidRDefault="00A8609D" w:rsidP="00150F69">
            <w:pPr>
              <w:rPr>
                <w:rFonts w:asciiTheme="majorHAnsi" w:hAnsiTheme="majorHAnsi" w:cs="Arial"/>
                <w:i/>
                <w:sz w:val="20"/>
                <w:szCs w:val="20"/>
              </w:rPr>
            </w:pPr>
            <w:r w:rsidRPr="006E404E">
              <w:rPr>
                <w:rFonts w:asciiTheme="majorHAnsi" w:hAnsiTheme="majorHAnsi"/>
                <w:color w:val="000000"/>
                <w:sz w:val="20"/>
                <w:szCs w:val="20"/>
                <w:lang w:val="en-GB"/>
              </w:rPr>
              <w:t>Project team</w:t>
            </w:r>
          </w:p>
        </w:tc>
      </w:tr>
      <w:tr w:rsidR="00A4185A" w:rsidRPr="006E404E" w14:paraId="64444B2E" w14:textId="77777777" w:rsidTr="00A4185A">
        <w:tc>
          <w:tcPr>
            <w:tcW w:w="2237" w:type="dxa"/>
          </w:tcPr>
          <w:p w14:paraId="0190599A"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 xml:space="preserve">Developed business and financial models for small-scale RES are not replicated throughout the Kazakhstan </w:t>
            </w:r>
          </w:p>
        </w:tc>
        <w:tc>
          <w:tcPr>
            <w:tcW w:w="1350" w:type="dxa"/>
          </w:tcPr>
          <w:p w14:paraId="19CA15D4"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 xml:space="preserve">Market </w:t>
            </w:r>
          </w:p>
        </w:tc>
        <w:tc>
          <w:tcPr>
            <w:tcW w:w="1170" w:type="dxa"/>
          </w:tcPr>
          <w:p w14:paraId="78B43849"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Medium</w:t>
            </w:r>
          </w:p>
        </w:tc>
        <w:tc>
          <w:tcPr>
            <w:tcW w:w="3878" w:type="dxa"/>
          </w:tcPr>
          <w:p w14:paraId="34E03ECB" w14:textId="77777777" w:rsidR="00A8609D" w:rsidRPr="006E404E" w:rsidRDefault="00A8609D" w:rsidP="00150F69">
            <w:pPr>
              <w:rPr>
                <w:rFonts w:asciiTheme="majorHAnsi" w:hAnsiTheme="majorHAnsi"/>
                <w:sz w:val="20"/>
                <w:szCs w:val="20"/>
              </w:rPr>
            </w:pPr>
            <w:r w:rsidRPr="006E404E">
              <w:rPr>
                <w:rFonts w:asciiTheme="majorHAnsi" w:hAnsiTheme="majorHAnsi"/>
                <w:sz w:val="20"/>
                <w:szCs w:val="20"/>
              </w:rPr>
              <w:t>The mitigation measures include increasing awareness (component 2), increasing access to small-scale finance (component 3), ensuring continued governmental support and commitment for small-scale (component 2) and close monitoring of lessons learned.</w:t>
            </w:r>
          </w:p>
        </w:tc>
        <w:tc>
          <w:tcPr>
            <w:tcW w:w="0" w:type="auto"/>
          </w:tcPr>
          <w:p w14:paraId="19D5D421" w14:textId="77777777" w:rsidR="00A8609D" w:rsidRPr="006E404E" w:rsidRDefault="00A8609D" w:rsidP="00150F69">
            <w:pPr>
              <w:rPr>
                <w:rFonts w:asciiTheme="majorHAnsi" w:hAnsiTheme="majorHAnsi" w:cs="Arial"/>
                <w:i/>
                <w:sz w:val="20"/>
                <w:szCs w:val="20"/>
              </w:rPr>
            </w:pPr>
            <w:r w:rsidRPr="006E404E">
              <w:rPr>
                <w:rFonts w:asciiTheme="majorHAnsi" w:hAnsiTheme="majorHAnsi"/>
                <w:color w:val="000000"/>
                <w:sz w:val="20"/>
                <w:szCs w:val="20"/>
                <w:lang w:val="en-GB"/>
              </w:rPr>
              <w:t>Project team</w:t>
            </w:r>
          </w:p>
        </w:tc>
      </w:tr>
    </w:tbl>
    <w:p w14:paraId="2B051CA6" w14:textId="77777777" w:rsidR="00DC67FB" w:rsidRPr="004622EC" w:rsidRDefault="00C77E42" w:rsidP="0020322F">
      <w:pPr>
        <w:pStyle w:val="afb"/>
        <w:numPr>
          <w:ilvl w:val="0"/>
          <w:numId w:val="40"/>
        </w:numPr>
        <w:spacing w:before="240" w:after="120"/>
        <w:rPr>
          <w:rFonts w:ascii="Calibri" w:hAnsi="Calibri"/>
          <w:b/>
          <w:i/>
          <w:szCs w:val="20"/>
        </w:rPr>
      </w:pPr>
      <w:r w:rsidRPr="004622EC">
        <w:rPr>
          <w:rFonts w:ascii="Calibri" w:hAnsi="Calibri"/>
          <w:b/>
          <w:i/>
          <w:szCs w:val="20"/>
        </w:rPr>
        <w:t>Social and environmental safeguards</w:t>
      </w:r>
    </w:p>
    <w:p w14:paraId="7E28C639" w14:textId="77777777" w:rsidR="00AF54C2" w:rsidRPr="00AF54C2" w:rsidRDefault="00AF54C2" w:rsidP="0020322F">
      <w:pPr>
        <w:pStyle w:val="a7"/>
        <w:numPr>
          <w:ilvl w:val="0"/>
          <w:numId w:val="9"/>
        </w:numPr>
        <w:tabs>
          <w:tab w:val="clear" w:pos="4153"/>
          <w:tab w:val="clear" w:pos="8306"/>
          <w:tab w:val="left" w:pos="426"/>
        </w:tabs>
        <w:spacing w:after="120"/>
        <w:ind w:right="20"/>
        <w:rPr>
          <w:rFonts w:cs="Arial"/>
          <w:szCs w:val="22"/>
          <w:lang w:val="en-GB"/>
        </w:rPr>
      </w:pPr>
      <w:r w:rsidRPr="00AF54C2">
        <w:rPr>
          <w:rFonts w:cs="Arial"/>
          <w:szCs w:val="22"/>
          <w:lang w:val="en-GB"/>
        </w:rPr>
        <w:t>The project will eliminate</w:t>
      </w:r>
      <w:r>
        <w:rPr>
          <w:rFonts w:cs="Arial"/>
          <w:szCs w:val="22"/>
          <w:lang w:val="en-GB"/>
        </w:rPr>
        <w:t xml:space="preserve"> </w:t>
      </w:r>
      <w:r w:rsidR="00A54236">
        <w:rPr>
          <w:rFonts w:cs="Arial"/>
          <w:szCs w:val="22"/>
          <w:lang w:val="en-GB"/>
        </w:rPr>
        <w:t>several</w:t>
      </w:r>
      <w:r w:rsidRPr="00AF54C2">
        <w:rPr>
          <w:rFonts w:cs="Arial"/>
          <w:szCs w:val="22"/>
          <w:lang w:val="en-GB"/>
        </w:rPr>
        <w:t xml:space="preserve"> barriers to create an enabling environment for investments in </w:t>
      </w:r>
      <w:r>
        <w:rPr>
          <w:rFonts w:cs="Arial"/>
          <w:szCs w:val="22"/>
          <w:lang w:val="en-GB"/>
        </w:rPr>
        <w:t>small and large-scale renewable energy developments</w:t>
      </w:r>
      <w:r w:rsidRPr="00AF54C2">
        <w:rPr>
          <w:rFonts w:cs="Arial"/>
          <w:szCs w:val="22"/>
          <w:lang w:val="en-GB"/>
        </w:rPr>
        <w:t xml:space="preserve">. The interventions from the technical assistance of the </w:t>
      </w:r>
      <w:r>
        <w:rPr>
          <w:rFonts w:cs="Arial"/>
          <w:szCs w:val="22"/>
          <w:lang w:val="en-GB"/>
        </w:rPr>
        <w:t>GEF</w:t>
      </w:r>
      <w:r w:rsidRPr="00AF54C2">
        <w:rPr>
          <w:rFonts w:cs="Arial"/>
          <w:szCs w:val="22"/>
          <w:lang w:val="en-GB"/>
        </w:rPr>
        <w:t xml:space="preserve"> are mainly </w:t>
      </w:r>
      <w:r w:rsidR="009617CD">
        <w:rPr>
          <w:rFonts w:cs="Arial"/>
          <w:szCs w:val="22"/>
          <w:lang w:val="en-GB"/>
        </w:rPr>
        <w:t xml:space="preserve">institutional building and </w:t>
      </w:r>
      <w:r w:rsidRPr="00AF54C2">
        <w:rPr>
          <w:rFonts w:cs="Arial"/>
          <w:szCs w:val="22"/>
          <w:lang w:val="en-GB"/>
        </w:rPr>
        <w:t xml:space="preserve">capacity building. </w:t>
      </w:r>
      <w:r>
        <w:rPr>
          <w:rFonts w:cs="Arial"/>
          <w:szCs w:val="22"/>
          <w:lang w:val="en-GB"/>
        </w:rPr>
        <w:t xml:space="preserve">The project will </w:t>
      </w:r>
      <w:r w:rsidR="009617CD">
        <w:rPr>
          <w:rFonts w:cs="Arial"/>
          <w:szCs w:val="22"/>
          <w:lang w:val="en-GB"/>
        </w:rPr>
        <w:t xml:space="preserve">also </w:t>
      </w:r>
      <w:r>
        <w:rPr>
          <w:rFonts w:cs="Arial"/>
          <w:szCs w:val="22"/>
          <w:lang w:val="en-GB"/>
        </w:rPr>
        <w:t xml:space="preserve">develop business and financial models to support small-scale developments, which </w:t>
      </w:r>
      <w:r w:rsidRPr="00AF54C2">
        <w:rPr>
          <w:rFonts w:cs="Arial"/>
          <w:szCs w:val="22"/>
          <w:lang w:val="en-GB"/>
        </w:rPr>
        <w:t xml:space="preserve">may cause impacts such as safety risks to the community from installation and dismantling, </w:t>
      </w:r>
      <w:r>
        <w:rPr>
          <w:rFonts w:cs="Arial"/>
          <w:szCs w:val="22"/>
          <w:lang w:val="en-GB"/>
        </w:rPr>
        <w:t>pollution and waste related to decommissioning of small-scale installations.</w:t>
      </w:r>
      <w:r w:rsidR="009617CD">
        <w:rPr>
          <w:rFonts w:cs="Arial"/>
          <w:szCs w:val="22"/>
          <w:lang w:val="en-GB"/>
        </w:rPr>
        <w:t xml:space="preserve"> In addition</w:t>
      </w:r>
      <w:r w:rsidR="00D01513">
        <w:rPr>
          <w:rFonts w:cs="Arial"/>
          <w:szCs w:val="22"/>
          <w:lang w:val="en-GB"/>
        </w:rPr>
        <w:t>,</w:t>
      </w:r>
      <w:r w:rsidR="009617CD">
        <w:rPr>
          <w:rFonts w:cs="Arial"/>
          <w:szCs w:val="22"/>
          <w:lang w:val="en-GB"/>
        </w:rPr>
        <w:t xml:space="preserve"> the project will incentivise </w:t>
      </w:r>
      <w:r w:rsidR="006A5F82">
        <w:rPr>
          <w:rFonts w:cs="Arial"/>
          <w:szCs w:val="22"/>
          <w:lang w:val="en-GB"/>
        </w:rPr>
        <w:t xml:space="preserve">investments in small-scale renewables via financial intermediaries. </w:t>
      </w:r>
    </w:p>
    <w:p w14:paraId="7D496234" w14:textId="77777777" w:rsidR="00AF54C2" w:rsidRPr="00CF4ED2" w:rsidRDefault="00AF54C2" w:rsidP="0020322F">
      <w:pPr>
        <w:pStyle w:val="a7"/>
        <w:numPr>
          <w:ilvl w:val="0"/>
          <w:numId w:val="9"/>
        </w:numPr>
        <w:tabs>
          <w:tab w:val="clear" w:pos="4153"/>
          <w:tab w:val="clear" w:pos="8306"/>
          <w:tab w:val="left" w:pos="426"/>
        </w:tabs>
        <w:spacing w:after="120"/>
        <w:ind w:right="20"/>
        <w:rPr>
          <w:rFonts w:cs="Arial"/>
          <w:szCs w:val="22"/>
          <w:lang w:val="en-GB"/>
        </w:rPr>
      </w:pPr>
      <w:r w:rsidRPr="00AF54C2">
        <w:rPr>
          <w:rFonts w:cs="Arial"/>
          <w:szCs w:val="22"/>
          <w:lang w:val="en-GB"/>
        </w:rPr>
        <w:t xml:space="preserve">The overall outcome of the </w:t>
      </w:r>
      <w:r w:rsidRPr="00B56BB0">
        <w:rPr>
          <w:rFonts w:cs="Arial"/>
          <w:szCs w:val="22"/>
          <w:lang w:val="en-GB"/>
        </w:rPr>
        <w:t xml:space="preserve">project </w:t>
      </w:r>
      <w:r w:rsidR="00CF4ED2" w:rsidRPr="00B56BB0">
        <w:rPr>
          <w:rFonts w:cs="Arial"/>
          <w:szCs w:val="22"/>
          <w:lang w:val="en-GB"/>
        </w:rPr>
        <w:t xml:space="preserve">will </w:t>
      </w:r>
      <w:r w:rsidR="00CF4ED2" w:rsidRPr="00473D26">
        <w:rPr>
          <w:rFonts w:cs="Arial"/>
          <w:szCs w:val="22"/>
          <w:lang w:val="en-GB"/>
        </w:rPr>
        <w:t>be</w:t>
      </w:r>
      <w:r w:rsidR="00C75C48" w:rsidRPr="00473D26">
        <w:rPr>
          <w:rFonts w:cs="Arial"/>
          <w:szCs w:val="22"/>
          <w:lang w:val="en-GB"/>
        </w:rPr>
        <w:t xml:space="preserve"> </w:t>
      </w:r>
      <w:r w:rsidR="00B56BB0" w:rsidRPr="00473D26">
        <w:rPr>
          <w:rFonts w:cs="Arial"/>
          <w:szCs w:val="22"/>
          <w:lang w:val="en-GB"/>
        </w:rPr>
        <w:t>an i</w:t>
      </w:r>
      <w:r w:rsidR="00C75C48" w:rsidRPr="00473D26">
        <w:rPr>
          <w:rFonts w:cs="Arial"/>
          <w:szCs w:val="22"/>
          <w:lang w:val="en-GB"/>
        </w:rPr>
        <w:t>ncrease</w:t>
      </w:r>
      <w:r w:rsidR="00CF4ED2" w:rsidRPr="00473D26">
        <w:rPr>
          <w:rFonts w:cs="Arial"/>
          <w:szCs w:val="22"/>
          <w:lang w:val="en-GB"/>
        </w:rPr>
        <w:t xml:space="preserve">d </w:t>
      </w:r>
      <w:r w:rsidR="00B56BB0" w:rsidRPr="00473D26">
        <w:rPr>
          <w:rFonts w:cs="Arial"/>
          <w:szCs w:val="22"/>
          <w:lang w:val="en-GB"/>
        </w:rPr>
        <w:t>i</w:t>
      </w:r>
      <w:r w:rsidR="00CF4ED2" w:rsidRPr="00473D26">
        <w:rPr>
          <w:rFonts w:cs="Arial"/>
          <w:szCs w:val="22"/>
          <w:lang w:val="en-GB"/>
        </w:rPr>
        <w:t>nstalled</w:t>
      </w:r>
      <w:r w:rsidR="00CF4ED2" w:rsidRPr="00B56BB0">
        <w:rPr>
          <w:rFonts w:cs="Arial"/>
          <w:szCs w:val="22"/>
          <w:lang w:val="en-GB"/>
        </w:rPr>
        <w:t xml:space="preserve"> capacity of</w:t>
      </w:r>
      <w:r w:rsidR="00C75C48" w:rsidRPr="00C75C48">
        <w:rPr>
          <w:rFonts w:cs="Arial"/>
          <w:szCs w:val="22"/>
          <w:lang w:val="en-GB"/>
        </w:rPr>
        <w:t xml:space="preserve"> wind and solar power (MW) an</w:t>
      </w:r>
      <w:r w:rsidR="00C75C48">
        <w:rPr>
          <w:rFonts w:cs="Arial"/>
          <w:szCs w:val="22"/>
          <w:lang w:val="en-GB"/>
        </w:rPr>
        <w:t xml:space="preserve">d lifetime </w:t>
      </w:r>
      <w:r w:rsidR="00D01513">
        <w:rPr>
          <w:rFonts w:cs="Arial"/>
          <w:szCs w:val="22"/>
          <w:lang w:val="en-GB"/>
        </w:rPr>
        <w:t xml:space="preserve">renewable energy </w:t>
      </w:r>
      <w:r w:rsidR="00C75C48">
        <w:rPr>
          <w:rFonts w:cs="Arial"/>
          <w:szCs w:val="22"/>
          <w:lang w:val="en-GB"/>
        </w:rPr>
        <w:t xml:space="preserve">production (MWh) </w:t>
      </w:r>
      <w:r w:rsidRPr="00CF4ED2">
        <w:rPr>
          <w:rFonts w:cs="Arial"/>
          <w:szCs w:val="22"/>
          <w:lang w:val="en-GB"/>
        </w:rPr>
        <w:t>with associated reductions in GHG emissions and wider opportunities for gender mainstreaming in capacity building, financing and employment.</w:t>
      </w:r>
    </w:p>
    <w:p w14:paraId="03495B82" w14:textId="758C4FB0" w:rsidR="00AF54C2" w:rsidRPr="008600DE" w:rsidRDefault="00AF54C2" w:rsidP="0020322F">
      <w:pPr>
        <w:pStyle w:val="a7"/>
        <w:numPr>
          <w:ilvl w:val="0"/>
          <w:numId w:val="9"/>
        </w:numPr>
        <w:tabs>
          <w:tab w:val="clear" w:pos="4153"/>
          <w:tab w:val="clear" w:pos="8306"/>
          <w:tab w:val="left" w:pos="426"/>
        </w:tabs>
        <w:spacing w:after="120"/>
        <w:ind w:right="20"/>
        <w:rPr>
          <w:rFonts w:cs="Arial"/>
          <w:szCs w:val="22"/>
          <w:lang w:val="en-GB"/>
        </w:rPr>
      </w:pPr>
      <w:r w:rsidRPr="00AF54C2">
        <w:rPr>
          <w:rFonts w:cs="Arial"/>
          <w:szCs w:val="22"/>
          <w:lang w:val="en-GB"/>
        </w:rPr>
        <w:t xml:space="preserve">The </w:t>
      </w:r>
      <w:r w:rsidRPr="008E1D7C">
        <w:rPr>
          <w:rFonts w:cs="Arial"/>
          <w:szCs w:val="22"/>
          <w:lang w:val="en-GB"/>
        </w:rPr>
        <w:t>project has completed the UNDP social and environmental screening procedure (see SESP attached as</w:t>
      </w:r>
      <w:r w:rsidR="008F4BD4" w:rsidRPr="00946AE1">
        <w:rPr>
          <w:rFonts w:cs="Arial"/>
          <w:szCs w:val="22"/>
          <w:lang w:val="en-GB"/>
        </w:rPr>
        <w:t xml:space="preserve"> </w:t>
      </w:r>
      <w:r w:rsidR="00C7643A">
        <w:rPr>
          <w:rFonts w:cs="Arial"/>
          <w:szCs w:val="22"/>
          <w:lang w:val="en-GB"/>
        </w:rPr>
        <w:t xml:space="preserve">Annex </w:t>
      </w:r>
      <w:r w:rsidR="00B25AA5">
        <w:rPr>
          <w:rFonts w:cs="Arial"/>
          <w:szCs w:val="22"/>
          <w:lang w:val="en-GB"/>
        </w:rPr>
        <w:t>F) t</w:t>
      </w:r>
      <w:r w:rsidRPr="00AF54C2">
        <w:rPr>
          <w:rFonts w:cs="Arial"/>
          <w:szCs w:val="22"/>
          <w:lang w:val="en-GB"/>
        </w:rPr>
        <w:t xml:space="preserve">o ensure this project complies with UNDP’s Social and Environmental Standards. The overall social and environmental risk category for this project is: </w:t>
      </w:r>
      <w:r w:rsidR="00273B84">
        <w:rPr>
          <w:rFonts w:cs="Arial"/>
          <w:szCs w:val="22"/>
          <w:lang w:val="en-GB"/>
        </w:rPr>
        <w:t>moderate</w:t>
      </w:r>
      <w:r w:rsidRPr="00AF54C2">
        <w:rPr>
          <w:rFonts w:cs="Arial"/>
          <w:szCs w:val="22"/>
          <w:lang w:val="en-GB"/>
        </w:rPr>
        <w:t xml:space="preserve">. </w:t>
      </w:r>
      <w:r w:rsidRPr="008600DE">
        <w:rPr>
          <w:rFonts w:cs="Arial"/>
          <w:szCs w:val="22"/>
          <w:lang w:val="en-GB"/>
        </w:rPr>
        <w:t xml:space="preserve">Given the type and scale of the interventions </w:t>
      </w:r>
      <w:r w:rsidR="003B1043">
        <w:rPr>
          <w:rFonts w:cs="Arial"/>
          <w:szCs w:val="22"/>
          <w:lang w:val="en-GB"/>
        </w:rPr>
        <w:t xml:space="preserve">to be undertaken </w:t>
      </w:r>
      <w:r w:rsidRPr="008600DE">
        <w:rPr>
          <w:rFonts w:cs="Arial"/>
          <w:szCs w:val="22"/>
          <w:lang w:val="en-GB"/>
        </w:rPr>
        <w:t xml:space="preserve">by the project, no EIA is required by the Government. </w:t>
      </w:r>
      <w:r w:rsidR="003B1043">
        <w:rPr>
          <w:rFonts w:cs="Arial"/>
          <w:szCs w:val="22"/>
          <w:lang w:val="en-GB"/>
        </w:rPr>
        <w:t>Note that investments resulting from the barrier removal activities of this project will themselves be subject to ESIA requirements according to the rules of the government of Kazakhstan and</w:t>
      </w:r>
      <w:r w:rsidR="00D01513">
        <w:rPr>
          <w:rFonts w:cs="Arial"/>
          <w:szCs w:val="22"/>
          <w:lang w:val="en-GB"/>
        </w:rPr>
        <w:t>,</w:t>
      </w:r>
      <w:r w:rsidR="003B1043">
        <w:rPr>
          <w:rFonts w:cs="Arial"/>
          <w:szCs w:val="22"/>
          <w:lang w:val="en-GB"/>
        </w:rPr>
        <w:t xml:space="preserve"> in some cases</w:t>
      </w:r>
      <w:r w:rsidR="00D01513">
        <w:rPr>
          <w:rFonts w:cs="Arial"/>
          <w:szCs w:val="22"/>
          <w:lang w:val="en-GB"/>
        </w:rPr>
        <w:t>,</w:t>
      </w:r>
      <w:r w:rsidR="003B1043">
        <w:rPr>
          <w:rFonts w:cs="Arial"/>
          <w:szCs w:val="22"/>
          <w:lang w:val="en-GB"/>
        </w:rPr>
        <w:t xml:space="preserve"> international lenders (such as the EBRD, IFC and EIB). The environmental categorization of th</w:t>
      </w:r>
      <w:r w:rsidR="00D01513">
        <w:rPr>
          <w:rFonts w:cs="Arial"/>
          <w:szCs w:val="22"/>
          <w:lang w:val="en-GB"/>
        </w:rPr>
        <w:t>e</w:t>
      </w:r>
      <w:r w:rsidR="003B1043">
        <w:rPr>
          <w:rFonts w:cs="Arial"/>
          <w:szCs w:val="22"/>
          <w:lang w:val="en-GB"/>
        </w:rPr>
        <w:t xml:space="preserve"> project reflects the described funded project activities, not the wider market (outside the scope of the ESIA).</w:t>
      </w:r>
    </w:p>
    <w:p w14:paraId="30482C05" w14:textId="23569B3E" w:rsidR="00AF54C2" w:rsidRPr="008600DE" w:rsidRDefault="008600DE" w:rsidP="0020322F">
      <w:pPr>
        <w:pStyle w:val="a7"/>
        <w:numPr>
          <w:ilvl w:val="0"/>
          <w:numId w:val="9"/>
        </w:numPr>
        <w:tabs>
          <w:tab w:val="clear" w:pos="4153"/>
          <w:tab w:val="clear" w:pos="8306"/>
          <w:tab w:val="left" w:pos="426"/>
        </w:tabs>
        <w:spacing w:after="120"/>
        <w:ind w:right="20"/>
        <w:rPr>
          <w:rFonts w:cs="Arial"/>
          <w:szCs w:val="22"/>
          <w:lang w:val="en-GB"/>
        </w:rPr>
      </w:pPr>
      <w:r>
        <w:rPr>
          <w:rFonts w:cs="Arial"/>
          <w:szCs w:val="22"/>
          <w:lang w:val="en-GB"/>
        </w:rPr>
        <w:t>T</w:t>
      </w:r>
      <w:r w:rsidR="00AF54C2" w:rsidRPr="00AF54C2">
        <w:rPr>
          <w:rFonts w:cs="Arial"/>
          <w:szCs w:val="22"/>
          <w:lang w:val="en-GB"/>
        </w:rPr>
        <w:t>he project has been assigned a ‘</w:t>
      </w:r>
      <w:r w:rsidR="007314C7">
        <w:rPr>
          <w:rFonts w:cs="Arial"/>
          <w:szCs w:val="22"/>
          <w:lang w:val="en-GB"/>
        </w:rPr>
        <w:t>m</w:t>
      </w:r>
      <w:r w:rsidR="00E47151">
        <w:rPr>
          <w:rFonts w:cs="Arial"/>
          <w:szCs w:val="22"/>
          <w:lang w:val="en-GB"/>
        </w:rPr>
        <w:t>oderate</w:t>
      </w:r>
      <w:r w:rsidR="00AF54C2" w:rsidRPr="00AF54C2">
        <w:rPr>
          <w:rFonts w:cs="Arial"/>
          <w:szCs w:val="22"/>
          <w:lang w:val="en-GB"/>
        </w:rPr>
        <w:t xml:space="preserve">’ category in UNDP’s </w:t>
      </w:r>
      <w:r w:rsidR="00D01513">
        <w:rPr>
          <w:rFonts w:cs="Arial"/>
          <w:szCs w:val="22"/>
          <w:lang w:val="en-GB"/>
        </w:rPr>
        <w:t xml:space="preserve">Social and Environmental </w:t>
      </w:r>
      <w:r w:rsidR="00AF54C2" w:rsidRPr="00AF54C2">
        <w:rPr>
          <w:rFonts w:cs="Arial"/>
          <w:szCs w:val="22"/>
          <w:lang w:val="en-GB"/>
        </w:rPr>
        <w:t>Screening template. However, the SESP recognises that categorisation of projects is an iterative process; should stakeholders raise concerns about the project’s social and environmental aspects during implementation, the ‘</w:t>
      </w:r>
      <w:r w:rsidR="008E6F54">
        <w:rPr>
          <w:rFonts w:cs="Arial"/>
          <w:szCs w:val="22"/>
          <w:lang w:val="en-GB"/>
        </w:rPr>
        <w:t>m</w:t>
      </w:r>
      <w:r w:rsidR="00E47151">
        <w:rPr>
          <w:rFonts w:cs="Arial"/>
          <w:szCs w:val="22"/>
          <w:lang w:val="en-GB"/>
        </w:rPr>
        <w:t>oderate</w:t>
      </w:r>
      <w:r w:rsidR="008E6F54" w:rsidRPr="00AF54C2">
        <w:rPr>
          <w:rFonts w:cs="Arial"/>
          <w:szCs w:val="22"/>
          <w:lang w:val="en-GB"/>
        </w:rPr>
        <w:t xml:space="preserve"> </w:t>
      </w:r>
      <w:r w:rsidR="00AF54C2" w:rsidRPr="00AF54C2">
        <w:rPr>
          <w:rFonts w:cs="Arial"/>
          <w:szCs w:val="22"/>
          <w:lang w:val="en-GB"/>
        </w:rPr>
        <w:t>risk’ designation will be carefully reviewed.</w:t>
      </w:r>
      <w:r w:rsidR="00E47151">
        <w:rPr>
          <w:rFonts w:cs="Arial"/>
          <w:szCs w:val="22"/>
          <w:lang w:val="en-GB"/>
        </w:rPr>
        <w:t xml:space="preserve"> Please refer to Annex G for </w:t>
      </w:r>
      <w:r w:rsidR="00273B84">
        <w:rPr>
          <w:rFonts w:cs="Arial"/>
          <w:szCs w:val="22"/>
          <w:lang w:val="en-GB"/>
        </w:rPr>
        <w:t xml:space="preserve">further </w:t>
      </w:r>
      <w:r w:rsidR="00E47151">
        <w:rPr>
          <w:rFonts w:cs="Arial"/>
          <w:szCs w:val="22"/>
          <w:lang w:val="en-GB"/>
        </w:rPr>
        <w:t xml:space="preserve">information on the </w:t>
      </w:r>
      <w:r w:rsidR="00E47151" w:rsidRPr="00E47151">
        <w:rPr>
          <w:rFonts w:cs="Arial"/>
          <w:szCs w:val="22"/>
        </w:rPr>
        <w:t>Environmental and Social Management Plan (ESMP)</w:t>
      </w:r>
      <w:r w:rsidR="00273B84">
        <w:rPr>
          <w:rFonts w:cs="Arial"/>
          <w:szCs w:val="22"/>
        </w:rPr>
        <w:t xml:space="preserve"> and its elaboration</w:t>
      </w:r>
      <w:r w:rsidR="00E47151">
        <w:rPr>
          <w:rFonts w:cs="Arial"/>
          <w:szCs w:val="22"/>
        </w:rPr>
        <w:t>.</w:t>
      </w:r>
    </w:p>
    <w:p w14:paraId="5BCD9296" w14:textId="77777777" w:rsidR="009C207A" w:rsidRPr="009C207A" w:rsidRDefault="00A54236" w:rsidP="0020322F">
      <w:pPr>
        <w:pStyle w:val="a7"/>
        <w:numPr>
          <w:ilvl w:val="0"/>
          <w:numId w:val="9"/>
        </w:numPr>
        <w:tabs>
          <w:tab w:val="clear" w:pos="4153"/>
          <w:tab w:val="clear" w:pos="8306"/>
          <w:tab w:val="left" w:pos="426"/>
        </w:tabs>
        <w:spacing w:after="120"/>
        <w:ind w:right="20"/>
        <w:rPr>
          <w:rFonts w:cs="Arial"/>
          <w:szCs w:val="22"/>
          <w:lang w:val="en-GB"/>
        </w:rPr>
      </w:pPr>
      <w:r>
        <w:rPr>
          <w:rFonts w:cs="Arial"/>
          <w:szCs w:val="22"/>
          <w:lang w:val="en-GB"/>
        </w:rPr>
        <w:t>During implementation</w:t>
      </w:r>
      <w:r w:rsidR="009C207A" w:rsidRPr="009C207A">
        <w:rPr>
          <w:rFonts w:cs="Arial"/>
          <w:szCs w:val="22"/>
          <w:lang w:val="en-GB"/>
        </w:rPr>
        <w:t>, a UNDP risk log will be regularly updated in intervals of no less than every six months in which critical risks to the project have been identified. Consistent involvement of a diverse s</w:t>
      </w:r>
      <w:r w:rsidR="008600DE">
        <w:rPr>
          <w:rFonts w:cs="Arial"/>
          <w:szCs w:val="22"/>
          <w:lang w:val="en-GB"/>
        </w:rPr>
        <w:t>et of partners</w:t>
      </w:r>
      <w:r w:rsidR="00D01513">
        <w:rPr>
          <w:rFonts w:cs="Arial"/>
          <w:szCs w:val="22"/>
          <w:lang w:val="en-GB"/>
        </w:rPr>
        <w:t xml:space="preserve"> – </w:t>
      </w:r>
      <w:r w:rsidR="008600DE">
        <w:rPr>
          <w:rFonts w:cs="Arial"/>
          <w:szCs w:val="22"/>
          <w:lang w:val="en-GB"/>
        </w:rPr>
        <w:t>including governments, financial institutions, private sector</w:t>
      </w:r>
      <w:r w:rsidR="009C207A" w:rsidRPr="009C207A">
        <w:rPr>
          <w:rFonts w:cs="Arial"/>
          <w:szCs w:val="22"/>
          <w:lang w:val="en-GB"/>
        </w:rPr>
        <w:t xml:space="preserve">, community organizations and NGOs </w:t>
      </w:r>
      <w:r w:rsidR="00D01513">
        <w:rPr>
          <w:rFonts w:cs="Arial"/>
          <w:szCs w:val="22"/>
          <w:lang w:val="en-GB"/>
        </w:rPr>
        <w:t xml:space="preserve">– </w:t>
      </w:r>
      <w:r w:rsidR="009C207A" w:rsidRPr="009C207A">
        <w:rPr>
          <w:rFonts w:cs="Arial"/>
          <w:szCs w:val="22"/>
          <w:lang w:val="en-GB"/>
        </w:rPr>
        <w:t xml:space="preserve">will further reduce these risks. </w:t>
      </w:r>
      <w:r w:rsidR="00B25AA5">
        <w:rPr>
          <w:rFonts w:cs="Arial"/>
          <w:szCs w:val="22"/>
          <w:lang w:val="en-GB"/>
        </w:rPr>
        <w:t>E</w:t>
      </w:r>
      <w:r w:rsidR="009C207A" w:rsidRPr="009C207A">
        <w:rPr>
          <w:rFonts w:cs="Arial"/>
          <w:szCs w:val="22"/>
          <w:lang w:val="en-GB"/>
        </w:rPr>
        <w:t>nvironmental and social grievances will be reported to the GEF in the annual PIR.</w:t>
      </w:r>
    </w:p>
    <w:p w14:paraId="787D5C01" w14:textId="77777777" w:rsidR="00D44C64" w:rsidRPr="004622EC" w:rsidRDefault="00AB4836" w:rsidP="0020322F">
      <w:pPr>
        <w:pStyle w:val="afb"/>
        <w:keepNext/>
        <w:keepLines/>
        <w:numPr>
          <w:ilvl w:val="0"/>
          <w:numId w:val="40"/>
        </w:numPr>
        <w:spacing w:before="240" w:after="120"/>
        <w:rPr>
          <w:rFonts w:ascii="Calibri" w:hAnsi="Calibri"/>
          <w:b/>
          <w:i/>
          <w:szCs w:val="20"/>
        </w:rPr>
      </w:pPr>
      <w:r w:rsidRPr="004622EC">
        <w:rPr>
          <w:rFonts w:ascii="Calibri" w:hAnsi="Calibri"/>
          <w:b/>
          <w:i/>
          <w:szCs w:val="20"/>
        </w:rPr>
        <w:t>Sustainability and Scaling U</w:t>
      </w:r>
      <w:r w:rsidR="00D01513">
        <w:rPr>
          <w:rFonts w:ascii="Calibri" w:hAnsi="Calibri"/>
          <w:b/>
          <w:i/>
          <w:szCs w:val="20"/>
        </w:rPr>
        <w:t>p</w:t>
      </w:r>
    </w:p>
    <w:p w14:paraId="7C3F988E" w14:textId="77777777" w:rsidR="00A062A2" w:rsidRPr="006004D1" w:rsidRDefault="00A062A2" w:rsidP="0020322F">
      <w:pPr>
        <w:pStyle w:val="a7"/>
        <w:numPr>
          <w:ilvl w:val="0"/>
          <w:numId w:val="9"/>
        </w:numPr>
        <w:tabs>
          <w:tab w:val="clear" w:pos="4153"/>
          <w:tab w:val="clear" w:pos="8306"/>
          <w:tab w:val="left" w:pos="426"/>
        </w:tabs>
        <w:spacing w:after="120"/>
        <w:ind w:right="20"/>
        <w:rPr>
          <w:rFonts w:cs="Arial"/>
          <w:szCs w:val="22"/>
          <w:lang w:val="en-GB"/>
        </w:rPr>
      </w:pPr>
      <w:r w:rsidRPr="004622EC">
        <w:rPr>
          <w:rFonts w:cs="Arial"/>
          <w:b/>
          <w:szCs w:val="22"/>
          <w:lang w:val="en-GB"/>
        </w:rPr>
        <w:t>Sustainability:</w:t>
      </w:r>
      <w:r w:rsidRPr="006004D1">
        <w:rPr>
          <w:rFonts w:cs="Arial"/>
          <w:szCs w:val="22"/>
          <w:lang w:val="en-GB"/>
        </w:rPr>
        <w:t xml:space="preserve"> the project originates from and is driven by the Government of Kazakhstan’s ambition to establish and achieve long-term </w:t>
      </w:r>
      <w:r w:rsidR="00D01513">
        <w:rPr>
          <w:rFonts w:cs="Arial"/>
          <w:szCs w:val="22"/>
          <w:lang w:val="en-GB"/>
        </w:rPr>
        <w:t>renewable energy</w:t>
      </w:r>
      <w:r w:rsidR="00D01513" w:rsidRPr="006004D1">
        <w:rPr>
          <w:rFonts w:cs="Arial"/>
          <w:szCs w:val="22"/>
          <w:lang w:val="en-GB"/>
        </w:rPr>
        <w:t xml:space="preserve"> </w:t>
      </w:r>
      <w:r w:rsidRPr="006004D1">
        <w:rPr>
          <w:rFonts w:cs="Arial"/>
          <w:szCs w:val="22"/>
          <w:lang w:val="en-GB"/>
        </w:rPr>
        <w:t xml:space="preserve">and climate change mitigation targets. </w:t>
      </w:r>
      <w:r w:rsidR="00D01513">
        <w:rPr>
          <w:rFonts w:cs="Arial"/>
          <w:szCs w:val="22"/>
          <w:lang w:val="en-GB"/>
        </w:rPr>
        <w:t>I</w:t>
      </w:r>
      <w:r w:rsidRPr="006004D1">
        <w:rPr>
          <w:rFonts w:cs="Arial"/>
          <w:szCs w:val="22"/>
          <w:lang w:val="en-GB"/>
        </w:rPr>
        <w:t>t emphas</w:t>
      </w:r>
      <w:r w:rsidR="007560CA">
        <w:rPr>
          <w:rFonts w:cs="Arial"/>
          <w:szCs w:val="22"/>
          <w:lang w:val="en-GB"/>
        </w:rPr>
        <w:t>izes</w:t>
      </w:r>
      <w:r w:rsidRPr="006004D1">
        <w:rPr>
          <w:rFonts w:cs="Arial"/>
          <w:szCs w:val="22"/>
          <w:lang w:val="en-GB"/>
        </w:rPr>
        <w:t xml:space="preserve"> on </w:t>
      </w:r>
      <w:r w:rsidR="00D01513">
        <w:rPr>
          <w:rFonts w:cs="Arial"/>
          <w:szCs w:val="22"/>
          <w:lang w:val="en-GB"/>
        </w:rPr>
        <w:t xml:space="preserve">the </w:t>
      </w:r>
      <w:r w:rsidRPr="006004D1">
        <w:rPr>
          <w:rFonts w:cs="Arial"/>
          <w:szCs w:val="22"/>
          <w:lang w:val="en-GB"/>
        </w:rPr>
        <w:t>private sector as the driving force for achieving the targets and transforming the market for renewable energy. By adopting a strategy</w:t>
      </w:r>
      <w:r w:rsidR="00D01513">
        <w:rPr>
          <w:rFonts w:cs="Arial"/>
          <w:szCs w:val="22"/>
          <w:lang w:val="en-GB"/>
        </w:rPr>
        <w:t xml:space="preserve"> that</w:t>
      </w:r>
      <w:r w:rsidRPr="006004D1">
        <w:rPr>
          <w:rFonts w:cs="Arial"/>
          <w:szCs w:val="22"/>
          <w:lang w:val="en-GB"/>
        </w:rPr>
        <w:t xml:space="preserve"> focuses foremost on reducing investment risks, the project is des</w:t>
      </w:r>
      <w:r w:rsidR="00D01513">
        <w:rPr>
          <w:rFonts w:cs="Arial"/>
          <w:szCs w:val="22"/>
          <w:lang w:val="en-GB"/>
        </w:rPr>
        <w:t>igned</w:t>
      </w:r>
      <w:r w:rsidRPr="006004D1">
        <w:rPr>
          <w:rFonts w:cs="Arial"/>
          <w:szCs w:val="22"/>
          <w:lang w:val="en-GB"/>
        </w:rPr>
        <w:t xml:space="preserve"> to make a long-lasting impact. Sustainability of </w:t>
      </w:r>
      <w:r w:rsidR="00D01513">
        <w:rPr>
          <w:rFonts w:cs="Arial"/>
          <w:szCs w:val="22"/>
          <w:lang w:val="en-GB"/>
        </w:rPr>
        <w:t xml:space="preserve">the </w:t>
      </w:r>
      <w:r w:rsidRPr="006004D1">
        <w:rPr>
          <w:rFonts w:cs="Arial"/>
          <w:szCs w:val="22"/>
          <w:lang w:val="en-GB"/>
        </w:rPr>
        <w:t>project’s outcomes will be based on the provisions embedded in project design</w:t>
      </w:r>
      <w:r w:rsidR="00D01513">
        <w:rPr>
          <w:rFonts w:cs="Arial"/>
          <w:szCs w:val="22"/>
          <w:lang w:val="en-GB"/>
        </w:rPr>
        <w:t>:</w:t>
      </w:r>
    </w:p>
    <w:p w14:paraId="2ECC8C14" w14:textId="77777777" w:rsidR="00A062A2" w:rsidRPr="006E404E" w:rsidRDefault="00A062A2" w:rsidP="0020322F">
      <w:pPr>
        <w:pStyle w:val="Normalbullets"/>
        <w:numPr>
          <w:ilvl w:val="0"/>
          <w:numId w:val="49"/>
        </w:numPr>
        <w:contextualSpacing/>
        <w:rPr>
          <w:rFonts w:cs="Arial"/>
          <w:szCs w:val="22"/>
          <w:lang w:eastAsia="ko-KR"/>
        </w:rPr>
      </w:pPr>
      <w:r w:rsidRPr="006E404E">
        <w:rPr>
          <w:rFonts w:cs="Arial"/>
          <w:szCs w:val="22"/>
          <w:lang w:eastAsia="ko-KR"/>
        </w:rPr>
        <w:t>RES-supportive policies will form an integral part of the broader Green Economy legislative package which spells out a set of measures to ensure Kazakhstan’s transition to more resource-eff</w:t>
      </w:r>
      <w:r w:rsidR="00D01513" w:rsidRPr="006E404E">
        <w:rPr>
          <w:rFonts w:cs="Arial"/>
          <w:szCs w:val="22"/>
          <w:lang w:eastAsia="ko-KR"/>
        </w:rPr>
        <w:t>i</w:t>
      </w:r>
      <w:r w:rsidRPr="006E404E">
        <w:rPr>
          <w:rFonts w:cs="Arial"/>
          <w:szCs w:val="22"/>
          <w:lang w:eastAsia="ko-KR"/>
        </w:rPr>
        <w:t>cient and green economic developm</w:t>
      </w:r>
      <w:r w:rsidR="00E16261" w:rsidRPr="006E404E">
        <w:rPr>
          <w:rFonts w:cs="Arial"/>
          <w:szCs w:val="22"/>
          <w:lang w:eastAsia="ko-KR"/>
        </w:rPr>
        <w:t>ent pathway</w:t>
      </w:r>
      <w:r w:rsidR="00D01513" w:rsidRPr="006E404E">
        <w:rPr>
          <w:rFonts w:cs="Arial"/>
          <w:szCs w:val="22"/>
          <w:lang w:eastAsia="ko-KR"/>
        </w:rPr>
        <w:t>. T</w:t>
      </w:r>
      <w:r w:rsidR="00E16261" w:rsidRPr="006E404E">
        <w:rPr>
          <w:rFonts w:cs="Arial"/>
          <w:szCs w:val="22"/>
          <w:lang w:eastAsia="ko-KR"/>
        </w:rPr>
        <w:t xml:space="preserve">he Green Economy </w:t>
      </w:r>
      <w:r w:rsidRPr="006E404E">
        <w:rPr>
          <w:rFonts w:cs="Arial"/>
          <w:szCs w:val="22"/>
          <w:lang w:eastAsia="ko-KR"/>
        </w:rPr>
        <w:t>agenda and process is under direct auspices and leadership of the President of Kazakhstan</w:t>
      </w:r>
      <w:r w:rsidR="00D01513" w:rsidRPr="006E404E">
        <w:rPr>
          <w:rFonts w:cs="Arial"/>
          <w:szCs w:val="22"/>
          <w:lang w:eastAsia="ko-KR"/>
        </w:rPr>
        <w:t>.</w:t>
      </w:r>
    </w:p>
    <w:p w14:paraId="7826A4EB" w14:textId="77777777" w:rsidR="00A062A2" w:rsidRPr="006E404E" w:rsidRDefault="00A062A2" w:rsidP="0020322F">
      <w:pPr>
        <w:pStyle w:val="Normalbullets"/>
        <w:numPr>
          <w:ilvl w:val="0"/>
          <w:numId w:val="49"/>
        </w:numPr>
        <w:contextualSpacing/>
        <w:rPr>
          <w:rFonts w:cs="Arial"/>
          <w:szCs w:val="22"/>
          <w:lang w:eastAsia="ko-KR"/>
        </w:rPr>
      </w:pPr>
      <w:r w:rsidRPr="006E404E">
        <w:rPr>
          <w:rFonts w:cs="Arial"/>
          <w:szCs w:val="22"/>
          <w:lang w:eastAsia="ko-KR"/>
        </w:rPr>
        <w:t>The project will support selected national agencies in full compliance with their existing mandate and power of authority thus making sure that lasting institutional and human capacities are created for implementation of project-supported policy changes.</w:t>
      </w:r>
    </w:p>
    <w:p w14:paraId="7D91BA69" w14:textId="77777777" w:rsidR="00A062A2" w:rsidRPr="006E404E" w:rsidRDefault="00A062A2" w:rsidP="0020322F">
      <w:pPr>
        <w:pStyle w:val="Normalbullets"/>
        <w:numPr>
          <w:ilvl w:val="0"/>
          <w:numId w:val="49"/>
        </w:numPr>
        <w:contextualSpacing/>
        <w:rPr>
          <w:rFonts w:cs="Arial"/>
          <w:szCs w:val="22"/>
          <w:lang w:eastAsia="ko-KR"/>
        </w:rPr>
      </w:pPr>
      <w:r w:rsidRPr="006E404E">
        <w:rPr>
          <w:rFonts w:cs="Arial"/>
          <w:szCs w:val="22"/>
          <w:lang w:eastAsia="ko-KR"/>
        </w:rPr>
        <w:t xml:space="preserve">Sustainability and lasting impact of financial derisking instruments will hinge upon their ability to lower the cost of financing for </w:t>
      </w:r>
      <w:r w:rsidR="00D01513" w:rsidRPr="006E404E">
        <w:rPr>
          <w:rFonts w:cs="Arial"/>
          <w:szCs w:val="22"/>
          <w:lang w:eastAsia="ko-KR"/>
        </w:rPr>
        <w:t xml:space="preserve">renewable energy </w:t>
      </w:r>
      <w:r w:rsidRPr="006E404E">
        <w:rPr>
          <w:rFonts w:cs="Arial"/>
          <w:szCs w:val="22"/>
          <w:lang w:eastAsia="ko-KR"/>
        </w:rPr>
        <w:t xml:space="preserve">projects. Financial derisking instruments will be designed in such a way as to achieve a sector-wide impact and low </w:t>
      </w:r>
      <w:r w:rsidR="00D01513" w:rsidRPr="006E404E">
        <w:rPr>
          <w:rFonts w:cs="Arial"/>
          <w:szCs w:val="22"/>
          <w:lang w:eastAsia="ko-KR"/>
        </w:rPr>
        <w:t xml:space="preserve">renewable energy </w:t>
      </w:r>
      <w:r w:rsidRPr="006E404E">
        <w:rPr>
          <w:rFonts w:cs="Arial"/>
          <w:szCs w:val="22"/>
          <w:lang w:eastAsia="ko-KR"/>
        </w:rPr>
        <w:t xml:space="preserve">financing costs for </w:t>
      </w:r>
      <w:r w:rsidR="00D01513" w:rsidRPr="006E404E">
        <w:rPr>
          <w:rFonts w:cs="Arial"/>
          <w:szCs w:val="22"/>
          <w:lang w:eastAsia="ko-KR"/>
        </w:rPr>
        <w:t xml:space="preserve">all </w:t>
      </w:r>
      <w:r w:rsidRPr="006E404E">
        <w:rPr>
          <w:rFonts w:cs="Arial"/>
          <w:szCs w:val="22"/>
          <w:lang w:eastAsia="ko-KR"/>
        </w:rPr>
        <w:t xml:space="preserve">perspective </w:t>
      </w:r>
      <w:r w:rsidR="00D01513" w:rsidRPr="006E404E">
        <w:rPr>
          <w:rFonts w:cs="Arial"/>
          <w:szCs w:val="22"/>
          <w:lang w:eastAsia="ko-KR"/>
        </w:rPr>
        <w:t xml:space="preserve">renewable energy </w:t>
      </w:r>
      <w:r w:rsidRPr="006E404E">
        <w:rPr>
          <w:rFonts w:cs="Arial"/>
          <w:szCs w:val="22"/>
          <w:lang w:eastAsia="ko-KR"/>
        </w:rPr>
        <w:t>projects and therefore eliminate</w:t>
      </w:r>
      <w:r w:rsidR="00D01513" w:rsidRPr="006E404E">
        <w:rPr>
          <w:rFonts w:cs="Arial"/>
          <w:szCs w:val="22"/>
          <w:lang w:eastAsia="ko-KR"/>
        </w:rPr>
        <w:t>,</w:t>
      </w:r>
      <w:r w:rsidRPr="006E404E">
        <w:rPr>
          <w:rFonts w:cs="Arial"/>
          <w:szCs w:val="22"/>
          <w:lang w:eastAsia="ko-KR"/>
        </w:rPr>
        <w:t xml:space="preserve"> or at least significantly reduc</w:t>
      </w:r>
      <w:r w:rsidR="00D01513" w:rsidRPr="006E404E">
        <w:rPr>
          <w:rFonts w:cs="Arial"/>
          <w:szCs w:val="22"/>
          <w:lang w:eastAsia="ko-KR"/>
        </w:rPr>
        <w:t>e</w:t>
      </w:r>
      <w:r w:rsidRPr="006E404E">
        <w:rPr>
          <w:rFonts w:cs="Arial"/>
          <w:szCs w:val="22"/>
          <w:lang w:eastAsia="ko-KR"/>
        </w:rPr>
        <w:t xml:space="preserve"> the need for</w:t>
      </w:r>
      <w:r w:rsidR="00D01513" w:rsidRPr="006E404E">
        <w:rPr>
          <w:rFonts w:cs="Arial"/>
          <w:szCs w:val="22"/>
          <w:lang w:eastAsia="ko-KR"/>
        </w:rPr>
        <w:t>,</w:t>
      </w:r>
      <w:r w:rsidRPr="006E404E">
        <w:rPr>
          <w:rFonts w:cs="Arial"/>
          <w:szCs w:val="22"/>
          <w:lang w:eastAsia="ko-KR"/>
        </w:rPr>
        <w:t xml:space="preserve"> additional financial derisking after project completion.</w:t>
      </w:r>
    </w:p>
    <w:p w14:paraId="5AA955D7" w14:textId="77777777" w:rsidR="00A062A2" w:rsidRPr="006004D1" w:rsidRDefault="00A062A2" w:rsidP="0020322F">
      <w:pPr>
        <w:pStyle w:val="a7"/>
        <w:numPr>
          <w:ilvl w:val="0"/>
          <w:numId w:val="9"/>
        </w:numPr>
        <w:tabs>
          <w:tab w:val="clear" w:pos="4153"/>
          <w:tab w:val="clear" w:pos="8306"/>
          <w:tab w:val="left" w:pos="426"/>
        </w:tabs>
        <w:spacing w:after="120"/>
        <w:ind w:right="20"/>
        <w:rPr>
          <w:rFonts w:cs="Arial"/>
          <w:szCs w:val="22"/>
          <w:lang w:val="en-GB"/>
        </w:rPr>
      </w:pPr>
      <w:r w:rsidRPr="004622EC">
        <w:rPr>
          <w:rFonts w:cs="Arial"/>
          <w:b/>
          <w:i/>
          <w:szCs w:val="22"/>
          <w:lang w:val="en-GB"/>
        </w:rPr>
        <w:t>Potential for scaling-up</w:t>
      </w:r>
      <w:r w:rsidRPr="004622EC">
        <w:rPr>
          <w:rFonts w:cs="Arial"/>
          <w:b/>
          <w:szCs w:val="22"/>
          <w:lang w:val="en-GB"/>
        </w:rPr>
        <w:t>:</w:t>
      </w:r>
      <w:r w:rsidRPr="006004D1">
        <w:rPr>
          <w:rFonts w:cs="Arial"/>
          <w:szCs w:val="22"/>
          <w:lang w:val="en-GB"/>
        </w:rPr>
        <w:t xml:space="preserve"> </w:t>
      </w:r>
      <w:r w:rsidR="00D01513">
        <w:rPr>
          <w:rFonts w:cs="Arial"/>
          <w:szCs w:val="22"/>
          <w:lang w:val="en-GB"/>
        </w:rPr>
        <w:t>P</w:t>
      </w:r>
      <w:r w:rsidR="00D01513" w:rsidRPr="006004D1">
        <w:rPr>
          <w:rFonts w:cs="Arial"/>
          <w:szCs w:val="22"/>
          <w:lang w:val="en-GB"/>
        </w:rPr>
        <w:t xml:space="preserve">romoting </w:t>
      </w:r>
      <w:r w:rsidRPr="006004D1">
        <w:rPr>
          <w:rFonts w:cs="Arial"/>
          <w:szCs w:val="22"/>
          <w:lang w:val="en-GB"/>
        </w:rPr>
        <w:t>renewable energy in Kazakhstan</w:t>
      </w:r>
      <w:r w:rsidR="00D01513">
        <w:rPr>
          <w:rFonts w:cs="Arial"/>
          <w:szCs w:val="22"/>
          <w:lang w:val="en-GB"/>
        </w:rPr>
        <w:t xml:space="preserve"> –</w:t>
      </w:r>
      <w:r w:rsidRPr="006004D1">
        <w:rPr>
          <w:rFonts w:cs="Arial"/>
          <w:szCs w:val="22"/>
          <w:lang w:val="en-GB"/>
        </w:rPr>
        <w:t xml:space="preserve"> </w:t>
      </w:r>
      <w:r w:rsidR="003B1043">
        <w:rPr>
          <w:rFonts w:cs="Arial"/>
          <w:szCs w:val="22"/>
          <w:lang w:val="en-GB"/>
        </w:rPr>
        <w:t>a</w:t>
      </w:r>
      <w:r w:rsidR="003B1043" w:rsidRPr="006004D1">
        <w:rPr>
          <w:rFonts w:cs="Arial"/>
          <w:szCs w:val="22"/>
          <w:lang w:val="en-GB"/>
        </w:rPr>
        <w:t xml:space="preserve"> </w:t>
      </w:r>
      <w:r w:rsidRPr="006004D1">
        <w:rPr>
          <w:rFonts w:cs="Arial"/>
          <w:szCs w:val="22"/>
          <w:lang w:val="en-GB"/>
        </w:rPr>
        <w:t>country with huge yet unexploi</w:t>
      </w:r>
      <w:r w:rsidR="00FE79FE">
        <w:rPr>
          <w:rFonts w:cs="Arial"/>
          <w:szCs w:val="22"/>
          <w:lang w:val="en-GB"/>
        </w:rPr>
        <w:t>ted potential for RES</w:t>
      </w:r>
      <w:r w:rsidRPr="006004D1">
        <w:rPr>
          <w:rFonts w:cs="Arial"/>
          <w:szCs w:val="22"/>
          <w:lang w:val="en-GB"/>
        </w:rPr>
        <w:t>, as well as solid economic base for investment and economic growth</w:t>
      </w:r>
      <w:r w:rsidR="00D01513">
        <w:rPr>
          <w:rFonts w:cs="Arial"/>
          <w:szCs w:val="22"/>
          <w:lang w:val="en-GB"/>
        </w:rPr>
        <w:t xml:space="preserve"> –</w:t>
      </w:r>
      <w:r w:rsidRPr="006004D1">
        <w:rPr>
          <w:rFonts w:cs="Arial"/>
          <w:szCs w:val="22"/>
          <w:lang w:val="en-GB"/>
        </w:rPr>
        <w:t xml:space="preserve"> has vast potential. Apart from obvious opportunities for large utility-scale </w:t>
      </w:r>
      <w:r w:rsidR="00AE324D">
        <w:rPr>
          <w:rFonts w:cs="Arial"/>
          <w:szCs w:val="22"/>
          <w:lang w:val="en-GB"/>
        </w:rPr>
        <w:t>renewable energy</w:t>
      </w:r>
      <w:r w:rsidR="00AE324D" w:rsidRPr="006004D1">
        <w:rPr>
          <w:rFonts w:cs="Arial"/>
          <w:szCs w:val="22"/>
          <w:lang w:val="en-GB"/>
        </w:rPr>
        <w:t xml:space="preserve"> </w:t>
      </w:r>
      <w:r w:rsidRPr="006004D1">
        <w:rPr>
          <w:rFonts w:cs="Arial"/>
          <w:szCs w:val="22"/>
          <w:lang w:val="en-GB"/>
        </w:rPr>
        <w:t xml:space="preserve">projects, there are many smaller niche markets for </w:t>
      </w:r>
      <w:r w:rsidR="00AE324D">
        <w:rPr>
          <w:rFonts w:cs="Arial"/>
          <w:szCs w:val="22"/>
          <w:lang w:val="en-GB"/>
        </w:rPr>
        <w:t xml:space="preserve">renewable energy </w:t>
      </w:r>
      <w:r w:rsidRPr="006004D1">
        <w:rPr>
          <w:rFonts w:cs="Arial"/>
          <w:szCs w:val="22"/>
          <w:lang w:val="en-GB"/>
        </w:rPr>
        <w:t xml:space="preserve">applications in Kazakhstan, which are yet unknown to potential investors, developers and </w:t>
      </w:r>
      <w:r w:rsidR="00A54236">
        <w:rPr>
          <w:rFonts w:cs="Arial"/>
          <w:szCs w:val="22"/>
          <w:lang w:val="en-GB"/>
        </w:rPr>
        <w:t xml:space="preserve">the </w:t>
      </w:r>
      <w:r w:rsidR="00CA6A37" w:rsidRPr="006004D1">
        <w:rPr>
          <w:rFonts w:cs="Arial"/>
          <w:szCs w:val="22"/>
          <w:lang w:val="en-GB"/>
        </w:rPr>
        <w:t>public</w:t>
      </w:r>
      <w:r w:rsidRPr="006004D1">
        <w:rPr>
          <w:rFonts w:cs="Arial"/>
          <w:szCs w:val="22"/>
          <w:lang w:val="en-GB"/>
        </w:rPr>
        <w:t xml:space="preserve">. </w:t>
      </w:r>
      <w:r w:rsidR="00B34DA9">
        <w:rPr>
          <w:rFonts w:cs="Arial"/>
          <w:szCs w:val="22"/>
          <w:lang w:val="en-GB"/>
        </w:rPr>
        <w:t>The</w:t>
      </w:r>
      <w:r w:rsidR="00B34DA9" w:rsidRPr="006004D1">
        <w:rPr>
          <w:rFonts w:cs="Arial"/>
          <w:szCs w:val="22"/>
          <w:lang w:val="en-GB"/>
        </w:rPr>
        <w:t xml:space="preserve"> </w:t>
      </w:r>
      <w:r w:rsidRPr="006004D1">
        <w:rPr>
          <w:rFonts w:cs="Arial"/>
          <w:szCs w:val="22"/>
          <w:lang w:val="en-GB"/>
        </w:rPr>
        <w:t xml:space="preserve">project will look specifically at </w:t>
      </w:r>
      <w:r w:rsidR="003B1043">
        <w:rPr>
          <w:rFonts w:cs="Arial"/>
          <w:szCs w:val="22"/>
          <w:lang w:val="en-GB"/>
        </w:rPr>
        <w:t>unlocking</w:t>
      </w:r>
      <w:r w:rsidR="003B1043" w:rsidRPr="006004D1">
        <w:rPr>
          <w:rFonts w:cs="Arial"/>
          <w:szCs w:val="22"/>
          <w:lang w:val="en-GB"/>
        </w:rPr>
        <w:t xml:space="preserve"> </w:t>
      </w:r>
      <w:r w:rsidRPr="006004D1">
        <w:rPr>
          <w:rFonts w:cs="Arial"/>
          <w:szCs w:val="22"/>
          <w:lang w:val="en-GB"/>
        </w:rPr>
        <w:t xml:space="preserve">such new market opportunities under “RES for Urban Life” and “RES for Rural Life” segments; each with vast potential for scaling-up </w:t>
      </w:r>
      <w:r w:rsidRPr="00AE0053">
        <w:rPr>
          <w:rFonts w:cs="Arial"/>
          <w:szCs w:val="22"/>
          <w:lang w:val="en-GB"/>
        </w:rPr>
        <w:t>(bearing in mind projected 4.4% annual growth in electr</w:t>
      </w:r>
      <w:r w:rsidR="00EF5D53" w:rsidRPr="00AE0053">
        <w:rPr>
          <w:rFonts w:cs="Arial"/>
          <w:szCs w:val="22"/>
          <w:lang w:val="en-GB"/>
        </w:rPr>
        <w:t>i</w:t>
      </w:r>
      <w:r w:rsidRPr="00AE0053">
        <w:rPr>
          <w:rFonts w:cs="Arial"/>
          <w:szCs w:val="22"/>
          <w:lang w:val="en-GB"/>
        </w:rPr>
        <w:t>city demand, coming mainly from residential sector).</w:t>
      </w:r>
      <w:r w:rsidRPr="006004D1">
        <w:rPr>
          <w:rFonts w:cs="Arial"/>
          <w:szCs w:val="22"/>
          <w:lang w:val="en-GB"/>
        </w:rPr>
        <w:t xml:space="preserve"> </w:t>
      </w:r>
    </w:p>
    <w:p w14:paraId="2D4EF126" w14:textId="77777777" w:rsidR="00AE324D" w:rsidRDefault="00AE324D" w:rsidP="0020322F">
      <w:pPr>
        <w:pStyle w:val="a7"/>
        <w:numPr>
          <w:ilvl w:val="0"/>
          <w:numId w:val="9"/>
        </w:numPr>
        <w:tabs>
          <w:tab w:val="clear" w:pos="4153"/>
          <w:tab w:val="clear" w:pos="8306"/>
          <w:tab w:val="left" w:pos="426"/>
        </w:tabs>
        <w:spacing w:after="120"/>
        <w:ind w:right="20"/>
      </w:pPr>
      <w:r>
        <w:t>In addition,</w:t>
      </w:r>
      <w:r w:rsidRPr="00C7755F">
        <w:t xml:space="preserve"> </w:t>
      </w:r>
      <w:r>
        <w:t>a</w:t>
      </w:r>
      <w:r w:rsidRPr="00C7755F">
        <w:t xml:space="preserve">bout 255 settlements and 9000 farms in Kazakhstan are not connected to the national grid. </w:t>
      </w:r>
      <w:r>
        <w:t>There is additional potential for scaling-up in urban areas</w:t>
      </w:r>
      <w:r w:rsidRPr="00C352D3">
        <w:t xml:space="preserve">, </w:t>
      </w:r>
      <w:r>
        <w:t>including</w:t>
      </w:r>
      <w:r w:rsidRPr="00C352D3">
        <w:t xml:space="preserve"> street lighting, rooftop </w:t>
      </w:r>
      <w:r>
        <w:t>PV</w:t>
      </w:r>
      <w:r w:rsidRPr="00C352D3">
        <w:t xml:space="preserve"> and solar water heaters.</w:t>
      </w:r>
      <w:r>
        <w:t xml:space="preserve"> P</w:t>
      </w:r>
      <w:r w:rsidRPr="00C352D3">
        <w:t xml:space="preserve">otential </w:t>
      </w:r>
      <w:r w:rsidR="00C953AA">
        <w:t>exists</w:t>
      </w:r>
      <w:r>
        <w:t xml:space="preserve"> </w:t>
      </w:r>
      <w:r w:rsidRPr="00C352D3">
        <w:t>for scaling</w:t>
      </w:r>
      <w:r>
        <w:t>-</w:t>
      </w:r>
      <w:r w:rsidRPr="00C352D3">
        <w:t>up and replication of the project’s activities in other Central Asian countries, which have similar energy markets and barriers to investment in renewable energy.</w:t>
      </w:r>
    </w:p>
    <w:p w14:paraId="488602B1" w14:textId="77777777" w:rsidR="00A52013" w:rsidRPr="005B6340" w:rsidRDefault="00AE324D" w:rsidP="0020322F">
      <w:pPr>
        <w:pStyle w:val="a7"/>
        <w:numPr>
          <w:ilvl w:val="0"/>
          <w:numId w:val="9"/>
        </w:numPr>
        <w:tabs>
          <w:tab w:val="clear" w:pos="4153"/>
          <w:tab w:val="clear" w:pos="8306"/>
          <w:tab w:val="left" w:pos="426"/>
        </w:tabs>
        <w:spacing w:after="120"/>
        <w:ind w:right="20"/>
      </w:pPr>
      <w:r>
        <w:t xml:space="preserve">The </w:t>
      </w:r>
      <w:r w:rsidR="00D01513" w:rsidRPr="005B6340">
        <w:t>project</w:t>
      </w:r>
      <w:r>
        <w:t>’s</w:t>
      </w:r>
      <w:r w:rsidR="00D01513" w:rsidRPr="005B6340">
        <w:t xml:space="preserve"> design</w:t>
      </w:r>
      <w:r w:rsidR="00D01513">
        <w:t xml:space="preserve"> </w:t>
      </w:r>
      <w:r>
        <w:t xml:space="preserve">addresses scaling-up </w:t>
      </w:r>
      <w:r w:rsidR="00D01513">
        <w:t xml:space="preserve">through the establishment of </w:t>
      </w:r>
      <w:r w:rsidR="00D01513" w:rsidRPr="005B6340">
        <w:t xml:space="preserve">MRV for </w:t>
      </w:r>
      <w:r w:rsidR="00D01513">
        <w:t>small-scale renewables</w:t>
      </w:r>
      <w:r>
        <w:t>,</w:t>
      </w:r>
      <w:r w:rsidR="00D01513">
        <w:t xml:space="preserve"> which will </w:t>
      </w:r>
      <w:r w:rsidR="00D01513" w:rsidRPr="005B6340">
        <w:t xml:space="preserve">further </w:t>
      </w:r>
      <w:r w:rsidR="00D01513">
        <w:t>expansion of the market for small-scale installations</w:t>
      </w:r>
      <w:r>
        <w:t xml:space="preserve">; </w:t>
      </w:r>
      <w:r w:rsidR="00D01513" w:rsidRPr="005B6340">
        <w:t xml:space="preserve">supporting the creation of an enabling policy framework; and, the establishment of </w:t>
      </w:r>
      <w:r w:rsidR="00D01513">
        <w:t>business models and</w:t>
      </w:r>
      <w:r w:rsidR="00D01513" w:rsidRPr="005B6340">
        <w:t xml:space="preserve"> financial mechanism</w:t>
      </w:r>
      <w:r w:rsidR="00D01513">
        <w:t>s</w:t>
      </w:r>
      <w:r w:rsidR="00D01513" w:rsidRPr="005B6340">
        <w:t xml:space="preserve"> for the provision of financial incentives to </w:t>
      </w:r>
      <w:r w:rsidR="00D01513">
        <w:t>small-scale developers</w:t>
      </w:r>
      <w:r w:rsidR="00D01513" w:rsidRPr="00C352D3">
        <w:rPr>
          <w:rFonts w:ascii="Arial" w:hAnsi="Arial" w:cs="Arial"/>
          <w:szCs w:val="20"/>
          <w:lang w:val="en-GB"/>
        </w:rPr>
        <w:t>.</w:t>
      </w:r>
      <w:r w:rsidR="00D709F3">
        <w:rPr>
          <w:rFonts w:ascii="Arial" w:hAnsi="Arial" w:cs="Arial"/>
          <w:szCs w:val="20"/>
          <w:lang w:val="en-GB"/>
        </w:rPr>
        <w:t xml:space="preserve"> </w:t>
      </w:r>
      <w:r w:rsidR="00080740">
        <w:t xml:space="preserve">Additionally, the project management team will adhere to ‘flexible programming’ to ensure that </w:t>
      </w:r>
      <w:r>
        <w:t xml:space="preserve">issues related to </w:t>
      </w:r>
      <w:r w:rsidR="00080740">
        <w:t>pro</w:t>
      </w:r>
      <w:r>
        <w:t>ject</w:t>
      </w:r>
      <w:r w:rsidR="00080740">
        <w:t xml:space="preserve"> design, planning and implementation are immediately dealt in the most appropriate manner</w:t>
      </w:r>
      <w:r>
        <w:t xml:space="preserve">, thereby </w:t>
      </w:r>
      <w:r w:rsidR="00080740">
        <w:t>increas</w:t>
      </w:r>
      <w:r>
        <w:t>ing</w:t>
      </w:r>
      <w:r w:rsidR="00080740">
        <w:t xml:space="preserve"> the sustainability and potential for replication and scaling-up.</w:t>
      </w:r>
    </w:p>
    <w:p w14:paraId="58220981" w14:textId="77777777" w:rsidR="000E17F6" w:rsidRDefault="000E17F6" w:rsidP="004622EC">
      <w:pPr>
        <w:sectPr w:rsidR="000E17F6" w:rsidSect="00CA6A37">
          <w:headerReference w:type="default" r:id="rId25"/>
          <w:footerReference w:type="default" r:id="rId26"/>
          <w:footerReference w:type="first" r:id="rId27"/>
          <w:pgSz w:w="11900" w:h="16840" w:code="9"/>
          <w:pgMar w:top="1440" w:right="1440" w:bottom="1440" w:left="993" w:header="720" w:footer="432" w:gutter="0"/>
          <w:pgNumType w:start="1"/>
          <w:cols w:space="708"/>
          <w:titlePg/>
          <w:docGrid w:linePitch="360"/>
        </w:sectPr>
      </w:pPr>
    </w:p>
    <w:p w14:paraId="2CD38576" w14:textId="77777777" w:rsidR="0053408E" w:rsidRDefault="0053408E" w:rsidP="003B2A79">
      <w:pPr>
        <w:pStyle w:val="1"/>
        <w:spacing w:before="0" w:after="60"/>
        <w:rPr>
          <w:rFonts w:ascii="Calibri" w:hAnsi="Calibri"/>
          <w:szCs w:val="28"/>
        </w:rPr>
      </w:pPr>
      <w:bookmarkStart w:id="84" w:name="_Toc479693884"/>
      <w:r w:rsidRPr="006004D1">
        <w:rPr>
          <w:rFonts w:ascii="Calibri" w:hAnsi="Calibri"/>
          <w:szCs w:val="28"/>
        </w:rPr>
        <w:t>Project Results Framework</w:t>
      </w:r>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0"/>
      </w:tblGrid>
      <w:tr w:rsidR="00C10075" w:rsidRPr="009D307B" w14:paraId="5935796E" w14:textId="77777777" w:rsidTr="00C10075">
        <w:trPr>
          <w:trHeight w:val="305"/>
        </w:trPr>
        <w:tc>
          <w:tcPr>
            <w:tcW w:w="14390" w:type="dxa"/>
            <w:shd w:val="pct12" w:color="auto" w:fill="auto"/>
          </w:tcPr>
          <w:p w14:paraId="49B3D369" w14:textId="77777777" w:rsidR="00C10075" w:rsidRPr="009D307B" w:rsidRDefault="00C10075" w:rsidP="00C10075">
            <w:pPr>
              <w:rPr>
                <w:b/>
                <w:sz w:val="20"/>
                <w:szCs w:val="20"/>
              </w:rPr>
            </w:pPr>
            <w:r w:rsidRPr="009D307B">
              <w:rPr>
                <w:b/>
                <w:sz w:val="20"/>
                <w:szCs w:val="20"/>
              </w:rPr>
              <w:t>This project will contribute to the following Sustainable Development Goals:</w:t>
            </w:r>
          </w:p>
          <w:p w14:paraId="12C2514B" w14:textId="77777777" w:rsidR="00C10075" w:rsidRPr="009D307B" w:rsidRDefault="00C10075" w:rsidP="004622EC">
            <w:pPr>
              <w:spacing w:after="20"/>
              <w:rPr>
                <w:sz w:val="20"/>
                <w:szCs w:val="20"/>
              </w:rPr>
            </w:pPr>
            <w:r w:rsidRPr="009D307B">
              <w:rPr>
                <w:sz w:val="20"/>
                <w:szCs w:val="20"/>
              </w:rPr>
              <w:t>7. Ensure access to affordable, reliable, sustainable and modern energy for all</w:t>
            </w:r>
          </w:p>
          <w:p w14:paraId="43B55E2C" w14:textId="77777777" w:rsidR="00C10075" w:rsidRPr="009D307B" w:rsidRDefault="00C10075" w:rsidP="004622EC">
            <w:pPr>
              <w:spacing w:after="20"/>
              <w:rPr>
                <w:sz w:val="20"/>
                <w:szCs w:val="20"/>
              </w:rPr>
            </w:pPr>
            <w:r w:rsidRPr="009D307B">
              <w:rPr>
                <w:sz w:val="20"/>
                <w:szCs w:val="20"/>
              </w:rPr>
              <w:t>8. Promote sustained, inclusive and sustainable economic growth, full and productive employment and decent work for all</w:t>
            </w:r>
          </w:p>
          <w:p w14:paraId="1FEA931B" w14:textId="77777777" w:rsidR="00C10075" w:rsidRPr="009D307B" w:rsidRDefault="00C10075" w:rsidP="004622EC">
            <w:pPr>
              <w:spacing w:after="20"/>
              <w:rPr>
                <w:sz w:val="20"/>
                <w:szCs w:val="20"/>
              </w:rPr>
            </w:pPr>
            <w:r w:rsidRPr="009D307B">
              <w:rPr>
                <w:sz w:val="20"/>
                <w:szCs w:val="20"/>
              </w:rPr>
              <w:t>12. Ensure sustainable consumption and production patterns</w:t>
            </w:r>
          </w:p>
          <w:p w14:paraId="051A337A" w14:textId="77777777" w:rsidR="00C10075" w:rsidRPr="009D307B" w:rsidRDefault="00C10075" w:rsidP="004622EC">
            <w:pPr>
              <w:spacing w:after="20"/>
              <w:rPr>
                <w:sz w:val="20"/>
                <w:szCs w:val="20"/>
              </w:rPr>
            </w:pPr>
            <w:r w:rsidRPr="009D307B">
              <w:rPr>
                <w:sz w:val="20"/>
                <w:szCs w:val="20"/>
              </w:rPr>
              <w:t>13. Take urgent action to combat climate change and its impacts</w:t>
            </w:r>
          </w:p>
        </w:tc>
      </w:tr>
      <w:tr w:rsidR="00C10075" w:rsidRPr="009D307B" w14:paraId="2449003E" w14:textId="77777777" w:rsidTr="00C10075">
        <w:trPr>
          <w:trHeight w:val="287"/>
        </w:trPr>
        <w:tc>
          <w:tcPr>
            <w:tcW w:w="14390" w:type="dxa"/>
            <w:shd w:val="pct12" w:color="auto" w:fill="auto"/>
          </w:tcPr>
          <w:p w14:paraId="73804DF2" w14:textId="77777777" w:rsidR="00C10075" w:rsidRPr="009D307B" w:rsidRDefault="00C10075" w:rsidP="00C10075">
            <w:pPr>
              <w:rPr>
                <w:b/>
                <w:bCs/>
                <w:sz w:val="20"/>
                <w:szCs w:val="20"/>
              </w:rPr>
            </w:pPr>
            <w:r w:rsidRPr="009D307B">
              <w:rPr>
                <w:b/>
                <w:bCs/>
                <w:sz w:val="20"/>
                <w:szCs w:val="20"/>
              </w:rPr>
              <w:t xml:space="preserve">This project will contribute to the following country outcome included in the UNDAF/Country Programme Document: </w:t>
            </w:r>
          </w:p>
          <w:p w14:paraId="1C3B26B7" w14:textId="77777777" w:rsidR="00C10075" w:rsidRPr="009D307B" w:rsidRDefault="00B7350C" w:rsidP="004622EC">
            <w:pPr>
              <w:rPr>
                <w:sz w:val="20"/>
                <w:szCs w:val="20"/>
              </w:rPr>
            </w:pPr>
            <w:r w:rsidRPr="009D307B">
              <w:rPr>
                <w:sz w:val="20"/>
                <w:szCs w:val="20"/>
              </w:rPr>
              <w:t>Environmental Sustainability. By 2015, communities, national and local authorities use more effective mechanisms and partnerships that promote environmental sustainability and enable them to prepare, respond and recover from natural and man-made disasters.</w:t>
            </w:r>
          </w:p>
        </w:tc>
      </w:tr>
      <w:tr w:rsidR="00C10075" w:rsidRPr="009D307B" w14:paraId="472CBADC" w14:textId="77777777" w:rsidTr="00C10075">
        <w:trPr>
          <w:trHeight w:val="544"/>
        </w:trPr>
        <w:tc>
          <w:tcPr>
            <w:tcW w:w="14390" w:type="dxa"/>
            <w:shd w:val="pct12" w:color="auto" w:fill="auto"/>
          </w:tcPr>
          <w:p w14:paraId="1F9B021F" w14:textId="77777777" w:rsidR="00C10075" w:rsidRPr="009D307B" w:rsidRDefault="00C10075" w:rsidP="00C10075">
            <w:pPr>
              <w:rPr>
                <w:rFonts w:cs="Arial"/>
                <w:i/>
                <w:sz w:val="20"/>
                <w:szCs w:val="20"/>
              </w:rPr>
            </w:pPr>
            <w:r w:rsidRPr="009D307B">
              <w:rPr>
                <w:b/>
                <w:bCs/>
                <w:sz w:val="20"/>
                <w:szCs w:val="20"/>
              </w:rPr>
              <w:t>This project will be linked to the following output of the UNDP Strategic Plan:</w:t>
            </w:r>
            <w:r w:rsidRPr="009D307B">
              <w:rPr>
                <w:rFonts w:cs="Arial"/>
                <w:i/>
                <w:sz w:val="20"/>
                <w:szCs w:val="20"/>
              </w:rPr>
              <w:t xml:space="preserve"> </w:t>
            </w:r>
          </w:p>
          <w:p w14:paraId="18AD3090" w14:textId="77777777" w:rsidR="00C10075" w:rsidRPr="009D307B" w:rsidRDefault="00C10075" w:rsidP="00C10075">
            <w:pPr>
              <w:rPr>
                <w:rFonts w:cs="Arial"/>
                <w:sz w:val="20"/>
                <w:szCs w:val="20"/>
              </w:rPr>
            </w:pPr>
            <w:r w:rsidRPr="009D307B">
              <w:rPr>
                <w:rFonts w:cs="Arial"/>
                <w:sz w:val="20"/>
                <w:szCs w:val="20"/>
              </w:rPr>
              <w:t>Output 1.4:  Scaled up action on climate change adaptation and mitigation cross sectors which is funded and implemented.</w:t>
            </w:r>
          </w:p>
        </w:tc>
      </w:tr>
    </w:tbl>
    <w:p w14:paraId="1A096CC1" w14:textId="77777777" w:rsidR="008E1D7C" w:rsidRPr="009D307B" w:rsidRDefault="008E1D7C">
      <w:pPr>
        <w:rPr>
          <w:sz w:val="20"/>
          <w:szCs w:val="20"/>
        </w:rPr>
      </w:pPr>
    </w:p>
    <w:p w14:paraId="38872140" w14:textId="77777777" w:rsidR="003C0446" w:rsidRPr="009D307B" w:rsidRDefault="003C0446" w:rsidP="00C70DEA">
      <w:pPr>
        <w:rPr>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3347"/>
        <w:gridCol w:w="2076"/>
        <w:gridCol w:w="2430"/>
        <w:gridCol w:w="2124"/>
        <w:gridCol w:w="1813"/>
      </w:tblGrid>
      <w:tr w:rsidR="003A0F57" w:rsidRPr="009D307B" w14:paraId="23A31AFE" w14:textId="77777777" w:rsidTr="003A0F57">
        <w:trPr>
          <w:trHeight w:val="336"/>
          <w:tblHeader/>
        </w:trPr>
        <w:tc>
          <w:tcPr>
            <w:tcW w:w="2605" w:type="dxa"/>
            <w:tcBorders>
              <w:bottom w:val="single" w:sz="4" w:space="0" w:color="auto"/>
            </w:tcBorders>
            <w:shd w:val="pct12" w:color="auto" w:fill="auto"/>
          </w:tcPr>
          <w:p w14:paraId="33135FC7" w14:textId="77777777" w:rsidR="003A0F57" w:rsidRPr="009D307B" w:rsidRDefault="003A0F57" w:rsidP="007A0118">
            <w:pPr>
              <w:jc w:val="center"/>
              <w:rPr>
                <w:b/>
                <w:bCs/>
                <w:sz w:val="20"/>
                <w:szCs w:val="20"/>
              </w:rPr>
            </w:pPr>
            <w:r w:rsidRPr="009D307B">
              <w:rPr>
                <w:b/>
                <w:bCs/>
                <w:sz w:val="20"/>
                <w:szCs w:val="20"/>
              </w:rPr>
              <w:t>Objective / Outcome</w:t>
            </w:r>
          </w:p>
        </w:tc>
        <w:tc>
          <w:tcPr>
            <w:tcW w:w="3347" w:type="dxa"/>
            <w:tcBorders>
              <w:bottom w:val="single" w:sz="4" w:space="0" w:color="auto"/>
            </w:tcBorders>
            <w:shd w:val="pct12" w:color="auto" w:fill="auto"/>
          </w:tcPr>
          <w:p w14:paraId="094E32BB" w14:textId="77777777" w:rsidR="003A0F57" w:rsidRPr="009D307B" w:rsidRDefault="003A0F57" w:rsidP="007A0118">
            <w:pPr>
              <w:jc w:val="center"/>
              <w:rPr>
                <w:b/>
                <w:bCs/>
                <w:sz w:val="20"/>
                <w:szCs w:val="20"/>
              </w:rPr>
            </w:pPr>
            <w:r w:rsidRPr="009D307B">
              <w:rPr>
                <w:b/>
                <w:bCs/>
                <w:sz w:val="20"/>
                <w:szCs w:val="20"/>
              </w:rPr>
              <w:t>Objective and Outcome Indicators</w:t>
            </w:r>
          </w:p>
        </w:tc>
        <w:tc>
          <w:tcPr>
            <w:tcW w:w="2076" w:type="dxa"/>
            <w:tcBorders>
              <w:bottom w:val="single" w:sz="4" w:space="0" w:color="auto"/>
            </w:tcBorders>
            <w:shd w:val="pct12" w:color="auto" w:fill="auto"/>
          </w:tcPr>
          <w:p w14:paraId="17FCF6D2" w14:textId="77777777" w:rsidR="003A0F57" w:rsidRPr="009D307B" w:rsidRDefault="003A0F57" w:rsidP="007A0118">
            <w:pPr>
              <w:jc w:val="center"/>
              <w:rPr>
                <w:b/>
                <w:bCs/>
                <w:sz w:val="20"/>
                <w:szCs w:val="20"/>
              </w:rPr>
            </w:pPr>
            <w:r w:rsidRPr="009D307B">
              <w:rPr>
                <w:b/>
                <w:bCs/>
                <w:sz w:val="20"/>
                <w:szCs w:val="20"/>
              </w:rPr>
              <w:t>Baseline</w:t>
            </w:r>
          </w:p>
        </w:tc>
        <w:tc>
          <w:tcPr>
            <w:tcW w:w="2430" w:type="dxa"/>
            <w:tcBorders>
              <w:bottom w:val="single" w:sz="4" w:space="0" w:color="auto"/>
            </w:tcBorders>
            <w:shd w:val="pct12" w:color="auto" w:fill="auto"/>
          </w:tcPr>
          <w:p w14:paraId="5E958352" w14:textId="77777777" w:rsidR="003A0F57" w:rsidRPr="009D307B" w:rsidRDefault="003A0F57" w:rsidP="007A0118">
            <w:pPr>
              <w:jc w:val="center"/>
              <w:rPr>
                <w:b/>
                <w:bCs/>
                <w:sz w:val="20"/>
                <w:szCs w:val="20"/>
              </w:rPr>
            </w:pPr>
            <w:r w:rsidRPr="009D307B">
              <w:rPr>
                <w:b/>
                <w:bCs/>
                <w:sz w:val="20"/>
                <w:szCs w:val="20"/>
              </w:rPr>
              <w:t>Mid-term Target</w:t>
            </w:r>
          </w:p>
        </w:tc>
        <w:tc>
          <w:tcPr>
            <w:tcW w:w="2124" w:type="dxa"/>
            <w:tcBorders>
              <w:bottom w:val="single" w:sz="4" w:space="0" w:color="auto"/>
            </w:tcBorders>
            <w:shd w:val="pct12" w:color="auto" w:fill="auto"/>
          </w:tcPr>
          <w:p w14:paraId="28DBC100" w14:textId="77777777" w:rsidR="003A0F57" w:rsidRPr="009D307B" w:rsidRDefault="003A0F57" w:rsidP="007A0118">
            <w:pPr>
              <w:jc w:val="center"/>
              <w:rPr>
                <w:b/>
                <w:bCs/>
                <w:sz w:val="20"/>
                <w:szCs w:val="20"/>
              </w:rPr>
            </w:pPr>
            <w:r w:rsidRPr="009D307B">
              <w:rPr>
                <w:b/>
                <w:bCs/>
                <w:sz w:val="20"/>
                <w:szCs w:val="20"/>
              </w:rPr>
              <w:t>End of Project Target</w:t>
            </w:r>
          </w:p>
        </w:tc>
        <w:tc>
          <w:tcPr>
            <w:tcW w:w="1813" w:type="dxa"/>
            <w:tcBorders>
              <w:bottom w:val="single" w:sz="4" w:space="0" w:color="auto"/>
            </w:tcBorders>
            <w:shd w:val="pct12" w:color="auto" w:fill="auto"/>
          </w:tcPr>
          <w:p w14:paraId="1187D92C" w14:textId="77777777" w:rsidR="003A0F57" w:rsidRPr="009D307B" w:rsidRDefault="003A0F57" w:rsidP="007A0118">
            <w:pPr>
              <w:jc w:val="center"/>
              <w:rPr>
                <w:b/>
                <w:bCs/>
                <w:sz w:val="20"/>
                <w:szCs w:val="20"/>
              </w:rPr>
            </w:pPr>
            <w:r w:rsidRPr="009D307B">
              <w:rPr>
                <w:b/>
                <w:bCs/>
                <w:sz w:val="20"/>
                <w:szCs w:val="20"/>
              </w:rPr>
              <w:t>Assumptions</w:t>
            </w:r>
          </w:p>
        </w:tc>
      </w:tr>
      <w:tr w:rsidR="003A0F57" w:rsidRPr="009D307B" w14:paraId="2D99C673" w14:textId="77777777" w:rsidTr="003A0F57">
        <w:trPr>
          <w:trHeight w:val="1547"/>
        </w:trPr>
        <w:tc>
          <w:tcPr>
            <w:tcW w:w="2605" w:type="dxa"/>
            <w:vMerge w:val="restart"/>
            <w:tcBorders>
              <w:top w:val="single" w:sz="4" w:space="0" w:color="auto"/>
            </w:tcBorders>
            <w:shd w:val="clear" w:color="auto" w:fill="auto"/>
          </w:tcPr>
          <w:p w14:paraId="434F49FB" w14:textId="77777777" w:rsidR="003A0F57" w:rsidRPr="009D307B" w:rsidRDefault="003A0F57" w:rsidP="007A0118">
            <w:pPr>
              <w:rPr>
                <w:b/>
                <w:bCs/>
                <w:sz w:val="20"/>
                <w:szCs w:val="20"/>
              </w:rPr>
            </w:pPr>
            <w:r w:rsidRPr="009D307B">
              <w:rPr>
                <w:b/>
                <w:bCs/>
                <w:sz w:val="20"/>
                <w:szCs w:val="20"/>
              </w:rPr>
              <w:t>Project Objective:</w:t>
            </w:r>
          </w:p>
          <w:p w14:paraId="53D5F581" w14:textId="77777777" w:rsidR="003A0F57" w:rsidRPr="009D307B" w:rsidRDefault="003A0F57" w:rsidP="007A0118">
            <w:pPr>
              <w:rPr>
                <w:b/>
                <w:bCs/>
                <w:sz w:val="20"/>
                <w:szCs w:val="20"/>
              </w:rPr>
            </w:pPr>
          </w:p>
          <w:p w14:paraId="52382F1A" w14:textId="77777777" w:rsidR="003A0F57" w:rsidRPr="009D307B" w:rsidRDefault="003A0F57" w:rsidP="007A0118">
            <w:pPr>
              <w:rPr>
                <w:b/>
                <w:bCs/>
                <w:i/>
                <w:sz w:val="20"/>
                <w:szCs w:val="20"/>
              </w:rPr>
            </w:pPr>
            <w:r w:rsidRPr="009D307B">
              <w:rPr>
                <w:color w:val="000000"/>
                <w:sz w:val="20"/>
                <w:szCs w:val="20"/>
                <w:lang w:val="en-GB"/>
              </w:rPr>
              <w:t>Promote private-sector investment in renewable energy in Kazakhstan in order to achieve Kazakhstan’s 2030 target for renewable energy</w:t>
            </w:r>
          </w:p>
        </w:tc>
        <w:tc>
          <w:tcPr>
            <w:tcW w:w="3347" w:type="dxa"/>
            <w:tcBorders>
              <w:bottom w:val="single" w:sz="4" w:space="0" w:color="auto"/>
            </w:tcBorders>
          </w:tcPr>
          <w:p w14:paraId="5073DF19" w14:textId="77777777" w:rsidR="003A0F57" w:rsidRPr="009D307B" w:rsidRDefault="003A0F57" w:rsidP="0089295E">
            <w:pPr>
              <w:rPr>
                <w:bCs/>
                <w:sz w:val="20"/>
                <w:szCs w:val="20"/>
              </w:rPr>
            </w:pPr>
            <w:r w:rsidRPr="009D307B">
              <w:rPr>
                <w:bCs/>
                <w:sz w:val="20"/>
                <w:szCs w:val="20"/>
              </w:rPr>
              <w:t xml:space="preserve">Objective indicator 1: Total Lifetime Direct and </w:t>
            </w:r>
            <w:r w:rsidR="0089295E" w:rsidRPr="009D307B">
              <w:rPr>
                <w:bCs/>
                <w:sz w:val="20"/>
                <w:szCs w:val="20"/>
              </w:rPr>
              <w:t>Consequential</w:t>
            </w:r>
            <w:r w:rsidRPr="009D307B">
              <w:rPr>
                <w:bCs/>
                <w:sz w:val="20"/>
                <w:szCs w:val="20"/>
              </w:rPr>
              <w:t xml:space="preserve"> GHG Emissions Avoided (Tons CO</w:t>
            </w:r>
            <w:r w:rsidRPr="009D307B">
              <w:rPr>
                <w:bCs/>
                <w:sz w:val="20"/>
                <w:szCs w:val="20"/>
                <w:vertAlign w:val="subscript"/>
              </w:rPr>
              <w:t>2eq</w:t>
            </w:r>
            <w:r w:rsidRPr="009D307B">
              <w:rPr>
                <w:bCs/>
                <w:sz w:val="20"/>
                <w:szCs w:val="20"/>
              </w:rPr>
              <w:t>) (GEF indicator 1)</w:t>
            </w:r>
          </w:p>
        </w:tc>
        <w:tc>
          <w:tcPr>
            <w:tcW w:w="2076" w:type="dxa"/>
            <w:tcBorders>
              <w:bottom w:val="single" w:sz="4" w:space="0" w:color="auto"/>
            </w:tcBorders>
          </w:tcPr>
          <w:p w14:paraId="08429615" w14:textId="77777777" w:rsidR="003A0F57" w:rsidRPr="009D307B" w:rsidRDefault="003A0F57" w:rsidP="007A0118">
            <w:pPr>
              <w:rPr>
                <w:rFonts w:eastAsia="Times New Roman"/>
                <w:color w:val="000000"/>
                <w:sz w:val="20"/>
                <w:szCs w:val="20"/>
              </w:rPr>
            </w:pPr>
            <w:r w:rsidRPr="009D307B">
              <w:rPr>
                <w:rFonts w:eastAsia="Times New Roman"/>
                <w:color w:val="000000"/>
                <w:sz w:val="20"/>
                <w:szCs w:val="20"/>
              </w:rPr>
              <w:t>0</w:t>
            </w:r>
          </w:p>
        </w:tc>
        <w:tc>
          <w:tcPr>
            <w:tcW w:w="2430" w:type="dxa"/>
            <w:tcBorders>
              <w:top w:val="single" w:sz="4" w:space="0" w:color="auto"/>
              <w:bottom w:val="single" w:sz="4" w:space="0" w:color="auto"/>
              <w:right w:val="single" w:sz="4" w:space="0" w:color="auto"/>
            </w:tcBorders>
          </w:tcPr>
          <w:p w14:paraId="7D84487D" w14:textId="77777777" w:rsidR="003A0F57" w:rsidRPr="009D307B" w:rsidRDefault="003A0F57" w:rsidP="007A0118">
            <w:pPr>
              <w:rPr>
                <w:bCs/>
                <w:sz w:val="20"/>
                <w:szCs w:val="20"/>
                <w:vertAlign w:val="subscript"/>
              </w:rPr>
            </w:pPr>
            <w:r w:rsidRPr="009D307B">
              <w:rPr>
                <w:rFonts w:eastAsia="Times New Roman"/>
                <w:color w:val="000000"/>
                <w:sz w:val="20"/>
                <w:szCs w:val="20"/>
              </w:rPr>
              <w:t>48,000 tonnes CO</w:t>
            </w:r>
            <w:r w:rsidRPr="009D307B">
              <w:rPr>
                <w:rFonts w:eastAsia="Times New Roman"/>
                <w:color w:val="000000"/>
                <w:sz w:val="20"/>
                <w:szCs w:val="20"/>
                <w:vertAlign w:val="subscript"/>
              </w:rPr>
              <w:t>2eq</w:t>
            </w:r>
            <w:r w:rsidRPr="009D307B">
              <w:rPr>
                <w:rFonts w:eastAsia="Times New Roman"/>
                <w:color w:val="000000"/>
                <w:sz w:val="20"/>
                <w:szCs w:val="20"/>
              </w:rPr>
              <w:t xml:space="preserve"> direct emissions</w:t>
            </w:r>
          </w:p>
        </w:tc>
        <w:tc>
          <w:tcPr>
            <w:tcW w:w="2124" w:type="dxa"/>
            <w:tcBorders>
              <w:left w:val="single" w:sz="4" w:space="0" w:color="auto"/>
              <w:bottom w:val="single" w:sz="4" w:space="0" w:color="auto"/>
            </w:tcBorders>
          </w:tcPr>
          <w:p w14:paraId="56DDF1B3" w14:textId="77777777" w:rsidR="003A0F57" w:rsidRPr="009D307B" w:rsidRDefault="003A0F57" w:rsidP="0089295E">
            <w:pPr>
              <w:rPr>
                <w:rFonts w:eastAsia="Times New Roman"/>
                <w:color w:val="000000"/>
                <w:sz w:val="20"/>
                <w:szCs w:val="20"/>
                <w:vertAlign w:val="subscript"/>
              </w:rPr>
            </w:pPr>
            <w:r w:rsidRPr="009D307B">
              <w:rPr>
                <w:rFonts w:eastAsia="Times New Roman"/>
                <w:color w:val="000000"/>
                <w:sz w:val="20"/>
                <w:szCs w:val="20"/>
              </w:rPr>
              <w:t>460,000 tonnes CO</w:t>
            </w:r>
            <w:r w:rsidRPr="009D307B">
              <w:rPr>
                <w:rFonts w:eastAsia="Times New Roman"/>
                <w:color w:val="000000"/>
                <w:sz w:val="20"/>
                <w:szCs w:val="20"/>
                <w:vertAlign w:val="subscript"/>
              </w:rPr>
              <w:t>2eq</w:t>
            </w:r>
            <w:r w:rsidRPr="009D307B">
              <w:rPr>
                <w:rFonts w:eastAsia="Times New Roman"/>
                <w:color w:val="000000"/>
                <w:sz w:val="20"/>
                <w:szCs w:val="20"/>
              </w:rPr>
              <w:t xml:space="preserve"> direct emissions plus between 1.8 and 8.0 million tonnes CO</w:t>
            </w:r>
            <w:r w:rsidRPr="009D307B">
              <w:rPr>
                <w:rFonts w:eastAsia="Times New Roman"/>
                <w:color w:val="000000"/>
                <w:sz w:val="20"/>
                <w:szCs w:val="20"/>
                <w:vertAlign w:val="subscript"/>
              </w:rPr>
              <w:t>2eq</w:t>
            </w:r>
            <w:r w:rsidRPr="009D307B">
              <w:rPr>
                <w:rFonts w:eastAsia="Times New Roman"/>
                <w:color w:val="000000"/>
                <w:sz w:val="20"/>
                <w:szCs w:val="20"/>
              </w:rPr>
              <w:t xml:space="preserve"> </w:t>
            </w:r>
            <w:r w:rsidR="0089295E" w:rsidRPr="009D307B">
              <w:rPr>
                <w:rFonts w:eastAsia="Times New Roman"/>
                <w:color w:val="000000"/>
                <w:sz w:val="20"/>
                <w:szCs w:val="20"/>
              </w:rPr>
              <w:t>consequential</w:t>
            </w:r>
            <w:r w:rsidRPr="009D307B">
              <w:rPr>
                <w:rFonts w:eastAsia="Times New Roman"/>
                <w:color w:val="000000"/>
                <w:sz w:val="20"/>
                <w:szCs w:val="20"/>
              </w:rPr>
              <w:t xml:space="preserve"> emissions avoided</w:t>
            </w:r>
          </w:p>
        </w:tc>
        <w:tc>
          <w:tcPr>
            <w:tcW w:w="1813" w:type="dxa"/>
            <w:vMerge w:val="restart"/>
          </w:tcPr>
          <w:p w14:paraId="1B8E3779" w14:textId="77777777" w:rsidR="003A0F57" w:rsidRPr="009D307B" w:rsidRDefault="003A0F57" w:rsidP="007A0118">
            <w:pPr>
              <w:rPr>
                <w:rFonts w:eastAsia="Times New Roman"/>
                <w:color w:val="000000"/>
                <w:sz w:val="20"/>
                <w:szCs w:val="20"/>
              </w:rPr>
            </w:pPr>
            <w:r w:rsidRPr="009D307B">
              <w:rPr>
                <w:rFonts w:eastAsia="Times New Roman"/>
                <w:color w:val="000000"/>
                <w:sz w:val="20"/>
                <w:szCs w:val="20"/>
              </w:rPr>
              <w:t>The Government is committed to declared targets and is willing to adopt and deploy supporting measures</w:t>
            </w:r>
          </w:p>
          <w:p w14:paraId="39F2CF76" w14:textId="77777777" w:rsidR="003A0F57" w:rsidRPr="009D307B" w:rsidRDefault="003A0F57" w:rsidP="007A0118">
            <w:pPr>
              <w:rPr>
                <w:rFonts w:eastAsia="Times New Roman"/>
                <w:color w:val="000000"/>
                <w:sz w:val="20"/>
                <w:szCs w:val="20"/>
              </w:rPr>
            </w:pPr>
          </w:p>
          <w:p w14:paraId="330DA5AE" w14:textId="77777777" w:rsidR="003A0F57" w:rsidRPr="009D307B" w:rsidRDefault="003A0F57" w:rsidP="007A0118">
            <w:pPr>
              <w:rPr>
                <w:rFonts w:eastAsia="Times New Roman"/>
                <w:color w:val="000000"/>
                <w:sz w:val="20"/>
                <w:szCs w:val="20"/>
              </w:rPr>
            </w:pPr>
            <w:r w:rsidRPr="009D307B">
              <w:rPr>
                <w:rFonts w:eastAsia="Times New Roman"/>
                <w:color w:val="000000"/>
                <w:sz w:val="20"/>
                <w:szCs w:val="20"/>
              </w:rPr>
              <w:t>Political and economic stability allow for sustained interest among investors to implement projects in Kazakhstan</w:t>
            </w:r>
          </w:p>
        </w:tc>
      </w:tr>
      <w:tr w:rsidR="003A0F57" w:rsidRPr="009D307B" w14:paraId="20C249AD" w14:textId="77777777" w:rsidTr="003A0F57">
        <w:trPr>
          <w:trHeight w:val="1178"/>
        </w:trPr>
        <w:tc>
          <w:tcPr>
            <w:tcW w:w="2605" w:type="dxa"/>
            <w:vMerge/>
            <w:shd w:val="clear" w:color="auto" w:fill="auto"/>
          </w:tcPr>
          <w:p w14:paraId="7F5EF321" w14:textId="77777777" w:rsidR="003A0F57" w:rsidRPr="009D307B" w:rsidRDefault="003A0F57" w:rsidP="007A0118">
            <w:pPr>
              <w:rPr>
                <w:b/>
                <w:bCs/>
                <w:sz w:val="20"/>
                <w:szCs w:val="20"/>
              </w:rPr>
            </w:pPr>
          </w:p>
        </w:tc>
        <w:tc>
          <w:tcPr>
            <w:tcW w:w="3347" w:type="dxa"/>
            <w:tcBorders>
              <w:top w:val="single" w:sz="4" w:space="0" w:color="auto"/>
            </w:tcBorders>
          </w:tcPr>
          <w:p w14:paraId="78A23285" w14:textId="77777777" w:rsidR="003A0F57" w:rsidRPr="009D307B" w:rsidRDefault="003A0F57" w:rsidP="007A0118">
            <w:pPr>
              <w:rPr>
                <w:bCs/>
                <w:sz w:val="20"/>
                <w:szCs w:val="20"/>
              </w:rPr>
            </w:pPr>
            <w:r w:rsidRPr="009D307B">
              <w:rPr>
                <w:bCs/>
                <w:sz w:val="20"/>
                <w:szCs w:val="20"/>
              </w:rPr>
              <w:t>Objective indicator 2: Increase in Installed capacity from wind and solar power (MW) and lifetime RE production (MWh) (GEF indicator 3)</w:t>
            </w:r>
          </w:p>
        </w:tc>
        <w:tc>
          <w:tcPr>
            <w:tcW w:w="2076" w:type="dxa"/>
            <w:tcBorders>
              <w:top w:val="single" w:sz="4" w:space="0" w:color="auto"/>
            </w:tcBorders>
          </w:tcPr>
          <w:p w14:paraId="01790A23" w14:textId="77777777" w:rsidR="003A0F57" w:rsidRPr="009D307B" w:rsidRDefault="003A0F57" w:rsidP="007A0118">
            <w:pPr>
              <w:rPr>
                <w:bCs/>
                <w:sz w:val="20"/>
                <w:szCs w:val="20"/>
              </w:rPr>
            </w:pPr>
            <w:r w:rsidRPr="009D307B">
              <w:rPr>
                <w:bCs/>
                <w:sz w:val="20"/>
                <w:szCs w:val="20"/>
              </w:rPr>
              <w:t>0</w:t>
            </w:r>
          </w:p>
          <w:p w14:paraId="1B8690E5" w14:textId="77777777" w:rsidR="003A0F57" w:rsidRPr="009D307B" w:rsidRDefault="003A0F57" w:rsidP="007A0118">
            <w:pPr>
              <w:rPr>
                <w:bCs/>
                <w:sz w:val="20"/>
                <w:szCs w:val="20"/>
              </w:rPr>
            </w:pPr>
          </w:p>
          <w:p w14:paraId="1471732B" w14:textId="77777777" w:rsidR="003A0F57" w:rsidRPr="009D307B" w:rsidRDefault="003A0F57" w:rsidP="007A0118">
            <w:pPr>
              <w:rPr>
                <w:bCs/>
                <w:sz w:val="20"/>
                <w:szCs w:val="20"/>
              </w:rPr>
            </w:pPr>
          </w:p>
        </w:tc>
        <w:tc>
          <w:tcPr>
            <w:tcW w:w="2430" w:type="dxa"/>
            <w:tcBorders>
              <w:top w:val="single" w:sz="4" w:space="0" w:color="auto"/>
              <w:right w:val="single" w:sz="4" w:space="0" w:color="auto"/>
            </w:tcBorders>
          </w:tcPr>
          <w:p w14:paraId="5F5BECA8" w14:textId="77777777" w:rsidR="003A0F57" w:rsidRPr="009D307B" w:rsidRDefault="003A0F57" w:rsidP="007A0118">
            <w:pPr>
              <w:rPr>
                <w:bCs/>
                <w:sz w:val="20"/>
                <w:szCs w:val="20"/>
              </w:rPr>
            </w:pPr>
            <w:r w:rsidRPr="009D307B">
              <w:rPr>
                <w:bCs/>
                <w:sz w:val="20"/>
                <w:szCs w:val="20"/>
              </w:rPr>
              <w:t>1 MW (direct, small -scale sector only) = approximately 50 GWh lifetime production</w:t>
            </w:r>
          </w:p>
        </w:tc>
        <w:tc>
          <w:tcPr>
            <w:tcW w:w="2124" w:type="dxa"/>
            <w:tcBorders>
              <w:top w:val="single" w:sz="4" w:space="0" w:color="auto"/>
              <w:left w:val="single" w:sz="4" w:space="0" w:color="auto"/>
            </w:tcBorders>
          </w:tcPr>
          <w:p w14:paraId="6492DBC8" w14:textId="77777777" w:rsidR="003A0F57" w:rsidRPr="009D307B" w:rsidRDefault="003A0F57" w:rsidP="007A0118">
            <w:pPr>
              <w:rPr>
                <w:bCs/>
                <w:sz w:val="20"/>
                <w:szCs w:val="20"/>
              </w:rPr>
            </w:pPr>
            <w:r w:rsidRPr="009D307B">
              <w:rPr>
                <w:bCs/>
                <w:sz w:val="20"/>
                <w:szCs w:val="20"/>
              </w:rPr>
              <w:t>9.5 MW (direct, small-scale sector only) = approximately 500 GWh lifetime production</w:t>
            </w:r>
          </w:p>
        </w:tc>
        <w:tc>
          <w:tcPr>
            <w:tcW w:w="1813" w:type="dxa"/>
            <w:vMerge/>
          </w:tcPr>
          <w:p w14:paraId="71067BA4" w14:textId="77777777" w:rsidR="003A0F57" w:rsidRPr="009D307B" w:rsidRDefault="003A0F57" w:rsidP="007A0118">
            <w:pPr>
              <w:rPr>
                <w:rFonts w:eastAsia="Times New Roman"/>
                <w:color w:val="000000"/>
                <w:sz w:val="20"/>
                <w:szCs w:val="20"/>
              </w:rPr>
            </w:pPr>
          </w:p>
        </w:tc>
      </w:tr>
      <w:tr w:rsidR="003A0F57" w:rsidRPr="009D307B" w14:paraId="5D3244E4" w14:textId="77777777" w:rsidTr="003A0F57">
        <w:trPr>
          <w:trHeight w:val="818"/>
        </w:trPr>
        <w:tc>
          <w:tcPr>
            <w:tcW w:w="2605" w:type="dxa"/>
            <w:vMerge/>
            <w:tcBorders>
              <w:bottom w:val="single" w:sz="4" w:space="0" w:color="auto"/>
            </w:tcBorders>
            <w:shd w:val="clear" w:color="auto" w:fill="auto"/>
          </w:tcPr>
          <w:p w14:paraId="58913881" w14:textId="77777777" w:rsidR="003A0F57" w:rsidRPr="009D307B" w:rsidRDefault="003A0F57" w:rsidP="007A0118">
            <w:pPr>
              <w:rPr>
                <w:b/>
                <w:bCs/>
                <w:sz w:val="20"/>
                <w:szCs w:val="20"/>
              </w:rPr>
            </w:pPr>
          </w:p>
        </w:tc>
        <w:tc>
          <w:tcPr>
            <w:tcW w:w="3347" w:type="dxa"/>
            <w:tcBorders>
              <w:top w:val="single" w:sz="4" w:space="0" w:color="auto"/>
              <w:bottom w:val="single" w:sz="4" w:space="0" w:color="auto"/>
            </w:tcBorders>
          </w:tcPr>
          <w:p w14:paraId="563191B7" w14:textId="77777777" w:rsidR="003A0F57" w:rsidRPr="009D307B" w:rsidRDefault="003A0F57" w:rsidP="007A0118">
            <w:pPr>
              <w:rPr>
                <w:bCs/>
                <w:sz w:val="20"/>
                <w:szCs w:val="20"/>
              </w:rPr>
            </w:pPr>
            <w:r w:rsidRPr="009D307B">
              <w:rPr>
                <w:rFonts w:eastAsia="Times New Roman"/>
                <w:color w:val="000000"/>
                <w:sz w:val="20"/>
                <w:szCs w:val="20"/>
              </w:rPr>
              <w:t>Objective indicator 3: Number of direct project beneficiaries (UNDP mandatory indicator 3)</w:t>
            </w:r>
          </w:p>
        </w:tc>
        <w:tc>
          <w:tcPr>
            <w:tcW w:w="2076" w:type="dxa"/>
            <w:tcBorders>
              <w:top w:val="single" w:sz="4" w:space="0" w:color="auto"/>
              <w:bottom w:val="single" w:sz="4" w:space="0" w:color="auto"/>
            </w:tcBorders>
          </w:tcPr>
          <w:p w14:paraId="46B0060D" w14:textId="77777777" w:rsidR="003A0F57" w:rsidRPr="009D307B" w:rsidRDefault="003A0F57" w:rsidP="007A0118">
            <w:pPr>
              <w:spacing w:after="200" w:line="276" w:lineRule="auto"/>
              <w:rPr>
                <w:rFonts w:eastAsia="Times New Roman"/>
                <w:color w:val="000000"/>
                <w:sz w:val="20"/>
                <w:szCs w:val="20"/>
              </w:rPr>
            </w:pPr>
            <w:r w:rsidRPr="009D307B">
              <w:rPr>
                <w:rFonts w:eastAsia="Times New Roman"/>
                <w:color w:val="000000"/>
                <w:sz w:val="20"/>
                <w:szCs w:val="20"/>
              </w:rPr>
              <w:t>0</w:t>
            </w:r>
          </w:p>
        </w:tc>
        <w:tc>
          <w:tcPr>
            <w:tcW w:w="2430" w:type="dxa"/>
            <w:tcBorders>
              <w:top w:val="single" w:sz="4" w:space="0" w:color="auto"/>
              <w:bottom w:val="single" w:sz="4" w:space="0" w:color="auto"/>
              <w:right w:val="single" w:sz="4" w:space="0" w:color="auto"/>
            </w:tcBorders>
          </w:tcPr>
          <w:p w14:paraId="69E50221" w14:textId="77777777" w:rsidR="003A0F57" w:rsidRPr="009D307B" w:rsidRDefault="003A0F57" w:rsidP="007A0118">
            <w:pPr>
              <w:spacing w:after="200" w:line="276" w:lineRule="auto"/>
              <w:rPr>
                <w:bCs/>
                <w:sz w:val="20"/>
                <w:szCs w:val="20"/>
              </w:rPr>
            </w:pPr>
            <w:r w:rsidRPr="009D307B">
              <w:rPr>
                <w:rFonts w:eastAsia="Times New Roman"/>
                <w:color w:val="000000"/>
                <w:sz w:val="20"/>
                <w:szCs w:val="20"/>
              </w:rPr>
              <w:t>3,000 people, 50% women</w:t>
            </w:r>
          </w:p>
        </w:tc>
        <w:tc>
          <w:tcPr>
            <w:tcW w:w="2124" w:type="dxa"/>
            <w:tcBorders>
              <w:top w:val="single" w:sz="4" w:space="0" w:color="auto"/>
              <w:left w:val="single" w:sz="4" w:space="0" w:color="auto"/>
              <w:bottom w:val="single" w:sz="4" w:space="0" w:color="auto"/>
            </w:tcBorders>
          </w:tcPr>
          <w:p w14:paraId="118F8AED" w14:textId="77777777" w:rsidR="003A0F57" w:rsidRPr="009D307B" w:rsidRDefault="003A0F57" w:rsidP="007A0118">
            <w:pPr>
              <w:spacing w:after="200" w:line="276" w:lineRule="auto"/>
              <w:rPr>
                <w:rFonts w:eastAsia="Times New Roman"/>
                <w:color w:val="000000"/>
                <w:sz w:val="20"/>
                <w:szCs w:val="20"/>
              </w:rPr>
            </w:pPr>
            <w:r w:rsidRPr="009D307B">
              <w:rPr>
                <w:rFonts w:eastAsia="Times New Roman"/>
                <w:color w:val="000000"/>
                <w:sz w:val="20"/>
                <w:szCs w:val="20"/>
              </w:rPr>
              <w:t>28,500 people, 50% women</w:t>
            </w:r>
          </w:p>
        </w:tc>
        <w:tc>
          <w:tcPr>
            <w:tcW w:w="1813" w:type="dxa"/>
            <w:vMerge/>
            <w:tcBorders>
              <w:bottom w:val="single" w:sz="4" w:space="0" w:color="auto"/>
            </w:tcBorders>
          </w:tcPr>
          <w:p w14:paraId="4AD15EE5" w14:textId="77777777" w:rsidR="003A0F57" w:rsidRPr="009D307B" w:rsidRDefault="003A0F57" w:rsidP="007A0118">
            <w:pPr>
              <w:rPr>
                <w:rFonts w:eastAsia="Times New Roman"/>
                <w:color w:val="000000"/>
                <w:sz w:val="20"/>
                <w:szCs w:val="20"/>
              </w:rPr>
            </w:pPr>
          </w:p>
        </w:tc>
      </w:tr>
      <w:tr w:rsidR="003A0F57" w:rsidRPr="009D307B" w14:paraId="25973934" w14:textId="77777777" w:rsidTr="003A0F57">
        <w:trPr>
          <w:trHeight w:val="310"/>
        </w:trPr>
        <w:tc>
          <w:tcPr>
            <w:tcW w:w="2605" w:type="dxa"/>
            <w:vMerge w:val="restart"/>
            <w:shd w:val="clear" w:color="auto" w:fill="auto"/>
          </w:tcPr>
          <w:p w14:paraId="6C89C687" w14:textId="77777777" w:rsidR="003A0F57" w:rsidRPr="009D307B" w:rsidRDefault="003A0F57" w:rsidP="007A0118">
            <w:pPr>
              <w:rPr>
                <w:b/>
                <w:bCs/>
                <w:sz w:val="20"/>
                <w:szCs w:val="20"/>
              </w:rPr>
            </w:pPr>
            <w:r w:rsidRPr="009D307B">
              <w:rPr>
                <w:b/>
                <w:bCs/>
                <w:sz w:val="20"/>
                <w:szCs w:val="20"/>
              </w:rPr>
              <w:t>Component/Outcome 1</w:t>
            </w:r>
          </w:p>
          <w:p w14:paraId="7C9211DD" w14:textId="77777777" w:rsidR="003A0F57" w:rsidRPr="009D307B" w:rsidRDefault="003A0F57" w:rsidP="007A0118">
            <w:pPr>
              <w:rPr>
                <w:color w:val="000000"/>
                <w:sz w:val="20"/>
                <w:szCs w:val="20"/>
                <w:lang w:val="en-GB"/>
              </w:rPr>
            </w:pPr>
            <w:r w:rsidRPr="009D307B">
              <w:rPr>
                <w:color w:val="000000"/>
                <w:sz w:val="20"/>
                <w:szCs w:val="20"/>
                <w:lang w:val="en-GB"/>
              </w:rPr>
              <w:t>Component 1: Large Scale Renewable Energy: Policy and Financial Derisking Measures</w:t>
            </w:r>
          </w:p>
          <w:p w14:paraId="0AC44FFD" w14:textId="77777777" w:rsidR="003A0F57" w:rsidRPr="009D307B" w:rsidRDefault="003A0F57" w:rsidP="007A0118">
            <w:pPr>
              <w:rPr>
                <w:color w:val="000000"/>
                <w:sz w:val="20"/>
                <w:szCs w:val="20"/>
                <w:lang w:val="en-GB"/>
              </w:rPr>
            </w:pPr>
          </w:p>
          <w:p w14:paraId="283D4466" w14:textId="77777777" w:rsidR="003A0F57" w:rsidRPr="009D307B" w:rsidRDefault="003A0F57" w:rsidP="007A0118">
            <w:pPr>
              <w:rPr>
                <w:bCs/>
                <w:i/>
                <w:sz w:val="20"/>
                <w:szCs w:val="20"/>
              </w:rPr>
            </w:pPr>
            <w:r w:rsidRPr="009D307B">
              <w:rPr>
                <w:color w:val="000000"/>
                <w:sz w:val="20"/>
                <w:szCs w:val="20"/>
                <w:lang w:val="en-GB"/>
              </w:rPr>
              <w:t>Outcome 1: Appropriate policies, programmes and regulations are in place to reduce investors’ risks, scale-up investment and enable the achievement of 2030 RES target</w:t>
            </w:r>
          </w:p>
        </w:tc>
        <w:tc>
          <w:tcPr>
            <w:tcW w:w="3347" w:type="dxa"/>
          </w:tcPr>
          <w:p w14:paraId="5175CC54" w14:textId="77777777" w:rsidR="003A0F57" w:rsidRPr="009D307B" w:rsidRDefault="003A0F57" w:rsidP="007A0118">
            <w:pPr>
              <w:rPr>
                <w:bCs/>
                <w:i/>
                <w:sz w:val="20"/>
                <w:szCs w:val="20"/>
              </w:rPr>
            </w:pPr>
            <w:r w:rsidRPr="009D307B">
              <w:rPr>
                <w:rFonts w:eastAsia="Times New Roman"/>
                <w:color w:val="000000"/>
                <w:sz w:val="20"/>
                <w:szCs w:val="20"/>
              </w:rPr>
              <w:t>Outcome indicator 1.1: Capacity of the Government to design and implement policy initiatives enabling development of renewable energy markets</w:t>
            </w:r>
          </w:p>
        </w:tc>
        <w:tc>
          <w:tcPr>
            <w:tcW w:w="2076" w:type="dxa"/>
          </w:tcPr>
          <w:p w14:paraId="2F2C9319" w14:textId="77777777" w:rsidR="003A0F57" w:rsidRPr="009D307B" w:rsidRDefault="003A0F57" w:rsidP="007A0118">
            <w:pPr>
              <w:rPr>
                <w:bCs/>
                <w:i/>
                <w:sz w:val="20"/>
                <w:szCs w:val="20"/>
              </w:rPr>
            </w:pPr>
            <w:r w:rsidRPr="009D307B">
              <w:rPr>
                <w:rFonts w:eastAsia="Times New Roman"/>
                <w:color w:val="000000"/>
                <w:sz w:val="20"/>
                <w:szCs w:val="20"/>
              </w:rPr>
              <w:t>The Government has limited capacity to deliver renewable energy derisking strategies</w:t>
            </w:r>
          </w:p>
        </w:tc>
        <w:tc>
          <w:tcPr>
            <w:tcW w:w="2430" w:type="dxa"/>
          </w:tcPr>
          <w:p w14:paraId="5C140517" w14:textId="77777777" w:rsidR="003A0F57" w:rsidRPr="009D307B" w:rsidRDefault="003A0F57" w:rsidP="007A0118">
            <w:pPr>
              <w:rPr>
                <w:bCs/>
                <w:i/>
                <w:sz w:val="20"/>
                <w:szCs w:val="20"/>
              </w:rPr>
            </w:pPr>
            <w:r w:rsidRPr="009D307B">
              <w:rPr>
                <w:rFonts w:eastAsia="Times New Roman"/>
                <w:color w:val="000000"/>
                <w:sz w:val="20"/>
                <w:szCs w:val="20"/>
              </w:rPr>
              <w:t>Identified knowledge gaps and prepared training plan</w:t>
            </w:r>
          </w:p>
        </w:tc>
        <w:tc>
          <w:tcPr>
            <w:tcW w:w="2124" w:type="dxa"/>
          </w:tcPr>
          <w:p w14:paraId="0714297D" w14:textId="77777777" w:rsidR="003A0F57" w:rsidRPr="009D307B" w:rsidRDefault="003A0F57" w:rsidP="007A0118">
            <w:pPr>
              <w:rPr>
                <w:bCs/>
                <w:i/>
                <w:sz w:val="20"/>
                <w:szCs w:val="20"/>
              </w:rPr>
            </w:pPr>
            <w:r w:rsidRPr="009D307B">
              <w:rPr>
                <w:rFonts w:eastAsia="Times New Roman"/>
                <w:color w:val="000000"/>
                <w:sz w:val="20"/>
                <w:szCs w:val="20"/>
              </w:rPr>
              <w:t>25 policy –makers trained</w:t>
            </w:r>
          </w:p>
        </w:tc>
        <w:tc>
          <w:tcPr>
            <w:tcW w:w="1813" w:type="dxa"/>
          </w:tcPr>
          <w:p w14:paraId="2B8843A1" w14:textId="77777777" w:rsidR="003A0F57" w:rsidRPr="009D307B" w:rsidRDefault="003A0F57" w:rsidP="007A0118">
            <w:pPr>
              <w:rPr>
                <w:bCs/>
                <w:i/>
                <w:sz w:val="20"/>
                <w:szCs w:val="20"/>
              </w:rPr>
            </w:pPr>
            <w:r w:rsidRPr="009D307B">
              <w:rPr>
                <w:rFonts w:eastAsia="Times New Roman"/>
                <w:color w:val="000000"/>
                <w:sz w:val="20"/>
                <w:szCs w:val="20"/>
              </w:rPr>
              <w:t>The Government is willing to adopt the knowledge, best international practices and advice</w:t>
            </w:r>
          </w:p>
        </w:tc>
      </w:tr>
      <w:tr w:rsidR="003A0F57" w:rsidRPr="009D307B" w14:paraId="71306E4F" w14:textId="77777777" w:rsidTr="003A0F57">
        <w:trPr>
          <w:trHeight w:val="1646"/>
        </w:trPr>
        <w:tc>
          <w:tcPr>
            <w:tcW w:w="2605" w:type="dxa"/>
            <w:vMerge/>
            <w:tcBorders>
              <w:bottom w:val="nil"/>
            </w:tcBorders>
            <w:shd w:val="clear" w:color="auto" w:fill="auto"/>
          </w:tcPr>
          <w:p w14:paraId="357A3ED5" w14:textId="77777777" w:rsidR="003A0F57" w:rsidRPr="009D307B" w:rsidRDefault="003A0F57" w:rsidP="007A0118">
            <w:pPr>
              <w:rPr>
                <w:b/>
                <w:bCs/>
                <w:sz w:val="20"/>
                <w:szCs w:val="20"/>
              </w:rPr>
            </w:pPr>
          </w:p>
        </w:tc>
        <w:tc>
          <w:tcPr>
            <w:tcW w:w="3347" w:type="dxa"/>
            <w:tcBorders>
              <w:bottom w:val="nil"/>
            </w:tcBorders>
          </w:tcPr>
          <w:p w14:paraId="2DC93B09" w14:textId="77777777" w:rsidR="003A0F57" w:rsidRPr="009D307B" w:rsidRDefault="003A0F57" w:rsidP="007A0118">
            <w:pPr>
              <w:rPr>
                <w:rFonts w:eastAsia="Times New Roman"/>
                <w:color w:val="000000"/>
                <w:sz w:val="20"/>
                <w:szCs w:val="20"/>
              </w:rPr>
            </w:pPr>
            <w:r w:rsidRPr="009D307B">
              <w:rPr>
                <w:rFonts w:eastAsia="Times New Roman"/>
                <w:color w:val="000000"/>
                <w:sz w:val="20"/>
                <w:szCs w:val="20"/>
              </w:rPr>
              <w:t>Outcome indicator 1.2: Reduction in DREI aggregate risk score across 9 DREI risk categories</w:t>
            </w:r>
          </w:p>
          <w:p w14:paraId="1BEA90F4" w14:textId="77777777" w:rsidR="003A0F57" w:rsidRPr="009D307B" w:rsidRDefault="003A0F57" w:rsidP="007A0118">
            <w:pPr>
              <w:rPr>
                <w:rFonts w:eastAsia="Times New Roman"/>
                <w:color w:val="000000"/>
                <w:sz w:val="20"/>
                <w:szCs w:val="20"/>
              </w:rPr>
            </w:pPr>
          </w:p>
        </w:tc>
        <w:tc>
          <w:tcPr>
            <w:tcW w:w="2076" w:type="dxa"/>
            <w:tcBorders>
              <w:bottom w:val="nil"/>
            </w:tcBorders>
          </w:tcPr>
          <w:p w14:paraId="10C79B76" w14:textId="77777777" w:rsidR="003A0F57" w:rsidRPr="009D307B" w:rsidRDefault="003A0F57" w:rsidP="007A0118">
            <w:pPr>
              <w:rPr>
                <w:bCs/>
                <w:sz w:val="20"/>
                <w:szCs w:val="20"/>
              </w:rPr>
            </w:pPr>
            <w:r w:rsidRPr="009D307B">
              <w:rPr>
                <w:bCs/>
                <w:sz w:val="20"/>
                <w:szCs w:val="20"/>
              </w:rPr>
              <w:t>Aggregate DREI risk score 32 out of 45 (72%) – in 2016</w:t>
            </w:r>
          </w:p>
          <w:p w14:paraId="54A3C7E5" w14:textId="77777777" w:rsidR="003A0F57" w:rsidRPr="009D307B" w:rsidRDefault="003A0F57" w:rsidP="007A0118">
            <w:pPr>
              <w:rPr>
                <w:bCs/>
                <w:sz w:val="20"/>
                <w:szCs w:val="20"/>
              </w:rPr>
            </w:pPr>
          </w:p>
          <w:p w14:paraId="2A3887B7" w14:textId="77777777" w:rsidR="003A0F57" w:rsidRPr="009D307B" w:rsidRDefault="003A0F57" w:rsidP="007A0118">
            <w:pPr>
              <w:rPr>
                <w:bCs/>
                <w:sz w:val="20"/>
                <w:szCs w:val="20"/>
              </w:rPr>
            </w:pPr>
            <w:r w:rsidRPr="009D307B">
              <w:rPr>
                <w:bCs/>
                <w:sz w:val="20"/>
                <w:szCs w:val="20"/>
              </w:rPr>
              <w:t>(Best in class - Germany - score 10/45 = 22%)</w:t>
            </w:r>
          </w:p>
        </w:tc>
        <w:tc>
          <w:tcPr>
            <w:tcW w:w="2430" w:type="dxa"/>
            <w:tcBorders>
              <w:bottom w:val="nil"/>
            </w:tcBorders>
          </w:tcPr>
          <w:p w14:paraId="55BB440E" w14:textId="77777777" w:rsidR="003A0F57" w:rsidRPr="009D307B" w:rsidRDefault="003A0F57" w:rsidP="007A0118">
            <w:pPr>
              <w:rPr>
                <w:bCs/>
                <w:i/>
                <w:sz w:val="20"/>
                <w:szCs w:val="20"/>
              </w:rPr>
            </w:pPr>
            <w:r w:rsidRPr="009D307B">
              <w:rPr>
                <w:rFonts w:eastAsia="Times New Roman"/>
                <w:color w:val="000000"/>
                <w:sz w:val="20"/>
                <w:szCs w:val="20"/>
              </w:rPr>
              <w:t>Aggregate DREI risk score 30 out of 45 (66%)</w:t>
            </w:r>
          </w:p>
        </w:tc>
        <w:tc>
          <w:tcPr>
            <w:tcW w:w="2124" w:type="dxa"/>
            <w:tcBorders>
              <w:bottom w:val="nil"/>
            </w:tcBorders>
          </w:tcPr>
          <w:p w14:paraId="0C2EBF5B" w14:textId="77777777" w:rsidR="003A0F57" w:rsidRPr="009D307B" w:rsidRDefault="003A0F57" w:rsidP="007A0118">
            <w:pPr>
              <w:rPr>
                <w:rFonts w:eastAsia="Times New Roman"/>
                <w:color w:val="000000"/>
                <w:sz w:val="20"/>
                <w:szCs w:val="20"/>
              </w:rPr>
            </w:pPr>
            <w:r w:rsidRPr="009D307B">
              <w:rPr>
                <w:rFonts w:eastAsia="Times New Roman"/>
                <w:color w:val="000000"/>
                <w:sz w:val="20"/>
                <w:szCs w:val="20"/>
              </w:rPr>
              <w:t>Aggregate DREI risk score 25 out of 45 (56%)</w:t>
            </w:r>
          </w:p>
        </w:tc>
        <w:tc>
          <w:tcPr>
            <w:tcW w:w="1813" w:type="dxa"/>
            <w:tcBorders>
              <w:bottom w:val="nil"/>
            </w:tcBorders>
          </w:tcPr>
          <w:p w14:paraId="786FB99B" w14:textId="77777777" w:rsidR="003A0F57" w:rsidRPr="009D307B" w:rsidRDefault="003A0F57" w:rsidP="007A0118">
            <w:pPr>
              <w:rPr>
                <w:rFonts w:eastAsia="Times New Roman"/>
                <w:color w:val="000000"/>
                <w:sz w:val="20"/>
                <w:szCs w:val="20"/>
              </w:rPr>
            </w:pPr>
            <w:r w:rsidRPr="009D307B">
              <w:rPr>
                <w:rFonts w:eastAsia="Times New Roman"/>
                <w:color w:val="000000"/>
                <w:sz w:val="20"/>
                <w:szCs w:val="20"/>
              </w:rPr>
              <w:t>The Government supports and prioritizes targeted policies for development the market</w:t>
            </w:r>
          </w:p>
        </w:tc>
      </w:tr>
      <w:tr w:rsidR="003A0F57" w:rsidRPr="009D307B" w14:paraId="1B21ABCB" w14:textId="77777777" w:rsidTr="003A0F57">
        <w:trPr>
          <w:trHeight w:val="1625"/>
        </w:trPr>
        <w:tc>
          <w:tcPr>
            <w:tcW w:w="2610" w:type="dxa"/>
            <w:vMerge w:val="restart"/>
            <w:shd w:val="clear" w:color="auto" w:fill="auto"/>
          </w:tcPr>
          <w:p w14:paraId="6A04C867" w14:textId="77777777" w:rsidR="003A0F57" w:rsidRPr="009D307B" w:rsidRDefault="003A0F57" w:rsidP="007A0118">
            <w:pPr>
              <w:keepNext/>
              <w:keepLines/>
              <w:rPr>
                <w:b/>
                <w:bCs/>
                <w:sz w:val="20"/>
                <w:szCs w:val="20"/>
              </w:rPr>
            </w:pPr>
            <w:r w:rsidRPr="009D307B">
              <w:rPr>
                <w:b/>
                <w:bCs/>
                <w:sz w:val="20"/>
                <w:szCs w:val="20"/>
              </w:rPr>
              <w:t>Component/ Outcome 2</w:t>
            </w:r>
          </w:p>
          <w:p w14:paraId="5489136C" w14:textId="77777777" w:rsidR="003A0F57" w:rsidRPr="009D307B" w:rsidRDefault="003A0F57" w:rsidP="007A0118">
            <w:pPr>
              <w:keepNext/>
              <w:keepLines/>
              <w:rPr>
                <w:b/>
                <w:bCs/>
                <w:sz w:val="20"/>
                <w:szCs w:val="20"/>
              </w:rPr>
            </w:pPr>
          </w:p>
          <w:p w14:paraId="29BB07AD" w14:textId="77777777" w:rsidR="003A0F57" w:rsidRPr="009D307B" w:rsidRDefault="003A0F57" w:rsidP="007A0118">
            <w:pPr>
              <w:keepNext/>
              <w:keepLines/>
              <w:rPr>
                <w:color w:val="000000"/>
                <w:sz w:val="20"/>
                <w:szCs w:val="20"/>
                <w:lang w:val="en-GB"/>
              </w:rPr>
            </w:pPr>
            <w:r w:rsidRPr="009D307B">
              <w:rPr>
                <w:color w:val="000000"/>
                <w:sz w:val="20"/>
                <w:szCs w:val="20"/>
                <w:lang w:val="en-GB"/>
              </w:rPr>
              <w:t>Component 2: Renewable Energy for Life: Policy Derisking</w:t>
            </w:r>
          </w:p>
          <w:p w14:paraId="072251D7" w14:textId="77777777" w:rsidR="003A0F57" w:rsidRPr="009D307B" w:rsidRDefault="003A0F57" w:rsidP="007A0118">
            <w:pPr>
              <w:keepNext/>
              <w:keepLines/>
              <w:rPr>
                <w:color w:val="000000"/>
                <w:sz w:val="20"/>
                <w:szCs w:val="20"/>
                <w:lang w:val="en-GB"/>
              </w:rPr>
            </w:pPr>
          </w:p>
          <w:p w14:paraId="4AAA5E5A" w14:textId="77777777" w:rsidR="003A0F57" w:rsidRPr="009D307B" w:rsidRDefault="003A0F57" w:rsidP="007A0118">
            <w:pPr>
              <w:keepNext/>
              <w:keepLines/>
              <w:rPr>
                <w:bCs/>
                <w:sz w:val="20"/>
                <w:szCs w:val="20"/>
              </w:rPr>
            </w:pPr>
            <w:r w:rsidRPr="009D307B">
              <w:rPr>
                <w:bCs/>
                <w:sz w:val="20"/>
                <w:szCs w:val="20"/>
              </w:rPr>
              <w:t>Outcome 2: Appropriate policies, programmes and capacities are in place to reduce risk and attract investment in small-scale (on-grid and off-grid) renewables</w:t>
            </w:r>
          </w:p>
        </w:tc>
        <w:tc>
          <w:tcPr>
            <w:tcW w:w="3347" w:type="dxa"/>
          </w:tcPr>
          <w:p w14:paraId="04F273D9" w14:textId="77777777" w:rsidR="003A0F57" w:rsidRPr="009D307B" w:rsidRDefault="003A0F57" w:rsidP="007A0118">
            <w:pPr>
              <w:keepNext/>
              <w:keepLines/>
              <w:rPr>
                <w:rFonts w:eastAsia="Times New Roman"/>
                <w:color w:val="000000"/>
                <w:sz w:val="20"/>
                <w:szCs w:val="20"/>
              </w:rPr>
            </w:pPr>
            <w:r w:rsidRPr="009D307B">
              <w:rPr>
                <w:rFonts w:eastAsia="Times New Roman"/>
                <w:color w:val="000000"/>
                <w:sz w:val="20"/>
                <w:szCs w:val="20"/>
              </w:rPr>
              <w:t>Outcome indicator 2.1: Degree of support for small-scale renewable energy development in policy, planning and regulations</w:t>
            </w:r>
          </w:p>
          <w:p w14:paraId="6452F471" w14:textId="77777777" w:rsidR="003A0F57" w:rsidRPr="009D307B" w:rsidRDefault="003A0F57" w:rsidP="007A0118">
            <w:pPr>
              <w:rPr>
                <w:rFonts w:eastAsia="Times New Roman"/>
                <w:color w:val="000000"/>
                <w:sz w:val="20"/>
                <w:szCs w:val="20"/>
              </w:rPr>
            </w:pPr>
          </w:p>
        </w:tc>
        <w:tc>
          <w:tcPr>
            <w:tcW w:w="2076" w:type="dxa"/>
          </w:tcPr>
          <w:p w14:paraId="5D787E1F" w14:textId="77777777" w:rsidR="003A0F57" w:rsidRPr="009D307B" w:rsidRDefault="003A0F57" w:rsidP="007A0118">
            <w:pPr>
              <w:keepNext/>
              <w:keepLines/>
              <w:rPr>
                <w:rFonts w:eastAsia="Times New Roman"/>
                <w:color w:val="000000"/>
                <w:sz w:val="20"/>
                <w:szCs w:val="20"/>
              </w:rPr>
            </w:pPr>
            <w:r w:rsidRPr="009D307B">
              <w:rPr>
                <w:rFonts w:eastAsia="Times New Roman"/>
                <w:color w:val="000000"/>
                <w:sz w:val="20"/>
                <w:szCs w:val="20"/>
              </w:rPr>
              <w:t>1 – Virtually no policy or strategy for small-scale climate change is in place</w:t>
            </w:r>
          </w:p>
          <w:p w14:paraId="728B5AC1" w14:textId="77777777" w:rsidR="003A0F57" w:rsidRPr="009D307B" w:rsidRDefault="003A0F57" w:rsidP="007A0118">
            <w:pPr>
              <w:rPr>
                <w:rFonts w:eastAsia="Times New Roman"/>
                <w:color w:val="000000"/>
                <w:sz w:val="20"/>
                <w:szCs w:val="20"/>
              </w:rPr>
            </w:pPr>
          </w:p>
        </w:tc>
        <w:tc>
          <w:tcPr>
            <w:tcW w:w="2430" w:type="dxa"/>
          </w:tcPr>
          <w:p w14:paraId="672582BD" w14:textId="77777777" w:rsidR="003A0F57" w:rsidRPr="009D307B" w:rsidRDefault="003A0F57" w:rsidP="007A0118">
            <w:pPr>
              <w:keepNext/>
              <w:keepLines/>
              <w:rPr>
                <w:rFonts w:eastAsia="Times New Roman"/>
                <w:color w:val="000000"/>
                <w:sz w:val="20"/>
                <w:szCs w:val="20"/>
              </w:rPr>
            </w:pPr>
            <w:r w:rsidRPr="009D307B">
              <w:rPr>
                <w:rFonts w:eastAsia="Times New Roman"/>
                <w:color w:val="000000"/>
                <w:sz w:val="20"/>
                <w:szCs w:val="20"/>
              </w:rPr>
              <w:t>3 – Policy and strategy proposed and consultations ongoing (quality is good)</w:t>
            </w:r>
          </w:p>
          <w:p w14:paraId="25158AC4" w14:textId="77777777" w:rsidR="003A0F57" w:rsidRPr="009D307B" w:rsidRDefault="003A0F57" w:rsidP="007A0118">
            <w:pPr>
              <w:rPr>
                <w:rFonts w:eastAsia="Times New Roman"/>
                <w:color w:val="000000"/>
                <w:sz w:val="20"/>
                <w:szCs w:val="20"/>
              </w:rPr>
            </w:pPr>
          </w:p>
        </w:tc>
        <w:tc>
          <w:tcPr>
            <w:tcW w:w="2124" w:type="dxa"/>
          </w:tcPr>
          <w:p w14:paraId="46794F94" w14:textId="77777777" w:rsidR="003A0F57" w:rsidRPr="009D307B" w:rsidRDefault="003A0F57" w:rsidP="007A0118">
            <w:pPr>
              <w:keepNext/>
              <w:keepLines/>
              <w:rPr>
                <w:rFonts w:eastAsia="Times New Roman"/>
                <w:color w:val="000000"/>
                <w:sz w:val="20"/>
                <w:szCs w:val="20"/>
              </w:rPr>
            </w:pPr>
            <w:r w:rsidRPr="009D307B">
              <w:rPr>
                <w:rFonts w:eastAsia="Times New Roman"/>
                <w:color w:val="000000"/>
                <w:sz w:val="20"/>
                <w:szCs w:val="20"/>
              </w:rPr>
              <w:t>8 - Strong policy and regulatory frameworks designed with financial / market / incentive based mechanisms</w:t>
            </w:r>
          </w:p>
          <w:p w14:paraId="36EEBA75" w14:textId="77777777" w:rsidR="003A0F57" w:rsidRPr="009D307B" w:rsidRDefault="003A0F57" w:rsidP="007A0118">
            <w:pPr>
              <w:rPr>
                <w:rFonts w:eastAsia="Times New Roman"/>
                <w:color w:val="000000"/>
                <w:sz w:val="20"/>
                <w:szCs w:val="20"/>
              </w:rPr>
            </w:pPr>
          </w:p>
        </w:tc>
        <w:tc>
          <w:tcPr>
            <w:tcW w:w="1808" w:type="dxa"/>
          </w:tcPr>
          <w:p w14:paraId="7F73DE3C" w14:textId="77777777" w:rsidR="003A0F57" w:rsidRPr="009D307B" w:rsidRDefault="003A0F57" w:rsidP="007A0118">
            <w:pPr>
              <w:keepNext/>
              <w:keepLines/>
              <w:rPr>
                <w:rFonts w:eastAsia="Times New Roman"/>
                <w:color w:val="000000"/>
                <w:sz w:val="20"/>
                <w:szCs w:val="20"/>
              </w:rPr>
            </w:pPr>
            <w:r w:rsidRPr="009D307B">
              <w:rPr>
                <w:rFonts w:eastAsia="Times New Roman"/>
                <w:color w:val="000000"/>
                <w:sz w:val="20"/>
                <w:szCs w:val="20"/>
              </w:rPr>
              <w:t>The Government is committed to declared targets and is willing to adopt supporting measures</w:t>
            </w:r>
          </w:p>
        </w:tc>
      </w:tr>
      <w:tr w:rsidR="003A0F57" w:rsidRPr="009D307B" w14:paraId="46C088BB" w14:textId="77777777" w:rsidTr="003A0F57">
        <w:trPr>
          <w:trHeight w:val="2534"/>
        </w:trPr>
        <w:tc>
          <w:tcPr>
            <w:tcW w:w="2610" w:type="dxa"/>
            <w:vMerge/>
            <w:shd w:val="clear" w:color="auto" w:fill="auto"/>
          </w:tcPr>
          <w:p w14:paraId="75C8584B" w14:textId="77777777" w:rsidR="003A0F57" w:rsidRPr="009D307B" w:rsidRDefault="003A0F57" w:rsidP="007A0118">
            <w:pPr>
              <w:rPr>
                <w:b/>
                <w:bCs/>
                <w:sz w:val="20"/>
                <w:szCs w:val="20"/>
              </w:rPr>
            </w:pPr>
          </w:p>
        </w:tc>
        <w:tc>
          <w:tcPr>
            <w:tcW w:w="3347" w:type="dxa"/>
          </w:tcPr>
          <w:p w14:paraId="21F03560" w14:textId="77777777" w:rsidR="003A0F57" w:rsidRPr="009D307B" w:rsidRDefault="003A0F57" w:rsidP="007A0118">
            <w:pPr>
              <w:rPr>
                <w:rFonts w:eastAsia="Times New Roman"/>
                <w:color w:val="000000"/>
                <w:sz w:val="20"/>
                <w:szCs w:val="20"/>
              </w:rPr>
            </w:pPr>
            <w:r w:rsidRPr="009D307B">
              <w:rPr>
                <w:rFonts w:eastAsia="Times New Roman"/>
                <w:color w:val="000000"/>
                <w:sz w:val="20"/>
                <w:szCs w:val="20"/>
              </w:rPr>
              <w:t>Outcome indicator 2.2: Knowledge of small-scale applications in rural and urban areas</w:t>
            </w:r>
          </w:p>
          <w:p w14:paraId="173C6EBB" w14:textId="77777777" w:rsidR="003A0F57" w:rsidRPr="009D307B" w:rsidRDefault="003A0F57" w:rsidP="007A0118">
            <w:pPr>
              <w:rPr>
                <w:rFonts w:eastAsia="Times New Roman"/>
                <w:color w:val="000000"/>
                <w:sz w:val="20"/>
                <w:szCs w:val="20"/>
              </w:rPr>
            </w:pPr>
          </w:p>
        </w:tc>
        <w:tc>
          <w:tcPr>
            <w:tcW w:w="2076" w:type="dxa"/>
          </w:tcPr>
          <w:p w14:paraId="0470C105" w14:textId="77777777" w:rsidR="003A0F57" w:rsidRPr="009D307B" w:rsidRDefault="003A0F57" w:rsidP="007A0118">
            <w:pPr>
              <w:rPr>
                <w:bCs/>
                <w:i/>
                <w:sz w:val="20"/>
                <w:szCs w:val="20"/>
              </w:rPr>
            </w:pPr>
            <w:r w:rsidRPr="009D307B">
              <w:rPr>
                <w:rFonts w:eastAsia="Times New Roman"/>
                <w:color w:val="000000"/>
                <w:sz w:val="20"/>
                <w:szCs w:val="20"/>
              </w:rPr>
              <w:t>RES projects are perceived as more risky, expensive and second class energy supply options compared to traditional energy sources</w:t>
            </w:r>
          </w:p>
          <w:p w14:paraId="74A9A26C" w14:textId="77777777" w:rsidR="003A0F57" w:rsidRPr="009D307B" w:rsidRDefault="003A0F57" w:rsidP="007A0118">
            <w:pPr>
              <w:rPr>
                <w:bCs/>
                <w:i/>
                <w:sz w:val="20"/>
                <w:szCs w:val="20"/>
              </w:rPr>
            </w:pPr>
          </w:p>
        </w:tc>
        <w:tc>
          <w:tcPr>
            <w:tcW w:w="2430" w:type="dxa"/>
          </w:tcPr>
          <w:p w14:paraId="2AC8FF9F" w14:textId="77777777" w:rsidR="003A0F57" w:rsidRPr="009D307B" w:rsidRDefault="003A0F57" w:rsidP="007A0118">
            <w:pPr>
              <w:rPr>
                <w:rFonts w:eastAsia="Times New Roman"/>
                <w:color w:val="000000"/>
                <w:sz w:val="20"/>
                <w:szCs w:val="20"/>
              </w:rPr>
            </w:pPr>
            <w:r w:rsidRPr="009D307B">
              <w:rPr>
                <w:rFonts w:eastAsia="Times New Roman"/>
                <w:color w:val="000000"/>
                <w:sz w:val="20"/>
                <w:szCs w:val="20"/>
              </w:rPr>
              <w:t>Developed awareness raising media campaign and short-, medium- and long- term communication strategy to support development of RES. The communication will reflect gender perspectives, channels and needs</w:t>
            </w:r>
          </w:p>
          <w:p w14:paraId="7C03504C" w14:textId="77777777" w:rsidR="003A0F57" w:rsidRPr="009D307B" w:rsidRDefault="003A0F57" w:rsidP="007A0118">
            <w:pPr>
              <w:rPr>
                <w:rFonts w:eastAsia="Times New Roman"/>
                <w:color w:val="000000"/>
                <w:sz w:val="20"/>
                <w:szCs w:val="20"/>
              </w:rPr>
            </w:pPr>
          </w:p>
        </w:tc>
        <w:tc>
          <w:tcPr>
            <w:tcW w:w="2124" w:type="dxa"/>
          </w:tcPr>
          <w:p w14:paraId="262C7623" w14:textId="77777777" w:rsidR="003A0F57" w:rsidRPr="009D307B" w:rsidRDefault="003A0F57" w:rsidP="007A0118">
            <w:pPr>
              <w:rPr>
                <w:bCs/>
                <w:i/>
                <w:sz w:val="20"/>
                <w:szCs w:val="20"/>
              </w:rPr>
            </w:pPr>
            <w:r w:rsidRPr="009D307B">
              <w:rPr>
                <w:rFonts w:eastAsia="Times New Roman"/>
                <w:color w:val="000000"/>
                <w:sz w:val="20"/>
                <w:szCs w:val="20"/>
              </w:rPr>
              <w:t>At least 25% of women and 25% of men in target stakeholder groups understand the benefits and risks of renewables and support their development</w:t>
            </w:r>
          </w:p>
          <w:p w14:paraId="12BCE061" w14:textId="77777777" w:rsidR="003A0F57" w:rsidRPr="009D307B" w:rsidRDefault="003A0F57" w:rsidP="007A0118">
            <w:pPr>
              <w:rPr>
                <w:bCs/>
                <w:i/>
                <w:sz w:val="20"/>
                <w:szCs w:val="20"/>
              </w:rPr>
            </w:pPr>
          </w:p>
        </w:tc>
        <w:tc>
          <w:tcPr>
            <w:tcW w:w="1808" w:type="dxa"/>
          </w:tcPr>
          <w:p w14:paraId="72F89D89" w14:textId="77777777" w:rsidR="003A0F57" w:rsidRPr="009D307B" w:rsidRDefault="003A0F57" w:rsidP="007A0118">
            <w:pPr>
              <w:rPr>
                <w:bCs/>
                <w:i/>
                <w:sz w:val="20"/>
                <w:szCs w:val="20"/>
              </w:rPr>
            </w:pPr>
            <w:r w:rsidRPr="009D307B">
              <w:rPr>
                <w:rFonts w:eastAsia="Times New Roman"/>
                <w:color w:val="000000"/>
                <w:sz w:val="20"/>
                <w:szCs w:val="20"/>
              </w:rPr>
              <w:t>Key stakeholder groups are willing to participate in capacity building and awareness raising activities and have access to the right media sources</w:t>
            </w:r>
          </w:p>
        </w:tc>
      </w:tr>
    </w:tbl>
    <w:p w14:paraId="634A406E" w14:textId="77777777" w:rsidR="003A0F57" w:rsidRPr="009D307B" w:rsidRDefault="003A0F57" w:rsidP="003A0F57">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3353"/>
        <w:gridCol w:w="2070"/>
        <w:gridCol w:w="2430"/>
        <w:gridCol w:w="2124"/>
        <w:gridCol w:w="1808"/>
      </w:tblGrid>
      <w:tr w:rsidR="003A0F57" w:rsidRPr="009D307B" w14:paraId="367741F2" w14:textId="77777777" w:rsidTr="007A0118">
        <w:trPr>
          <w:trHeight w:val="235"/>
        </w:trPr>
        <w:tc>
          <w:tcPr>
            <w:tcW w:w="2605" w:type="dxa"/>
            <w:tcBorders>
              <w:top w:val="single" w:sz="4" w:space="0" w:color="auto"/>
              <w:left w:val="single" w:sz="4" w:space="0" w:color="auto"/>
              <w:bottom w:val="single" w:sz="4" w:space="0" w:color="auto"/>
              <w:right w:val="single" w:sz="4" w:space="0" w:color="auto"/>
            </w:tcBorders>
            <w:shd w:val="pct12" w:color="auto" w:fill="auto"/>
          </w:tcPr>
          <w:p w14:paraId="32969547" w14:textId="77777777" w:rsidR="003A0F57" w:rsidRPr="009D307B" w:rsidRDefault="003A0F57" w:rsidP="007A0118">
            <w:pPr>
              <w:keepNext/>
              <w:keepLines/>
              <w:rPr>
                <w:b/>
                <w:bCs/>
                <w:sz w:val="20"/>
                <w:szCs w:val="20"/>
              </w:rPr>
            </w:pPr>
            <w:r w:rsidRPr="009D307B">
              <w:rPr>
                <w:b/>
                <w:bCs/>
                <w:sz w:val="20"/>
                <w:szCs w:val="20"/>
              </w:rPr>
              <w:t>Objective / Outcome</w:t>
            </w:r>
          </w:p>
        </w:tc>
        <w:tc>
          <w:tcPr>
            <w:tcW w:w="3353" w:type="dxa"/>
            <w:tcBorders>
              <w:top w:val="single" w:sz="4" w:space="0" w:color="auto"/>
              <w:left w:val="single" w:sz="4" w:space="0" w:color="auto"/>
              <w:bottom w:val="single" w:sz="4" w:space="0" w:color="auto"/>
              <w:right w:val="single" w:sz="4" w:space="0" w:color="auto"/>
            </w:tcBorders>
            <w:shd w:val="pct12" w:color="auto" w:fill="auto"/>
          </w:tcPr>
          <w:p w14:paraId="55E98C0C" w14:textId="77777777" w:rsidR="003A0F57" w:rsidRPr="009D307B" w:rsidRDefault="003A0F57" w:rsidP="007A0118">
            <w:pPr>
              <w:keepNext/>
              <w:keepLines/>
              <w:rPr>
                <w:rFonts w:eastAsia="Times New Roman"/>
                <w:color w:val="000000"/>
                <w:sz w:val="20"/>
                <w:szCs w:val="20"/>
              </w:rPr>
            </w:pPr>
            <w:r w:rsidRPr="009D307B">
              <w:rPr>
                <w:rFonts w:eastAsia="Times New Roman"/>
                <w:color w:val="000000"/>
                <w:sz w:val="20"/>
                <w:szCs w:val="20"/>
              </w:rPr>
              <w:t>Objective and Outcome Indicators</w:t>
            </w:r>
          </w:p>
        </w:tc>
        <w:tc>
          <w:tcPr>
            <w:tcW w:w="2070" w:type="dxa"/>
            <w:tcBorders>
              <w:top w:val="single" w:sz="4" w:space="0" w:color="auto"/>
              <w:left w:val="single" w:sz="4" w:space="0" w:color="auto"/>
              <w:bottom w:val="single" w:sz="4" w:space="0" w:color="auto"/>
              <w:right w:val="single" w:sz="4" w:space="0" w:color="auto"/>
            </w:tcBorders>
            <w:shd w:val="pct12" w:color="auto" w:fill="auto"/>
          </w:tcPr>
          <w:p w14:paraId="7BAE9E98" w14:textId="77777777" w:rsidR="003A0F57" w:rsidRPr="009D307B" w:rsidRDefault="003A0F57" w:rsidP="007A0118">
            <w:pPr>
              <w:keepNext/>
              <w:keepLines/>
              <w:rPr>
                <w:rFonts w:eastAsia="Times New Roman"/>
                <w:color w:val="000000"/>
                <w:sz w:val="20"/>
                <w:szCs w:val="20"/>
              </w:rPr>
            </w:pPr>
            <w:r w:rsidRPr="009D307B">
              <w:rPr>
                <w:rFonts w:eastAsia="Times New Roman"/>
                <w:color w:val="000000"/>
                <w:sz w:val="20"/>
                <w:szCs w:val="20"/>
              </w:rPr>
              <w:t>Baseline</w:t>
            </w:r>
          </w:p>
        </w:tc>
        <w:tc>
          <w:tcPr>
            <w:tcW w:w="2430" w:type="dxa"/>
            <w:tcBorders>
              <w:top w:val="single" w:sz="4" w:space="0" w:color="auto"/>
              <w:left w:val="single" w:sz="4" w:space="0" w:color="auto"/>
              <w:bottom w:val="single" w:sz="4" w:space="0" w:color="auto"/>
              <w:right w:val="single" w:sz="4" w:space="0" w:color="auto"/>
            </w:tcBorders>
            <w:shd w:val="pct12" w:color="auto" w:fill="auto"/>
          </w:tcPr>
          <w:p w14:paraId="75071F2F" w14:textId="77777777" w:rsidR="003A0F57" w:rsidRPr="009D307B" w:rsidRDefault="003A0F57" w:rsidP="007A0118">
            <w:pPr>
              <w:keepNext/>
              <w:keepLines/>
              <w:rPr>
                <w:rFonts w:eastAsia="Times New Roman"/>
                <w:color w:val="000000"/>
                <w:sz w:val="20"/>
                <w:szCs w:val="20"/>
              </w:rPr>
            </w:pPr>
            <w:r w:rsidRPr="009D307B">
              <w:rPr>
                <w:rFonts w:eastAsia="Times New Roman"/>
                <w:color w:val="000000"/>
                <w:sz w:val="20"/>
                <w:szCs w:val="20"/>
              </w:rPr>
              <w:t>Mid-term Target</w:t>
            </w:r>
          </w:p>
        </w:tc>
        <w:tc>
          <w:tcPr>
            <w:tcW w:w="2124" w:type="dxa"/>
            <w:tcBorders>
              <w:top w:val="single" w:sz="4" w:space="0" w:color="auto"/>
              <w:left w:val="single" w:sz="4" w:space="0" w:color="auto"/>
              <w:bottom w:val="single" w:sz="4" w:space="0" w:color="auto"/>
              <w:right w:val="single" w:sz="4" w:space="0" w:color="auto"/>
            </w:tcBorders>
            <w:shd w:val="pct12" w:color="auto" w:fill="auto"/>
          </w:tcPr>
          <w:p w14:paraId="2D44328E" w14:textId="77777777" w:rsidR="003A0F57" w:rsidRPr="009D307B" w:rsidRDefault="003A0F57" w:rsidP="007A0118">
            <w:pPr>
              <w:keepNext/>
              <w:keepLines/>
              <w:rPr>
                <w:rFonts w:eastAsia="Times New Roman"/>
                <w:color w:val="000000"/>
                <w:sz w:val="20"/>
                <w:szCs w:val="20"/>
              </w:rPr>
            </w:pPr>
            <w:r w:rsidRPr="009D307B">
              <w:rPr>
                <w:rFonts w:eastAsia="Times New Roman"/>
                <w:color w:val="000000"/>
                <w:sz w:val="20"/>
                <w:szCs w:val="20"/>
              </w:rPr>
              <w:t>End of Project Target</w:t>
            </w:r>
          </w:p>
        </w:tc>
        <w:tc>
          <w:tcPr>
            <w:tcW w:w="1808" w:type="dxa"/>
            <w:tcBorders>
              <w:top w:val="single" w:sz="4" w:space="0" w:color="auto"/>
              <w:left w:val="single" w:sz="4" w:space="0" w:color="auto"/>
              <w:bottom w:val="single" w:sz="4" w:space="0" w:color="auto"/>
              <w:right w:val="single" w:sz="4" w:space="0" w:color="auto"/>
            </w:tcBorders>
            <w:shd w:val="pct12" w:color="auto" w:fill="auto"/>
          </w:tcPr>
          <w:p w14:paraId="2C543B64" w14:textId="77777777" w:rsidR="003A0F57" w:rsidRPr="009D307B" w:rsidRDefault="003A0F57" w:rsidP="007A0118">
            <w:pPr>
              <w:keepNext/>
              <w:keepLines/>
              <w:rPr>
                <w:bCs/>
                <w:sz w:val="20"/>
                <w:szCs w:val="20"/>
              </w:rPr>
            </w:pPr>
            <w:r w:rsidRPr="009D307B">
              <w:rPr>
                <w:bCs/>
                <w:sz w:val="20"/>
                <w:szCs w:val="20"/>
              </w:rPr>
              <w:t>Assumptions</w:t>
            </w:r>
          </w:p>
        </w:tc>
      </w:tr>
      <w:tr w:rsidR="003A0F57" w:rsidRPr="009D307B" w14:paraId="56CB84F6" w14:textId="77777777" w:rsidTr="007A0118">
        <w:trPr>
          <w:trHeight w:val="235"/>
        </w:trPr>
        <w:tc>
          <w:tcPr>
            <w:tcW w:w="2605" w:type="dxa"/>
            <w:vMerge w:val="restart"/>
            <w:shd w:val="clear" w:color="auto" w:fill="auto"/>
          </w:tcPr>
          <w:p w14:paraId="1829B9DB" w14:textId="77777777" w:rsidR="003A0F57" w:rsidRPr="009D307B" w:rsidRDefault="003A0F57" w:rsidP="007A0118">
            <w:pPr>
              <w:keepNext/>
              <w:keepLines/>
              <w:rPr>
                <w:b/>
                <w:bCs/>
                <w:sz w:val="20"/>
                <w:szCs w:val="20"/>
              </w:rPr>
            </w:pPr>
            <w:r w:rsidRPr="009D307B">
              <w:rPr>
                <w:b/>
                <w:bCs/>
                <w:sz w:val="20"/>
                <w:szCs w:val="20"/>
              </w:rPr>
              <w:t>Component/ Outcome 3</w:t>
            </w:r>
          </w:p>
          <w:p w14:paraId="13CBD157" w14:textId="77777777" w:rsidR="003A0F57" w:rsidRPr="009D307B" w:rsidRDefault="003A0F57" w:rsidP="007A0118">
            <w:pPr>
              <w:keepNext/>
              <w:keepLines/>
              <w:rPr>
                <w:b/>
                <w:bCs/>
                <w:sz w:val="20"/>
                <w:szCs w:val="20"/>
              </w:rPr>
            </w:pPr>
          </w:p>
          <w:p w14:paraId="0D2AB4B9" w14:textId="77777777" w:rsidR="003A0F57" w:rsidRPr="009D307B" w:rsidRDefault="003A0F57" w:rsidP="007A0118">
            <w:pPr>
              <w:keepNext/>
              <w:keepLines/>
              <w:rPr>
                <w:color w:val="000000"/>
                <w:sz w:val="20"/>
                <w:szCs w:val="20"/>
                <w:lang w:val="en-GB"/>
              </w:rPr>
            </w:pPr>
            <w:r w:rsidRPr="009D307B">
              <w:rPr>
                <w:color w:val="000000"/>
                <w:sz w:val="20"/>
                <w:szCs w:val="20"/>
                <w:lang w:val="en-GB"/>
              </w:rPr>
              <w:t>Component 3: Renewable Energy for Life: Financial Derisking and Incentives</w:t>
            </w:r>
          </w:p>
          <w:p w14:paraId="3A63E6F0" w14:textId="77777777" w:rsidR="003A0F57" w:rsidRPr="009D307B" w:rsidRDefault="003A0F57" w:rsidP="007A0118">
            <w:pPr>
              <w:keepNext/>
              <w:keepLines/>
              <w:rPr>
                <w:color w:val="000000"/>
                <w:sz w:val="20"/>
                <w:szCs w:val="20"/>
                <w:lang w:val="en-GB"/>
              </w:rPr>
            </w:pPr>
          </w:p>
          <w:p w14:paraId="259F54D7" w14:textId="77777777" w:rsidR="003A0F57" w:rsidRPr="009D307B" w:rsidRDefault="003A0F57" w:rsidP="007A0118">
            <w:pPr>
              <w:keepNext/>
              <w:keepLines/>
              <w:rPr>
                <w:b/>
                <w:bCs/>
                <w:sz w:val="20"/>
                <w:szCs w:val="20"/>
              </w:rPr>
            </w:pPr>
            <w:r w:rsidRPr="009D307B">
              <w:rPr>
                <w:color w:val="000000"/>
                <w:sz w:val="20"/>
                <w:szCs w:val="20"/>
                <w:lang w:val="en-GB"/>
              </w:rPr>
              <w:t>Outcome 3: Sustainable business models and financial mechanisms to support their implementation in place for investment in small-scale urban and rural RES solutions</w:t>
            </w:r>
          </w:p>
        </w:tc>
        <w:tc>
          <w:tcPr>
            <w:tcW w:w="3353" w:type="dxa"/>
          </w:tcPr>
          <w:p w14:paraId="6C8672CD" w14:textId="77777777" w:rsidR="003A0F57" w:rsidRPr="009D307B" w:rsidRDefault="003A0F57" w:rsidP="007A0118">
            <w:pPr>
              <w:keepNext/>
              <w:keepLines/>
              <w:rPr>
                <w:bCs/>
                <w:i/>
                <w:sz w:val="20"/>
                <w:szCs w:val="20"/>
              </w:rPr>
            </w:pPr>
            <w:r w:rsidRPr="009D307B">
              <w:rPr>
                <w:rFonts w:eastAsia="Times New Roman"/>
                <w:color w:val="000000"/>
                <w:sz w:val="20"/>
                <w:szCs w:val="20"/>
              </w:rPr>
              <w:t>Outcome indicator 3.1: Developed financial and business models for small-scale RES in urban and rural sectors</w:t>
            </w:r>
          </w:p>
        </w:tc>
        <w:tc>
          <w:tcPr>
            <w:tcW w:w="2070" w:type="dxa"/>
          </w:tcPr>
          <w:p w14:paraId="7CEF133D" w14:textId="77777777" w:rsidR="003A0F57" w:rsidRPr="009D307B" w:rsidRDefault="003A0F57" w:rsidP="007A0118">
            <w:pPr>
              <w:keepNext/>
              <w:keepLines/>
              <w:rPr>
                <w:bCs/>
                <w:i/>
                <w:sz w:val="20"/>
                <w:szCs w:val="20"/>
              </w:rPr>
            </w:pPr>
            <w:r w:rsidRPr="009D307B">
              <w:rPr>
                <w:rFonts w:eastAsia="Times New Roman"/>
                <w:color w:val="000000"/>
                <w:sz w:val="20"/>
                <w:szCs w:val="20"/>
              </w:rPr>
              <w:t>There are no financial or innovative models in place. Projects are funded fully without use of financial mechanisms.</w:t>
            </w:r>
            <w:r w:rsidRPr="009D307B">
              <w:rPr>
                <w:bCs/>
                <w:i/>
                <w:sz w:val="20"/>
                <w:szCs w:val="20"/>
              </w:rPr>
              <w:t xml:space="preserve"> </w:t>
            </w:r>
          </w:p>
        </w:tc>
        <w:tc>
          <w:tcPr>
            <w:tcW w:w="2430" w:type="dxa"/>
          </w:tcPr>
          <w:p w14:paraId="7AC1F33B" w14:textId="77777777" w:rsidR="003A0F57" w:rsidRPr="009D307B" w:rsidRDefault="003A0F57" w:rsidP="007A0118">
            <w:pPr>
              <w:keepNext/>
              <w:keepLines/>
              <w:rPr>
                <w:rFonts w:eastAsia="Times New Roman"/>
                <w:color w:val="000000"/>
                <w:sz w:val="20"/>
                <w:szCs w:val="20"/>
              </w:rPr>
            </w:pPr>
            <w:r w:rsidRPr="009D307B">
              <w:rPr>
                <w:rFonts w:eastAsia="Times New Roman"/>
                <w:color w:val="000000"/>
                <w:sz w:val="20"/>
                <w:szCs w:val="20"/>
              </w:rPr>
              <w:t xml:space="preserve">Business and financial models are designed for key market sectors for testing in selected pilot projects </w:t>
            </w:r>
          </w:p>
        </w:tc>
        <w:tc>
          <w:tcPr>
            <w:tcW w:w="2124" w:type="dxa"/>
          </w:tcPr>
          <w:p w14:paraId="7D9D2A2C" w14:textId="77777777" w:rsidR="003A0F57" w:rsidRPr="009D307B" w:rsidRDefault="003A0F57" w:rsidP="007A0118">
            <w:pPr>
              <w:keepNext/>
              <w:keepLines/>
              <w:rPr>
                <w:rFonts w:eastAsia="Times New Roman"/>
                <w:color w:val="000000"/>
                <w:sz w:val="20"/>
                <w:szCs w:val="20"/>
              </w:rPr>
            </w:pPr>
            <w:r w:rsidRPr="009D307B">
              <w:rPr>
                <w:rFonts w:eastAsia="Times New Roman"/>
                <w:color w:val="000000"/>
                <w:sz w:val="20"/>
                <w:szCs w:val="20"/>
              </w:rPr>
              <w:t>Standard contracts / agreements prepared to facilitate scale-up</w:t>
            </w:r>
          </w:p>
        </w:tc>
        <w:tc>
          <w:tcPr>
            <w:tcW w:w="1808" w:type="dxa"/>
          </w:tcPr>
          <w:p w14:paraId="1167D10C" w14:textId="77777777" w:rsidR="003A0F57" w:rsidRPr="009D307B" w:rsidRDefault="003A0F57" w:rsidP="007A0118">
            <w:pPr>
              <w:keepNext/>
              <w:keepLines/>
              <w:rPr>
                <w:bCs/>
                <w:sz w:val="20"/>
                <w:szCs w:val="20"/>
              </w:rPr>
            </w:pPr>
            <w:r w:rsidRPr="009D307B">
              <w:rPr>
                <w:bCs/>
                <w:sz w:val="20"/>
                <w:szCs w:val="20"/>
              </w:rPr>
              <w:t>Interest from business and finance sectors to develop the market for selected small-scale renewable energy</w:t>
            </w:r>
          </w:p>
        </w:tc>
      </w:tr>
      <w:tr w:rsidR="003A0F57" w:rsidRPr="009D307B" w14:paraId="59EDA646" w14:textId="77777777" w:rsidTr="007A0118">
        <w:trPr>
          <w:trHeight w:val="1718"/>
        </w:trPr>
        <w:tc>
          <w:tcPr>
            <w:tcW w:w="2605" w:type="dxa"/>
            <w:vMerge/>
            <w:tcBorders>
              <w:bottom w:val="single" w:sz="4" w:space="0" w:color="auto"/>
            </w:tcBorders>
            <w:shd w:val="clear" w:color="auto" w:fill="auto"/>
          </w:tcPr>
          <w:p w14:paraId="58B8B5C5" w14:textId="77777777" w:rsidR="003A0F57" w:rsidRPr="009D307B" w:rsidRDefault="003A0F57" w:rsidP="007A0118">
            <w:pPr>
              <w:rPr>
                <w:b/>
                <w:bCs/>
                <w:sz w:val="20"/>
                <w:szCs w:val="20"/>
              </w:rPr>
            </w:pPr>
          </w:p>
        </w:tc>
        <w:tc>
          <w:tcPr>
            <w:tcW w:w="3353" w:type="dxa"/>
            <w:tcBorders>
              <w:bottom w:val="single" w:sz="4" w:space="0" w:color="auto"/>
            </w:tcBorders>
          </w:tcPr>
          <w:p w14:paraId="41222FB1" w14:textId="77777777" w:rsidR="003A0F57" w:rsidRPr="009D307B" w:rsidRDefault="003A0F57" w:rsidP="007A0118">
            <w:pPr>
              <w:rPr>
                <w:bCs/>
                <w:sz w:val="20"/>
                <w:szCs w:val="20"/>
              </w:rPr>
            </w:pPr>
            <w:r w:rsidRPr="009D307B">
              <w:rPr>
                <w:rFonts w:eastAsia="Times New Roman"/>
                <w:color w:val="000000"/>
                <w:sz w:val="20"/>
                <w:szCs w:val="20"/>
              </w:rPr>
              <w:t>Outcome indicator 3.2: Appropriate financial instruments created for pilot investments in small-scale rural and urban renewables</w:t>
            </w:r>
          </w:p>
        </w:tc>
        <w:tc>
          <w:tcPr>
            <w:tcW w:w="2070" w:type="dxa"/>
            <w:tcBorders>
              <w:bottom w:val="single" w:sz="4" w:space="0" w:color="auto"/>
            </w:tcBorders>
          </w:tcPr>
          <w:p w14:paraId="578C6D12" w14:textId="77777777" w:rsidR="003A0F57" w:rsidRPr="009D307B" w:rsidRDefault="003A0F57" w:rsidP="007A0118">
            <w:pPr>
              <w:rPr>
                <w:bCs/>
                <w:i/>
                <w:sz w:val="20"/>
                <w:szCs w:val="20"/>
              </w:rPr>
            </w:pPr>
            <w:r w:rsidRPr="009D307B">
              <w:rPr>
                <w:rFonts w:eastAsia="Times New Roman"/>
                <w:color w:val="000000"/>
                <w:sz w:val="20"/>
                <w:szCs w:val="20"/>
              </w:rPr>
              <w:t>Small-scale developments are very scarce and face a number of financial barriers.</w:t>
            </w:r>
          </w:p>
        </w:tc>
        <w:tc>
          <w:tcPr>
            <w:tcW w:w="2430" w:type="dxa"/>
            <w:tcBorders>
              <w:bottom w:val="single" w:sz="4" w:space="0" w:color="auto"/>
            </w:tcBorders>
          </w:tcPr>
          <w:p w14:paraId="4141283A" w14:textId="77777777" w:rsidR="003A0F57" w:rsidRPr="009D307B" w:rsidRDefault="003A0F57" w:rsidP="007A0118">
            <w:pPr>
              <w:rPr>
                <w:bCs/>
                <w:i/>
                <w:sz w:val="20"/>
                <w:szCs w:val="20"/>
              </w:rPr>
            </w:pPr>
            <w:r w:rsidRPr="009D307B">
              <w:rPr>
                <w:rFonts w:eastAsia="Times New Roman"/>
                <w:color w:val="000000"/>
                <w:sz w:val="20"/>
                <w:szCs w:val="20"/>
              </w:rPr>
              <w:t>Financial derisking instruments for small-scale on- and off-grid projects are designed in consultation with the stakeholders and with consideration of the best international practices</w:t>
            </w:r>
          </w:p>
        </w:tc>
        <w:tc>
          <w:tcPr>
            <w:tcW w:w="2124" w:type="dxa"/>
            <w:tcBorders>
              <w:bottom w:val="single" w:sz="4" w:space="0" w:color="auto"/>
            </w:tcBorders>
          </w:tcPr>
          <w:p w14:paraId="7BB106FE" w14:textId="77777777" w:rsidR="003A0F57" w:rsidRPr="009D307B" w:rsidRDefault="003A0F57" w:rsidP="007A0118">
            <w:pPr>
              <w:rPr>
                <w:bCs/>
                <w:sz w:val="20"/>
                <w:szCs w:val="20"/>
              </w:rPr>
            </w:pPr>
            <w:r w:rsidRPr="009D307B">
              <w:rPr>
                <w:rFonts w:eastAsia="Times New Roman"/>
                <w:color w:val="000000"/>
                <w:sz w:val="20"/>
                <w:szCs w:val="20"/>
              </w:rPr>
              <w:t>Financial derisking instruments for small-scale on- and off-grid projects are designed and deployed</w:t>
            </w:r>
          </w:p>
        </w:tc>
        <w:tc>
          <w:tcPr>
            <w:tcW w:w="1808" w:type="dxa"/>
            <w:tcBorders>
              <w:bottom w:val="single" w:sz="4" w:space="0" w:color="auto"/>
            </w:tcBorders>
          </w:tcPr>
          <w:p w14:paraId="51663AE1" w14:textId="77777777" w:rsidR="003A0F57" w:rsidRPr="009D307B" w:rsidRDefault="003A0F57" w:rsidP="007A0118">
            <w:pPr>
              <w:rPr>
                <w:bCs/>
                <w:i/>
                <w:sz w:val="20"/>
                <w:szCs w:val="20"/>
              </w:rPr>
            </w:pPr>
            <w:r w:rsidRPr="009D307B">
              <w:rPr>
                <w:bCs/>
                <w:sz w:val="20"/>
                <w:szCs w:val="20"/>
              </w:rPr>
              <w:t>Government policies and regulations (developed under outcome 2) remove barriers to investments sufficiently to make them attractive</w:t>
            </w:r>
          </w:p>
        </w:tc>
      </w:tr>
      <w:tr w:rsidR="003A0F57" w:rsidRPr="009D307B" w14:paraId="0A63FFAC" w14:textId="77777777" w:rsidTr="007A0118">
        <w:trPr>
          <w:trHeight w:val="1529"/>
        </w:trPr>
        <w:tc>
          <w:tcPr>
            <w:tcW w:w="2605" w:type="dxa"/>
            <w:vMerge/>
            <w:shd w:val="clear" w:color="auto" w:fill="auto"/>
          </w:tcPr>
          <w:p w14:paraId="0D10B1C9" w14:textId="77777777" w:rsidR="003A0F57" w:rsidRPr="009D307B" w:rsidRDefault="003A0F57" w:rsidP="007A0118">
            <w:pPr>
              <w:rPr>
                <w:b/>
                <w:bCs/>
                <w:sz w:val="20"/>
                <w:szCs w:val="20"/>
              </w:rPr>
            </w:pPr>
          </w:p>
        </w:tc>
        <w:tc>
          <w:tcPr>
            <w:tcW w:w="3353" w:type="dxa"/>
          </w:tcPr>
          <w:p w14:paraId="54812424" w14:textId="77777777" w:rsidR="003A0F57" w:rsidRPr="009D307B" w:rsidRDefault="003A0F57" w:rsidP="007A0118">
            <w:pPr>
              <w:rPr>
                <w:rFonts w:eastAsia="Times New Roman"/>
                <w:color w:val="000000"/>
                <w:sz w:val="20"/>
                <w:szCs w:val="20"/>
              </w:rPr>
            </w:pPr>
            <w:r w:rsidRPr="009D307B">
              <w:rPr>
                <w:rFonts w:eastAsia="Times New Roman"/>
                <w:color w:val="000000"/>
                <w:sz w:val="20"/>
                <w:szCs w:val="20"/>
              </w:rPr>
              <w:t>Outcome indicator 3.3: Investment mobilized to support small-scale projects</w:t>
            </w:r>
          </w:p>
        </w:tc>
        <w:tc>
          <w:tcPr>
            <w:tcW w:w="2070" w:type="dxa"/>
          </w:tcPr>
          <w:p w14:paraId="795454CA" w14:textId="77777777" w:rsidR="003A0F57" w:rsidRPr="009D307B" w:rsidRDefault="003A0F57" w:rsidP="007A0118">
            <w:pPr>
              <w:rPr>
                <w:rFonts w:eastAsia="Times New Roman"/>
                <w:color w:val="000000"/>
                <w:sz w:val="20"/>
                <w:szCs w:val="20"/>
              </w:rPr>
            </w:pPr>
            <w:r w:rsidRPr="009D307B">
              <w:rPr>
                <w:rFonts w:eastAsia="Times New Roman"/>
                <w:color w:val="000000"/>
                <w:sz w:val="20"/>
                <w:szCs w:val="20"/>
              </w:rPr>
              <w:t>0</w:t>
            </w:r>
          </w:p>
        </w:tc>
        <w:tc>
          <w:tcPr>
            <w:tcW w:w="2430" w:type="dxa"/>
          </w:tcPr>
          <w:p w14:paraId="3345AFD0" w14:textId="77777777" w:rsidR="003A0F57" w:rsidRPr="009D307B" w:rsidRDefault="003A0F57" w:rsidP="007A0118">
            <w:pPr>
              <w:rPr>
                <w:rFonts w:eastAsia="Times New Roman"/>
                <w:color w:val="000000"/>
                <w:sz w:val="20"/>
                <w:szCs w:val="20"/>
              </w:rPr>
            </w:pPr>
            <w:r w:rsidRPr="009D307B">
              <w:rPr>
                <w:rFonts w:eastAsia="Times New Roman"/>
                <w:color w:val="000000"/>
                <w:sz w:val="20"/>
                <w:szCs w:val="20"/>
              </w:rPr>
              <w:t>1000 small-scale projects addressing various technologies and sectors (using business / financial models from 3.1 and 3.2) are implemented</w:t>
            </w:r>
          </w:p>
        </w:tc>
        <w:tc>
          <w:tcPr>
            <w:tcW w:w="2124" w:type="dxa"/>
          </w:tcPr>
          <w:p w14:paraId="13767DBB" w14:textId="77777777" w:rsidR="003A0F57" w:rsidRPr="009D307B" w:rsidRDefault="003A0F57" w:rsidP="007A0118">
            <w:pPr>
              <w:rPr>
                <w:rFonts w:eastAsia="Times New Roman"/>
                <w:color w:val="000000"/>
                <w:sz w:val="20"/>
                <w:szCs w:val="20"/>
              </w:rPr>
            </w:pPr>
            <w:r w:rsidRPr="009D307B">
              <w:rPr>
                <w:rFonts w:eastAsia="Times New Roman"/>
                <w:color w:val="000000"/>
                <w:sz w:val="20"/>
                <w:szCs w:val="20"/>
              </w:rPr>
              <w:t>9500 small-scale projects</w:t>
            </w:r>
          </w:p>
        </w:tc>
        <w:tc>
          <w:tcPr>
            <w:tcW w:w="1808" w:type="dxa"/>
          </w:tcPr>
          <w:p w14:paraId="43C22721" w14:textId="77777777" w:rsidR="003A0F57" w:rsidRPr="009D307B" w:rsidRDefault="003A0F57" w:rsidP="007A0118">
            <w:pPr>
              <w:rPr>
                <w:rFonts w:eastAsia="Times New Roman"/>
                <w:color w:val="000000"/>
                <w:sz w:val="20"/>
                <w:szCs w:val="20"/>
              </w:rPr>
            </w:pPr>
            <w:r w:rsidRPr="009D307B">
              <w:rPr>
                <w:rFonts w:eastAsia="Times New Roman"/>
                <w:color w:val="000000"/>
                <w:sz w:val="20"/>
                <w:szCs w:val="20"/>
              </w:rPr>
              <w:t>Adequate demand for small-scale developments</w:t>
            </w:r>
          </w:p>
        </w:tc>
      </w:tr>
    </w:tbl>
    <w:p w14:paraId="3954256E" w14:textId="77777777" w:rsidR="003A0F57" w:rsidRDefault="003A0F57" w:rsidP="00C70DEA">
      <w:pPr>
        <w:rPr>
          <w:rFonts w:asciiTheme="majorHAnsi" w:hAnsiTheme="majorHAnsi"/>
          <w:i/>
          <w:sz w:val="20"/>
          <w:szCs w:val="20"/>
        </w:rPr>
      </w:pPr>
    </w:p>
    <w:p w14:paraId="6C2CAC6C" w14:textId="77777777" w:rsidR="003A0F57" w:rsidRDefault="003A0F57" w:rsidP="00C70DEA">
      <w:pPr>
        <w:rPr>
          <w:rFonts w:asciiTheme="majorHAnsi" w:hAnsiTheme="majorHAnsi"/>
          <w:i/>
          <w:sz w:val="20"/>
          <w:szCs w:val="20"/>
        </w:rPr>
      </w:pPr>
    </w:p>
    <w:p w14:paraId="41AD39C6" w14:textId="77777777" w:rsidR="0053408E" w:rsidRPr="006004D1" w:rsidRDefault="0053408E" w:rsidP="003B2A79">
      <w:pPr>
        <w:sectPr w:rsidR="0053408E" w:rsidRPr="006004D1" w:rsidSect="004622EC">
          <w:footerReference w:type="default" r:id="rId28"/>
          <w:footerReference w:type="first" r:id="rId29"/>
          <w:pgSz w:w="16840" w:h="11900" w:orient="landscape" w:code="1"/>
          <w:pgMar w:top="720" w:right="720" w:bottom="720" w:left="720" w:header="720" w:footer="432" w:gutter="0"/>
          <w:cols w:space="708"/>
          <w:titlePg/>
          <w:docGrid w:linePitch="360"/>
        </w:sectPr>
      </w:pPr>
    </w:p>
    <w:p w14:paraId="2D8E32E7" w14:textId="77777777" w:rsidR="0053408E" w:rsidRPr="00CC7279" w:rsidRDefault="0053408E" w:rsidP="003B2A79">
      <w:pPr>
        <w:pStyle w:val="1"/>
        <w:spacing w:before="0" w:after="60"/>
        <w:rPr>
          <w:rFonts w:ascii="Calibri" w:hAnsi="Calibri"/>
          <w:szCs w:val="28"/>
        </w:rPr>
      </w:pPr>
      <w:bookmarkStart w:id="85" w:name="_Ref459629877"/>
      <w:bookmarkStart w:id="86" w:name="_Toc479693885"/>
      <w:bookmarkStart w:id="87" w:name="_Toc207800914"/>
      <w:bookmarkStart w:id="88" w:name="_Toc407785522"/>
      <w:bookmarkEnd w:id="76"/>
      <w:r w:rsidRPr="00CC7279">
        <w:rPr>
          <w:rFonts w:ascii="Calibri" w:hAnsi="Calibri"/>
          <w:szCs w:val="28"/>
        </w:rPr>
        <w:t>Monitoring and Evaluation (M&amp;E) Plan</w:t>
      </w:r>
      <w:bookmarkEnd w:id="85"/>
      <w:bookmarkEnd w:id="86"/>
    </w:p>
    <w:p w14:paraId="434396D1" w14:textId="77777777" w:rsidR="00393350" w:rsidRPr="004622EC" w:rsidRDefault="0053408E" w:rsidP="0020322F">
      <w:pPr>
        <w:pStyle w:val="a7"/>
        <w:numPr>
          <w:ilvl w:val="0"/>
          <w:numId w:val="9"/>
        </w:numPr>
        <w:tabs>
          <w:tab w:val="clear" w:pos="4153"/>
          <w:tab w:val="clear" w:pos="8306"/>
          <w:tab w:val="left" w:pos="426"/>
        </w:tabs>
        <w:spacing w:after="120"/>
        <w:rPr>
          <w:szCs w:val="20"/>
        </w:rPr>
      </w:pPr>
      <w:r w:rsidRPr="004622EC">
        <w:rPr>
          <w:szCs w:val="20"/>
        </w:rPr>
        <w:t xml:space="preserve">The project results as outlined in the </w:t>
      </w:r>
      <w:r w:rsidR="00015854">
        <w:rPr>
          <w:szCs w:val="20"/>
        </w:rPr>
        <w:t>P</w:t>
      </w:r>
      <w:r w:rsidRPr="004622EC">
        <w:rPr>
          <w:szCs w:val="20"/>
        </w:rPr>
        <w:t xml:space="preserve">roject </w:t>
      </w:r>
      <w:r w:rsidR="00015854">
        <w:rPr>
          <w:szCs w:val="20"/>
        </w:rPr>
        <w:t>R</w:t>
      </w:r>
      <w:r w:rsidR="00015854" w:rsidRPr="004622EC">
        <w:rPr>
          <w:szCs w:val="20"/>
        </w:rPr>
        <w:t xml:space="preserve">esults </w:t>
      </w:r>
      <w:r w:rsidR="00015854">
        <w:rPr>
          <w:szCs w:val="20"/>
        </w:rPr>
        <w:t>F</w:t>
      </w:r>
      <w:r w:rsidR="00015854" w:rsidRPr="004622EC">
        <w:rPr>
          <w:szCs w:val="20"/>
        </w:rPr>
        <w:t xml:space="preserve">ramework </w:t>
      </w:r>
      <w:r w:rsidR="00015854">
        <w:rPr>
          <w:szCs w:val="20"/>
        </w:rPr>
        <w:t xml:space="preserve">(section VI) </w:t>
      </w:r>
      <w:r w:rsidRPr="004622EC">
        <w:rPr>
          <w:szCs w:val="20"/>
        </w:rPr>
        <w:t xml:space="preserve">will be monitored annually and evaluated periodically during project implementation to ensure </w:t>
      </w:r>
      <w:r w:rsidR="00015854">
        <w:rPr>
          <w:szCs w:val="20"/>
        </w:rPr>
        <w:t xml:space="preserve">that </w:t>
      </w:r>
      <w:r w:rsidRPr="004622EC">
        <w:rPr>
          <w:szCs w:val="20"/>
        </w:rPr>
        <w:t>the project achieves these results.</w:t>
      </w:r>
    </w:p>
    <w:p w14:paraId="12FDB408" w14:textId="77777777" w:rsidR="00B27C54" w:rsidRPr="004622EC" w:rsidRDefault="0053408E" w:rsidP="0020322F">
      <w:pPr>
        <w:pStyle w:val="a7"/>
        <w:numPr>
          <w:ilvl w:val="0"/>
          <w:numId w:val="9"/>
        </w:numPr>
        <w:tabs>
          <w:tab w:val="clear" w:pos="4153"/>
          <w:tab w:val="clear" w:pos="8306"/>
          <w:tab w:val="left" w:pos="426"/>
        </w:tabs>
        <w:spacing w:after="120"/>
        <w:rPr>
          <w:sz w:val="21"/>
        </w:rPr>
      </w:pPr>
      <w:r w:rsidRPr="004622EC">
        <w:rPr>
          <w:rFonts w:cs="Calibri"/>
          <w:szCs w:val="20"/>
        </w:rPr>
        <w:t>Project-level monitoring and evaluation will be undertaken in compliance with</w:t>
      </w:r>
      <w:r w:rsidR="004D2F82" w:rsidRPr="004622EC">
        <w:rPr>
          <w:rFonts w:cs="Calibri"/>
          <w:szCs w:val="20"/>
        </w:rPr>
        <w:t xml:space="preserve"> </w:t>
      </w:r>
      <w:r w:rsidR="00C36EC7" w:rsidRPr="004622EC">
        <w:rPr>
          <w:rFonts w:cs="Calibri"/>
          <w:szCs w:val="20"/>
        </w:rPr>
        <w:t xml:space="preserve">UNDP </w:t>
      </w:r>
      <w:r w:rsidR="004D2F82" w:rsidRPr="004622EC">
        <w:rPr>
          <w:rFonts w:cs="Calibri"/>
          <w:szCs w:val="20"/>
        </w:rPr>
        <w:t>requirements as outlined in the</w:t>
      </w:r>
      <w:r w:rsidRPr="004622EC">
        <w:rPr>
          <w:rFonts w:cs="Calibri"/>
          <w:szCs w:val="20"/>
        </w:rPr>
        <w:t xml:space="preserve"> </w:t>
      </w:r>
      <w:hyperlink r:id="rId30" w:history="1">
        <w:r w:rsidRPr="004622EC">
          <w:rPr>
            <w:rStyle w:val="ae"/>
            <w:rFonts w:cs="Calibri"/>
            <w:szCs w:val="20"/>
          </w:rPr>
          <w:t>UNDP POPP</w:t>
        </w:r>
      </w:hyperlink>
      <w:r w:rsidR="004D2F82" w:rsidRPr="004622EC">
        <w:rPr>
          <w:rStyle w:val="ae"/>
          <w:rFonts w:cs="Calibri"/>
          <w:szCs w:val="20"/>
        </w:rPr>
        <w:t xml:space="preserve"> </w:t>
      </w:r>
      <w:r w:rsidR="004D2F82" w:rsidRPr="004622EC">
        <w:rPr>
          <w:rStyle w:val="ae"/>
          <w:rFonts w:cs="Calibri"/>
          <w:color w:val="auto"/>
          <w:szCs w:val="20"/>
          <w:u w:val="none"/>
        </w:rPr>
        <w:t xml:space="preserve">and </w:t>
      </w:r>
      <w:hyperlink r:id="rId31" w:history="1">
        <w:r w:rsidR="004D2F82" w:rsidRPr="004622EC">
          <w:rPr>
            <w:rStyle w:val="ae"/>
            <w:rFonts w:cs="Calibri"/>
            <w:szCs w:val="20"/>
          </w:rPr>
          <w:t>UNDP Evaluation Policy</w:t>
        </w:r>
      </w:hyperlink>
      <w:r w:rsidR="004D2F82" w:rsidRPr="004622EC">
        <w:rPr>
          <w:rFonts w:cs="Calibri"/>
          <w:szCs w:val="20"/>
        </w:rPr>
        <w:t xml:space="preserve">. </w:t>
      </w:r>
      <w:r w:rsidR="00B83FE7" w:rsidRPr="004622EC">
        <w:rPr>
          <w:rFonts w:cs="Calibri"/>
          <w:szCs w:val="20"/>
        </w:rPr>
        <w:t xml:space="preserve">While </w:t>
      </w:r>
      <w:r w:rsidR="00C36EC7" w:rsidRPr="004622EC">
        <w:rPr>
          <w:rFonts w:cs="Calibri"/>
          <w:szCs w:val="20"/>
        </w:rPr>
        <w:t xml:space="preserve">these UNDP requirements are not </w:t>
      </w:r>
      <w:r w:rsidR="00B83FE7" w:rsidRPr="004622EC">
        <w:rPr>
          <w:rFonts w:cs="Calibri"/>
          <w:szCs w:val="20"/>
        </w:rPr>
        <w:t>outlined</w:t>
      </w:r>
      <w:r w:rsidR="00C36EC7" w:rsidRPr="004622EC">
        <w:rPr>
          <w:rFonts w:cs="Calibri"/>
          <w:szCs w:val="20"/>
        </w:rPr>
        <w:t xml:space="preserve"> in this project document</w:t>
      </w:r>
      <w:r w:rsidR="007E6657" w:rsidRPr="004622EC">
        <w:rPr>
          <w:rFonts w:cs="Calibri"/>
          <w:szCs w:val="20"/>
        </w:rPr>
        <w:t>,</w:t>
      </w:r>
      <w:r w:rsidR="00C36EC7" w:rsidRPr="004622EC">
        <w:rPr>
          <w:rFonts w:cs="Calibri"/>
          <w:szCs w:val="20"/>
        </w:rPr>
        <w:t xml:space="preserve"> the UNDP Country Office will </w:t>
      </w:r>
      <w:r w:rsidR="004C4F40" w:rsidRPr="004622EC">
        <w:rPr>
          <w:rFonts w:cs="Calibri"/>
          <w:szCs w:val="20"/>
        </w:rPr>
        <w:t xml:space="preserve">work with the relevant project stakeholders to </w:t>
      </w:r>
      <w:r w:rsidR="00C36EC7" w:rsidRPr="004622EC">
        <w:rPr>
          <w:rFonts w:cs="Calibri"/>
          <w:szCs w:val="20"/>
        </w:rPr>
        <w:t xml:space="preserve">ensure </w:t>
      </w:r>
      <w:r w:rsidR="007E6657" w:rsidRPr="004622EC">
        <w:rPr>
          <w:rFonts w:cs="Calibri"/>
          <w:szCs w:val="20"/>
        </w:rPr>
        <w:t>UNDP M&amp;E re</w:t>
      </w:r>
      <w:r w:rsidR="00C36EC7" w:rsidRPr="004622EC">
        <w:rPr>
          <w:rFonts w:cs="Calibri"/>
          <w:szCs w:val="20"/>
        </w:rPr>
        <w:t>quirements are met</w:t>
      </w:r>
      <w:r w:rsidR="00E80AE7" w:rsidRPr="004622EC">
        <w:rPr>
          <w:rFonts w:cs="Calibri"/>
          <w:szCs w:val="20"/>
        </w:rPr>
        <w:t xml:space="preserve"> in a timely fashion and to high quality standards</w:t>
      </w:r>
      <w:r w:rsidR="007E6657" w:rsidRPr="004622EC">
        <w:rPr>
          <w:rFonts w:cs="Calibri"/>
          <w:szCs w:val="20"/>
        </w:rPr>
        <w:t xml:space="preserve">. </w:t>
      </w:r>
      <w:r w:rsidR="00B83FE7" w:rsidRPr="004622EC">
        <w:rPr>
          <w:rFonts w:cs="Calibri"/>
          <w:szCs w:val="20"/>
        </w:rPr>
        <w:t>A</w:t>
      </w:r>
      <w:r w:rsidR="00C36EC7" w:rsidRPr="004622EC">
        <w:rPr>
          <w:rFonts w:cs="Calibri"/>
          <w:szCs w:val="20"/>
        </w:rPr>
        <w:t>dditional</w:t>
      </w:r>
      <w:r w:rsidR="004D2F82" w:rsidRPr="004622EC">
        <w:rPr>
          <w:rFonts w:cs="Calibri"/>
          <w:szCs w:val="20"/>
        </w:rPr>
        <w:t xml:space="preserve"> </w:t>
      </w:r>
      <w:r w:rsidR="00C36EC7" w:rsidRPr="004622EC">
        <w:rPr>
          <w:rFonts w:cs="Calibri"/>
          <w:szCs w:val="20"/>
        </w:rPr>
        <w:t xml:space="preserve">mandatory </w:t>
      </w:r>
      <w:r w:rsidR="004D2F82" w:rsidRPr="004622EC">
        <w:rPr>
          <w:rFonts w:cs="Calibri"/>
          <w:szCs w:val="20"/>
        </w:rPr>
        <w:t xml:space="preserve">GEF-specific M&amp;E requirements </w:t>
      </w:r>
      <w:r w:rsidR="004C4F40" w:rsidRPr="004622EC">
        <w:rPr>
          <w:rFonts w:cs="Calibri"/>
          <w:szCs w:val="20"/>
        </w:rPr>
        <w:t xml:space="preserve">(as </w:t>
      </w:r>
      <w:r w:rsidR="004D2F82" w:rsidRPr="004622EC">
        <w:rPr>
          <w:rFonts w:cs="Calibri"/>
          <w:szCs w:val="20"/>
        </w:rPr>
        <w:t xml:space="preserve">outlined </w:t>
      </w:r>
      <w:r w:rsidR="00B83FE7" w:rsidRPr="004622EC">
        <w:rPr>
          <w:rFonts w:cs="Calibri"/>
          <w:szCs w:val="20"/>
        </w:rPr>
        <w:t>below</w:t>
      </w:r>
      <w:r w:rsidR="004C4F40" w:rsidRPr="004622EC">
        <w:rPr>
          <w:rFonts w:cs="Calibri"/>
          <w:szCs w:val="20"/>
        </w:rPr>
        <w:t xml:space="preserve">) </w:t>
      </w:r>
      <w:r w:rsidR="00C36EC7" w:rsidRPr="004622EC">
        <w:rPr>
          <w:rFonts w:cs="Calibri"/>
          <w:szCs w:val="20"/>
        </w:rPr>
        <w:t xml:space="preserve">will be undertaken in accordance with </w:t>
      </w:r>
      <w:r w:rsidRPr="004622EC">
        <w:rPr>
          <w:rFonts w:cs="Calibri"/>
          <w:szCs w:val="20"/>
        </w:rPr>
        <w:t xml:space="preserve">the </w:t>
      </w:r>
      <w:hyperlink r:id="rId32" w:history="1">
        <w:r w:rsidRPr="004622EC">
          <w:rPr>
            <w:rStyle w:val="ae"/>
            <w:rFonts w:cs="Calibri"/>
            <w:szCs w:val="20"/>
          </w:rPr>
          <w:t>GEF M&amp;E policy</w:t>
        </w:r>
      </w:hyperlink>
      <w:r w:rsidR="004D2F82" w:rsidRPr="004622EC">
        <w:rPr>
          <w:rFonts w:cs="Calibri"/>
          <w:szCs w:val="20"/>
        </w:rPr>
        <w:t xml:space="preserve"> and </w:t>
      </w:r>
      <w:r w:rsidR="00B83FE7" w:rsidRPr="004622EC">
        <w:rPr>
          <w:rFonts w:cs="Calibri"/>
          <w:szCs w:val="20"/>
        </w:rPr>
        <w:t xml:space="preserve">other relevant </w:t>
      </w:r>
      <w:r w:rsidRPr="004622EC">
        <w:rPr>
          <w:rFonts w:cs="Calibri"/>
          <w:szCs w:val="20"/>
        </w:rPr>
        <w:t xml:space="preserve">GEF </w:t>
      </w:r>
      <w:r w:rsidR="00B83FE7" w:rsidRPr="004622EC">
        <w:rPr>
          <w:rFonts w:cs="Calibri"/>
          <w:szCs w:val="20"/>
        </w:rPr>
        <w:t>policies</w:t>
      </w:r>
      <w:r w:rsidR="00087334">
        <w:rPr>
          <w:rStyle w:val="afa"/>
          <w:szCs w:val="20"/>
        </w:rPr>
        <w:footnoteReference w:id="12"/>
      </w:r>
      <w:r w:rsidR="00941466" w:rsidRPr="004622EC">
        <w:rPr>
          <w:rFonts w:cs="Calibri"/>
          <w:szCs w:val="20"/>
        </w:rPr>
        <w:t>.</w:t>
      </w:r>
    </w:p>
    <w:p w14:paraId="29F06429" w14:textId="77777777" w:rsidR="0053408E" w:rsidRPr="004622EC" w:rsidRDefault="00941466" w:rsidP="0020322F">
      <w:pPr>
        <w:pStyle w:val="a7"/>
        <w:numPr>
          <w:ilvl w:val="0"/>
          <w:numId w:val="9"/>
        </w:numPr>
        <w:tabs>
          <w:tab w:val="clear" w:pos="4153"/>
          <w:tab w:val="clear" w:pos="8306"/>
          <w:tab w:val="left" w:pos="426"/>
        </w:tabs>
        <w:spacing w:after="120"/>
        <w:rPr>
          <w:sz w:val="21"/>
        </w:rPr>
      </w:pPr>
      <w:r w:rsidRPr="004622EC">
        <w:rPr>
          <w:rFonts w:cs="Calibri"/>
          <w:szCs w:val="20"/>
        </w:rPr>
        <w:t xml:space="preserve">In addition to the </w:t>
      </w:r>
      <w:r w:rsidR="00C36EC7" w:rsidRPr="004622EC">
        <w:rPr>
          <w:rFonts w:cs="Calibri"/>
          <w:szCs w:val="20"/>
        </w:rPr>
        <w:t xml:space="preserve">mandatory </w:t>
      </w:r>
      <w:r w:rsidRPr="004622EC">
        <w:rPr>
          <w:rFonts w:cs="Calibri"/>
          <w:szCs w:val="20"/>
        </w:rPr>
        <w:t xml:space="preserve">UNDP </w:t>
      </w:r>
      <w:r w:rsidR="00C36EC7" w:rsidRPr="004622EC">
        <w:rPr>
          <w:rFonts w:cs="Calibri"/>
          <w:szCs w:val="20"/>
        </w:rPr>
        <w:t xml:space="preserve">and GEF </w:t>
      </w:r>
      <w:r w:rsidRPr="004622EC">
        <w:rPr>
          <w:rFonts w:cs="Calibri"/>
          <w:szCs w:val="20"/>
        </w:rPr>
        <w:t>M&amp;E requirements</w:t>
      </w:r>
      <w:r w:rsidR="00C36EC7" w:rsidRPr="004622EC">
        <w:rPr>
          <w:rFonts w:cs="Calibri"/>
          <w:szCs w:val="20"/>
        </w:rPr>
        <w:t>, other</w:t>
      </w:r>
      <w:r w:rsidRPr="004622EC">
        <w:rPr>
          <w:rFonts w:cs="Calibri"/>
          <w:szCs w:val="20"/>
        </w:rPr>
        <w:t xml:space="preserve"> </w:t>
      </w:r>
      <w:r w:rsidR="0053408E" w:rsidRPr="004622EC">
        <w:rPr>
          <w:rFonts w:cs="Calibri"/>
          <w:szCs w:val="20"/>
        </w:rPr>
        <w:t xml:space="preserve">M&amp;E </w:t>
      </w:r>
      <w:r w:rsidRPr="004622EC">
        <w:rPr>
          <w:rFonts w:cs="Calibri"/>
          <w:szCs w:val="20"/>
        </w:rPr>
        <w:t>a</w:t>
      </w:r>
      <w:r w:rsidR="0053408E" w:rsidRPr="004622EC">
        <w:rPr>
          <w:rFonts w:cs="Calibri"/>
          <w:szCs w:val="20"/>
        </w:rPr>
        <w:t>ctivities deemed necessary to support project-level adaptive management</w:t>
      </w:r>
      <w:r w:rsidR="00BC1B09" w:rsidRPr="004622EC">
        <w:rPr>
          <w:rFonts w:cs="Calibri"/>
          <w:szCs w:val="20"/>
        </w:rPr>
        <w:t xml:space="preserve"> will be </w:t>
      </w:r>
      <w:r w:rsidR="008071BF" w:rsidRPr="004622EC">
        <w:rPr>
          <w:rFonts w:cs="Calibri"/>
          <w:szCs w:val="20"/>
        </w:rPr>
        <w:t>agreed</w:t>
      </w:r>
      <w:r w:rsidR="00BC1B09" w:rsidRPr="004622EC">
        <w:rPr>
          <w:rFonts w:cs="Calibri"/>
          <w:szCs w:val="20"/>
        </w:rPr>
        <w:t xml:space="preserve"> during the</w:t>
      </w:r>
      <w:r w:rsidR="00E804FD" w:rsidRPr="004622EC">
        <w:rPr>
          <w:rFonts w:cs="Calibri"/>
          <w:szCs w:val="20"/>
        </w:rPr>
        <w:t xml:space="preserve"> </w:t>
      </w:r>
      <w:r w:rsidR="003A7966">
        <w:rPr>
          <w:rFonts w:cs="Calibri"/>
          <w:szCs w:val="20"/>
        </w:rPr>
        <w:t>P</w:t>
      </w:r>
      <w:r w:rsidR="003A7966" w:rsidRPr="004622EC">
        <w:rPr>
          <w:rFonts w:cs="Calibri"/>
          <w:szCs w:val="20"/>
        </w:rPr>
        <w:t xml:space="preserve">roject </w:t>
      </w:r>
      <w:r w:rsidR="003A7966">
        <w:rPr>
          <w:rFonts w:cs="Calibri"/>
          <w:szCs w:val="20"/>
        </w:rPr>
        <w:t>I</w:t>
      </w:r>
      <w:r w:rsidR="00C70DEA" w:rsidRPr="004622EC">
        <w:rPr>
          <w:rFonts w:cs="Calibri"/>
          <w:szCs w:val="20"/>
        </w:rPr>
        <w:t xml:space="preserve">nception </w:t>
      </w:r>
      <w:r w:rsidR="003A7966">
        <w:rPr>
          <w:rFonts w:cs="Calibri"/>
          <w:szCs w:val="20"/>
        </w:rPr>
        <w:t>W</w:t>
      </w:r>
      <w:r w:rsidR="00C70DEA" w:rsidRPr="004622EC">
        <w:rPr>
          <w:rFonts w:cs="Calibri"/>
          <w:szCs w:val="20"/>
        </w:rPr>
        <w:t xml:space="preserve">orkshop </w:t>
      </w:r>
      <w:r w:rsidR="00BC1B09" w:rsidRPr="004622EC">
        <w:rPr>
          <w:rFonts w:cs="Calibri"/>
          <w:szCs w:val="20"/>
        </w:rPr>
        <w:t>and will be detailed in the Inception Report. This will include the e</w:t>
      </w:r>
      <w:r w:rsidR="0053408E" w:rsidRPr="004622EC">
        <w:rPr>
          <w:rFonts w:cs="Calibri"/>
          <w:szCs w:val="20"/>
        </w:rPr>
        <w:t>xact role of project target groups and other stakeholders in project M&amp;E activities</w:t>
      </w:r>
      <w:r w:rsidR="00AF5DF8" w:rsidRPr="004622EC">
        <w:rPr>
          <w:rFonts w:cs="Calibri"/>
          <w:szCs w:val="20"/>
        </w:rPr>
        <w:t xml:space="preserve"> including the GEF Operational Focal Point</w:t>
      </w:r>
      <w:r w:rsidR="00BC1B09" w:rsidRPr="004622EC">
        <w:rPr>
          <w:rFonts w:cs="Calibri"/>
          <w:szCs w:val="20"/>
        </w:rPr>
        <w:t xml:space="preserve"> </w:t>
      </w:r>
      <w:r w:rsidR="00C70DEA">
        <w:rPr>
          <w:rFonts w:cs="Calibri"/>
          <w:szCs w:val="20"/>
        </w:rPr>
        <w:t xml:space="preserve">(OFP) </w:t>
      </w:r>
      <w:r w:rsidR="00BC1B09" w:rsidRPr="004622EC">
        <w:rPr>
          <w:rFonts w:cs="Calibri"/>
          <w:szCs w:val="20"/>
        </w:rPr>
        <w:t>and national/regional institutes assigned to undertake project monitoring.</w:t>
      </w:r>
      <w:r w:rsidR="00E336E5" w:rsidRPr="004622EC">
        <w:rPr>
          <w:rFonts w:cs="Calibri"/>
          <w:szCs w:val="20"/>
        </w:rPr>
        <w:t xml:space="preserve"> </w:t>
      </w:r>
      <w:r w:rsidR="004C4F40" w:rsidRPr="004622EC">
        <w:rPr>
          <w:rFonts w:cs="Calibri"/>
          <w:szCs w:val="20"/>
        </w:rPr>
        <w:t xml:space="preserve">The GEF </w:t>
      </w:r>
      <w:r w:rsidR="00C70DEA">
        <w:rPr>
          <w:rFonts w:cs="Calibri"/>
          <w:szCs w:val="20"/>
        </w:rPr>
        <w:t>OFP</w:t>
      </w:r>
      <w:r w:rsidR="004C4F40" w:rsidRPr="004622EC">
        <w:rPr>
          <w:rFonts w:cs="Calibri"/>
          <w:szCs w:val="20"/>
        </w:rPr>
        <w:t xml:space="preserve"> will</w:t>
      </w:r>
      <w:r w:rsidR="00E804FD" w:rsidRPr="004622EC">
        <w:rPr>
          <w:rFonts w:cs="Calibri"/>
          <w:szCs w:val="20"/>
        </w:rPr>
        <w:t xml:space="preserve"> strive to</w:t>
      </w:r>
      <w:r w:rsidR="004C4F40" w:rsidRPr="004622EC">
        <w:rPr>
          <w:rFonts w:cs="Calibri"/>
          <w:szCs w:val="20"/>
        </w:rPr>
        <w:t xml:space="preserve"> ensure consistency in the approach t</w:t>
      </w:r>
      <w:r w:rsidR="00E804FD" w:rsidRPr="004622EC">
        <w:rPr>
          <w:rFonts w:cs="Calibri"/>
          <w:szCs w:val="20"/>
        </w:rPr>
        <w:t>aken to</w:t>
      </w:r>
      <w:r w:rsidR="004C4F40" w:rsidRPr="004622EC">
        <w:rPr>
          <w:rFonts w:cs="Calibri"/>
          <w:szCs w:val="20"/>
        </w:rPr>
        <w:t xml:space="preserve"> the GEF-specific M&amp;E requirements (notably the GEF Tracking Tools) across all GEF-financed projects in the country. This could be achieve</w:t>
      </w:r>
      <w:r w:rsidR="00E804FD" w:rsidRPr="004622EC">
        <w:rPr>
          <w:rFonts w:cs="Calibri"/>
          <w:szCs w:val="20"/>
        </w:rPr>
        <w:t>d</w:t>
      </w:r>
      <w:r w:rsidR="00C70DEA">
        <w:rPr>
          <w:rFonts w:cs="Calibri"/>
          <w:szCs w:val="20"/>
        </w:rPr>
        <w:t>,</w:t>
      </w:r>
      <w:r w:rsidR="004C4F40" w:rsidRPr="004622EC">
        <w:rPr>
          <w:rFonts w:cs="Calibri"/>
          <w:szCs w:val="20"/>
        </w:rPr>
        <w:t xml:space="preserve"> for example</w:t>
      </w:r>
      <w:r w:rsidR="00C70DEA">
        <w:rPr>
          <w:rFonts w:cs="Calibri"/>
          <w:szCs w:val="20"/>
        </w:rPr>
        <w:t>,</w:t>
      </w:r>
      <w:r w:rsidR="004C4F40" w:rsidRPr="004622EC">
        <w:rPr>
          <w:rFonts w:cs="Calibri"/>
          <w:szCs w:val="20"/>
        </w:rPr>
        <w:t xml:space="preserve"> by using one national institute to </w:t>
      </w:r>
      <w:r w:rsidR="00E804FD" w:rsidRPr="004622EC">
        <w:rPr>
          <w:rFonts w:cs="Calibri"/>
          <w:szCs w:val="20"/>
        </w:rPr>
        <w:t>complete</w:t>
      </w:r>
      <w:r w:rsidR="004C4F40" w:rsidRPr="004622EC">
        <w:rPr>
          <w:rFonts w:cs="Calibri"/>
          <w:szCs w:val="20"/>
        </w:rPr>
        <w:t xml:space="preserve"> the GEF Tracking Tools for all GEF-</w:t>
      </w:r>
      <w:r w:rsidR="00E804FD" w:rsidRPr="004622EC">
        <w:rPr>
          <w:rFonts w:cs="Calibri"/>
          <w:szCs w:val="20"/>
        </w:rPr>
        <w:t>financed</w:t>
      </w:r>
      <w:r w:rsidR="004C4F40" w:rsidRPr="004622EC">
        <w:rPr>
          <w:rFonts w:cs="Calibri"/>
          <w:szCs w:val="20"/>
        </w:rPr>
        <w:t xml:space="preserve"> projects in the country, including projects supported by other GEF Agencies</w:t>
      </w:r>
      <w:r w:rsidR="00B54BF6" w:rsidRPr="004622EC">
        <w:rPr>
          <w:rFonts w:cs="Calibri"/>
          <w:szCs w:val="20"/>
        </w:rPr>
        <w:t>.</w:t>
      </w:r>
      <w:r w:rsidR="003D346A" w:rsidRPr="003D346A">
        <w:rPr>
          <w:rStyle w:val="afa"/>
          <w:szCs w:val="20"/>
        </w:rPr>
        <w:t xml:space="preserve"> </w:t>
      </w:r>
      <w:r w:rsidR="003D346A">
        <w:rPr>
          <w:rStyle w:val="afa"/>
          <w:szCs w:val="20"/>
        </w:rPr>
        <w:footnoteReference w:id="13"/>
      </w:r>
    </w:p>
    <w:p w14:paraId="063F36CA" w14:textId="77777777" w:rsidR="0053408E" w:rsidRPr="006004D1" w:rsidRDefault="00B83FE7" w:rsidP="00C70DEA">
      <w:pPr>
        <w:rPr>
          <w:rFonts w:cs="Calibri"/>
          <w:b/>
          <w:szCs w:val="20"/>
        </w:rPr>
      </w:pPr>
      <w:r w:rsidRPr="006004D1">
        <w:rPr>
          <w:rFonts w:cs="Calibri"/>
          <w:b/>
          <w:szCs w:val="20"/>
        </w:rPr>
        <w:t xml:space="preserve">M&amp;E </w:t>
      </w:r>
      <w:r w:rsidR="00997FDD">
        <w:rPr>
          <w:rFonts w:cs="Calibri"/>
          <w:b/>
          <w:szCs w:val="20"/>
        </w:rPr>
        <w:t>o</w:t>
      </w:r>
      <w:r w:rsidR="00997FDD" w:rsidRPr="006004D1">
        <w:rPr>
          <w:rFonts w:cs="Calibri"/>
          <w:b/>
          <w:szCs w:val="20"/>
        </w:rPr>
        <w:t xml:space="preserve">versight </w:t>
      </w:r>
      <w:r w:rsidR="0053408E" w:rsidRPr="006004D1">
        <w:rPr>
          <w:rFonts w:cs="Calibri"/>
          <w:b/>
          <w:szCs w:val="20"/>
        </w:rPr>
        <w:t>and monitoring responsibilities</w:t>
      </w:r>
    </w:p>
    <w:p w14:paraId="42259835" w14:textId="77777777" w:rsidR="003D346A" w:rsidRPr="00A8609D" w:rsidRDefault="00AF5DF8" w:rsidP="00A8609D">
      <w:pPr>
        <w:pStyle w:val="a7"/>
        <w:numPr>
          <w:ilvl w:val="0"/>
          <w:numId w:val="9"/>
        </w:numPr>
        <w:tabs>
          <w:tab w:val="clear" w:pos="4153"/>
          <w:tab w:val="clear" w:pos="8306"/>
          <w:tab w:val="left" w:pos="426"/>
        </w:tabs>
        <w:spacing w:after="120"/>
        <w:rPr>
          <w:rFonts w:cs="Calibri"/>
          <w:szCs w:val="20"/>
        </w:rPr>
      </w:pPr>
      <w:r w:rsidRPr="00A8609D">
        <w:rPr>
          <w:rFonts w:cs="Calibri"/>
          <w:b/>
          <w:szCs w:val="20"/>
        </w:rPr>
        <w:t>Project Manager:</w:t>
      </w:r>
      <w:r w:rsidRPr="00A8609D">
        <w:rPr>
          <w:rFonts w:cs="Calibri"/>
          <w:szCs w:val="20"/>
        </w:rPr>
        <w:t xml:space="preserve"> </w:t>
      </w:r>
      <w:r w:rsidR="0053408E" w:rsidRPr="00A8609D">
        <w:rPr>
          <w:rFonts w:cs="Calibri"/>
          <w:szCs w:val="20"/>
        </w:rPr>
        <w:t xml:space="preserve">The </w:t>
      </w:r>
      <w:r w:rsidR="008253E8" w:rsidRPr="00A8609D">
        <w:rPr>
          <w:rFonts w:cs="Calibri"/>
          <w:szCs w:val="20"/>
        </w:rPr>
        <w:t xml:space="preserve">Project Manager is </w:t>
      </w:r>
      <w:r w:rsidR="0053408E" w:rsidRPr="00A8609D">
        <w:rPr>
          <w:rFonts w:cs="Calibri"/>
          <w:szCs w:val="20"/>
        </w:rPr>
        <w:t>responsibl</w:t>
      </w:r>
      <w:r w:rsidR="008253E8" w:rsidRPr="00A8609D">
        <w:rPr>
          <w:rFonts w:cs="Calibri"/>
          <w:szCs w:val="20"/>
        </w:rPr>
        <w:t>e</w:t>
      </w:r>
      <w:r w:rsidR="0053408E" w:rsidRPr="00A8609D">
        <w:rPr>
          <w:rFonts w:cs="Calibri"/>
          <w:szCs w:val="20"/>
        </w:rPr>
        <w:t xml:space="preserve"> for day-to</w:t>
      </w:r>
      <w:r w:rsidR="004E32F3" w:rsidRPr="00A8609D">
        <w:rPr>
          <w:rFonts w:cs="Calibri"/>
          <w:szCs w:val="20"/>
        </w:rPr>
        <w:t>-</w:t>
      </w:r>
      <w:r w:rsidR="0053408E" w:rsidRPr="00A8609D">
        <w:rPr>
          <w:rFonts w:cs="Calibri"/>
          <w:szCs w:val="20"/>
        </w:rPr>
        <w:t xml:space="preserve">day project </w:t>
      </w:r>
      <w:r w:rsidR="008253E8" w:rsidRPr="00A8609D">
        <w:rPr>
          <w:rFonts w:cs="Calibri"/>
          <w:szCs w:val="20"/>
        </w:rPr>
        <w:t xml:space="preserve">management </w:t>
      </w:r>
      <w:r w:rsidR="004E32F3" w:rsidRPr="00A8609D">
        <w:rPr>
          <w:rFonts w:cs="Calibri"/>
          <w:szCs w:val="20"/>
        </w:rPr>
        <w:t>and regular monitoring</w:t>
      </w:r>
      <w:r w:rsidR="008253E8" w:rsidRPr="00A8609D">
        <w:rPr>
          <w:rFonts w:cs="Calibri"/>
          <w:szCs w:val="20"/>
        </w:rPr>
        <w:t xml:space="preserve"> of project results and risks, including social and environmental risks</w:t>
      </w:r>
      <w:r w:rsidR="0053408E" w:rsidRPr="00A8609D">
        <w:rPr>
          <w:rFonts w:cs="Calibri"/>
          <w:szCs w:val="20"/>
        </w:rPr>
        <w:t xml:space="preserve">. </w:t>
      </w:r>
      <w:r w:rsidR="008253E8" w:rsidRPr="00A8609D">
        <w:rPr>
          <w:rFonts w:cs="Calibri"/>
          <w:szCs w:val="20"/>
        </w:rPr>
        <w:t xml:space="preserve">The Project Manager will </w:t>
      </w:r>
      <w:r w:rsidRPr="00A8609D">
        <w:rPr>
          <w:rFonts w:cs="Calibri"/>
          <w:szCs w:val="20"/>
        </w:rPr>
        <w:t xml:space="preserve">ensure that all project staff maintain a high level of transparency, responsibility and accountability in </w:t>
      </w:r>
      <w:r w:rsidR="00763414" w:rsidRPr="00A8609D">
        <w:rPr>
          <w:rFonts w:cs="Calibri"/>
          <w:szCs w:val="20"/>
        </w:rPr>
        <w:t>M&amp;E</w:t>
      </w:r>
      <w:r w:rsidRPr="00A8609D">
        <w:rPr>
          <w:rFonts w:cs="Calibri"/>
          <w:szCs w:val="20"/>
        </w:rPr>
        <w:t xml:space="preserve"> and reporting </w:t>
      </w:r>
      <w:r w:rsidR="00763414" w:rsidRPr="00A8609D">
        <w:rPr>
          <w:rFonts w:cs="Calibri"/>
          <w:szCs w:val="20"/>
        </w:rPr>
        <w:t xml:space="preserve">of </w:t>
      </w:r>
      <w:r w:rsidRPr="00A8609D">
        <w:rPr>
          <w:rFonts w:cs="Calibri"/>
          <w:szCs w:val="20"/>
        </w:rPr>
        <w:t xml:space="preserve">project results. </w:t>
      </w:r>
      <w:r w:rsidR="00DF7AB2" w:rsidRPr="00A8609D">
        <w:rPr>
          <w:rFonts w:cs="Calibri"/>
          <w:szCs w:val="20"/>
        </w:rPr>
        <w:t xml:space="preserve">The Project Manager will inform the Project </w:t>
      </w:r>
      <w:r w:rsidR="007A3BCE" w:rsidRPr="00A8609D">
        <w:rPr>
          <w:rFonts w:cs="Calibri"/>
          <w:szCs w:val="20"/>
        </w:rPr>
        <w:t>Steering Committee</w:t>
      </w:r>
      <w:r w:rsidR="00272864" w:rsidRPr="00A8609D">
        <w:rPr>
          <w:rFonts w:cs="Calibri"/>
          <w:szCs w:val="20"/>
        </w:rPr>
        <w:t xml:space="preserve">, </w:t>
      </w:r>
      <w:r w:rsidR="00DF7AB2" w:rsidRPr="00A8609D">
        <w:rPr>
          <w:rFonts w:cs="Calibri"/>
          <w:szCs w:val="20"/>
        </w:rPr>
        <w:t xml:space="preserve">the UNDP Country Office </w:t>
      </w:r>
      <w:r w:rsidR="00272864" w:rsidRPr="00A8609D">
        <w:rPr>
          <w:rFonts w:cs="Calibri"/>
          <w:szCs w:val="20"/>
        </w:rPr>
        <w:t xml:space="preserve">and the UNDP-GEF </w:t>
      </w:r>
      <w:r w:rsidR="00997FDD" w:rsidRPr="00A8609D">
        <w:rPr>
          <w:rFonts w:cs="Calibri"/>
          <w:szCs w:val="20"/>
        </w:rPr>
        <w:t>Regional Technical Advisor</w:t>
      </w:r>
      <w:r w:rsidR="00272864" w:rsidRPr="00A8609D">
        <w:rPr>
          <w:rFonts w:cs="Calibri"/>
          <w:szCs w:val="20"/>
        </w:rPr>
        <w:t xml:space="preserve"> </w:t>
      </w:r>
      <w:r w:rsidR="00DF7AB2" w:rsidRPr="00A8609D">
        <w:rPr>
          <w:rFonts w:cs="Calibri"/>
          <w:szCs w:val="20"/>
        </w:rPr>
        <w:t xml:space="preserve">of any delays or difficulties as they arise during implementation so that appropriate support and corrective measures can be adopted. </w:t>
      </w:r>
    </w:p>
    <w:p w14:paraId="374D0544" w14:textId="77777777" w:rsidR="00AF5DF8" w:rsidRPr="004622EC" w:rsidRDefault="0053408E" w:rsidP="0020322F">
      <w:pPr>
        <w:pStyle w:val="a7"/>
        <w:numPr>
          <w:ilvl w:val="0"/>
          <w:numId w:val="9"/>
        </w:numPr>
        <w:tabs>
          <w:tab w:val="clear" w:pos="4153"/>
          <w:tab w:val="clear" w:pos="8306"/>
          <w:tab w:val="left" w:pos="426"/>
        </w:tabs>
        <w:spacing w:after="120"/>
        <w:rPr>
          <w:rFonts w:cs="Calibri"/>
          <w:szCs w:val="22"/>
        </w:rPr>
      </w:pPr>
      <w:r w:rsidRPr="004622EC">
        <w:rPr>
          <w:rFonts w:cs="Calibri"/>
          <w:szCs w:val="22"/>
        </w:rPr>
        <w:t xml:space="preserve">The Project Manager will develop annual work plans </w:t>
      </w:r>
      <w:r w:rsidR="004E32F3" w:rsidRPr="004622EC">
        <w:rPr>
          <w:rFonts w:cs="Calibri"/>
          <w:szCs w:val="22"/>
        </w:rPr>
        <w:t>based on the multi-year work</w:t>
      </w:r>
      <w:r w:rsidR="000A20A2" w:rsidRPr="004622EC">
        <w:rPr>
          <w:rFonts w:cs="Calibri"/>
          <w:szCs w:val="22"/>
        </w:rPr>
        <w:t xml:space="preserve"> </w:t>
      </w:r>
      <w:r w:rsidR="008253E8" w:rsidRPr="004622EC">
        <w:rPr>
          <w:rFonts w:cs="Calibri"/>
          <w:szCs w:val="22"/>
        </w:rPr>
        <w:t>plan included in</w:t>
      </w:r>
      <w:r w:rsidR="00E70737" w:rsidRPr="004622EC">
        <w:rPr>
          <w:rFonts w:cs="Calibri"/>
          <w:szCs w:val="22"/>
        </w:rPr>
        <w:t xml:space="preserve"> </w:t>
      </w:r>
      <w:r w:rsidR="00E70737" w:rsidRPr="004622EC">
        <w:rPr>
          <w:rFonts w:cs="Calibri"/>
          <w:szCs w:val="22"/>
        </w:rPr>
        <w:fldChar w:fldCharType="begin"/>
      </w:r>
      <w:r w:rsidR="00E70737" w:rsidRPr="004622EC">
        <w:rPr>
          <w:rFonts w:cs="Calibri"/>
          <w:szCs w:val="22"/>
        </w:rPr>
        <w:instrText xml:space="preserve"> REF _Ref337735606 \h </w:instrText>
      </w:r>
      <w:r w:rsidR="00C70DEA">
        <w:rPr>
          <w:rFonts w:cs="Calibri"/>
          <w:szCs w:val="22"/>
        </w:rPr>
        <w:instrText xml:space="preserve"> \* MERGEFORMAT </w:instrText>
      </w:r>
      <w:r w:rsidR="00E70737" w:rsidRPr="004622EC">
        <w:rPr>
          <w:rFonts w:cs="Calibri"/>
          <w:szCs w:val="22"/>
        </w:rPr>
      </w:r>
      <w:r w:rsidR="00E70737" w:rsidRPr="004622EC">
        <w:rPr>
          <w:rFonts w:cs="Calibri"/>
          <w:szCs w:val="22"/>
        </w:rPr>
        <w:fldChar w:fldCharType="separate"/>
      </w:r>
      <w:r w:rsidR="00921873" w:rsidRPr="00921873">
        <w:rPr>
          <w:szCs w:val="22"/>
        </w:rPr>
        <w:t>Annex A. Multi Year Work Plan</w:t>
      </w:r>
      <w:r w:rsidR="00E70737" w:rsidRPr="004622EC">
        <w:rPr>
          <w:rFonts w:cs="Calibri"/>
          <w:szCs w:val="22"/>
        </w:rPr>
        <w:fldChar w:fldCharType="end"/>
      </w:r>
      <w:r w:rsidR="004E32F3" w:rsidRPr="004622EC">
        <w:rPr>
          <w:rFonts w:cs="Calibri"/>
          <w:szCs w:val="22"/>
        </w:rPr>
        <w:t xml:space="preserve">, </w:t>
      </w:r>
      <w:r w:rsidRPr="004622EC">
        <w:rPr>
          <w:rFonts w:cs="Calibri"/>
          <w:szCs w:val="22"/>
        </w:rPr>
        <w:t xml:space="preserve">including annual </w:t>
      </w:r>
      <w:r w:rsidR="008253E8" w:rsidRPr="004622EC">
        <w:rPr>
          <w:rFonts w:cs="Calibri"/>
          <w:szCs w:val="22"/>
        </w:rPr>
        <w:t xml:space="preserve">output </w:t>
      </w:r>
      <w:r w:rsidRPr="004622EC">
        <w:rPr>
          <w:rFonts w:cs="Calibri"/>
          <w:szCs w:val="22"/>
        </w:rPr>
        <w:t xml:space="preserve">targets </w:t>
      </w:r>
      <w:r w:rsidR="008253E8" w:rsidRPr="004622EC">
        <w:rPr>
          <w:rFonts w:cs="Calibri"/>
          <w:szCs w:val="22"/>
        </w:rPr>
        <w:t>t</w:t>
      </w:r>
      <w:r w:rsidRPr="004622EC">
        <w:rPr>
          <w:rFonts w:cs="Calibri"/>
          <w:szCs w:val="22"/>
        </w:rPr>
        <w:t>o</w:t>
      </w:r>
      <w:r w:rsidR="008253E8" w:rsidRPr="004622EC">
        <w:rPr>
          <w:rFonts w:cs="Calibri"/>
          <w:szCs w:val="22"/>
        </w:rPr>
        <w:t xml:space="preserve"> support</w:t>
      </w:r>
      <w:r w:rsidRPr="004622EC">
        <w:rPr>
          <w:rFonts w:cs="Calibri"/>
          <w:szCs w:val="22"/>
        </w:rPr>
        <w:t xml:space="preserve"> the efficient implementation of the project. The Project Manager will </w:t>
      </w:r>
      <w:r w:rsidR="004E32F3" w:rsidRPr="004622EC">
        <w:rPr>
          <w:rFonts w:cs="Calibri"/>
          <w:szCs w:val="22"/>
        </w:rPr>
        <w:t xml:space="preserve">ensure that the standard UNDP and GEF M&amp;E requirements are fulfilled to the highest quality. This includes, but is not limited to, ensuring the results framework indicators are monitored annually in time for </w:t>
      </w:r>
      <w:r w:rsidR="008253E8" w:rsidRPr="004622EC">
        <w:rPr>
          <w:rFonts w:cs="Calibri"/>
          <w:szCs w:val="22"/>
        </w:rPr>
        <w:t xml:space="preserve">evidence-based </w:t>
      </w:r>
      <w:r w:rsidR="00E336E5" w:rsidRPr="004622EC">
        <w:rPr>
          <w:rFonts w:cs="Calibri"/>
          <w:szCs w:val="22"/>
        </w:rPr>
        <w:t xml:space="preserve">reporting </w:t>
      </w:r>
      <w:r w:rsidR="008253E8" w:rsidRPr="004622EC">
        <w:rPr>
          <w:rFonts w:cs="Calibri"/>
          <w:szCs w:val="22"/>
        </w:rPr>
        <w:t xml:space="preserve">in the </w:t>
      </w:r>
      <w:r w:rsidR="00647AD9" w:rsidRPr="004622EC">
        <w:rPr>
          <w:rFonts w:cs="Calibri"/>
          <w:szCs w:val="22"/>
        </w:rPr>
        <w:t xml:space="preserve">GEF </w:t>
      </w:r>
      <w:r w:rsidR="004E32F3" w:rsidRPr="004622EC">
        <w:rPr>
          <w:rFonts w:cs="Calibri"/>
          <w:szCs w:val="22"/>
        </w:rPr>
        <w:t>PIR</w:t>
      </w:r>
      <w:r w:rsidR="008253E8" w:rsidRPr="004622EC">
        <w:rPr>
          <w:rFonts w:cs="Calibri"/>
          <w:szCs w:val="22"/>
        </w:rPr>
        <w:t>, and that the monitoring of risks and the various plans/strategies developed to support project implementation</w:t>
      </w:r>
      <w:r w:rsidR="00763414" w:rsidRPr="004622EC">
        <w:rPr>
          <w:rFonts w:cs="Calibri"/>
          <w:szCs w:val="22"/>
        </w:rPr>
        <w:t xml:space="preserve"> (e.g. gender strategy, KM strategy etc.)</w:t>
      </w:r>
      <w:r w:rsidR="008253E8" w:rsidRPr="004622EC">
        <w:rPr>
          <w:rFonts w:cs="Calibri"/>
          <w:szCs w:val="22"/>
        </w:rPr>
        <w:t xml:space="preserve"> occur on a regular basis.</w:t>
      </w:r>
      <w:r w:rsidR="004E32F3" w:rsidRPr="004622EC">
        <w:rPr>
          <w:rFonts w:cs="Calibri"/>
          <w:szCs w:val="22"/>
        </w:rPr>
        <w:t xml:space="preserve"> </w:t>
      </w:r>
    </w:p>
    <w:p w14:paraId="20CFDDA4" w14:textId="77777777" w:rsidR="008253E8" w:rsidRPr="004622EC" w:rsidRDefault="00AF5DF8" w:rsidP="0020322F">
      <w:pPr>
        <w:pStyle w:val="a7"/>
        <w:numPr>
          <w:ilvl w:val="0"/>
          <w:numId w:val="9"/>
        </w:numPr>
        <w:tabs>
          <w:tab w:val="clear" w:pos="4153"/>
          <w:tab w:val="clear" w:pos="8306"/>
          <w:tab w:val="left" w:pos="426"/>
        </w:tabs>
        <w:spacing w:after="120"/>
        <w:rPr>
          <w:rFonts w:cs="Calibri"/>
          <w:szCs w:val="22"/>
        </w:rPr>
      </w:pPr>
      <w:r w:rsidRPr="004622EC">
        <w:rPr>
          <w:rFonts w:cs="Calibri"/>
          <w:b/>
          <w:szCs w:val="22"/>
        </w:rPr>
        <w:t xml:space="preserve">Project </w:t>
      </w:r>
      <w:r w:rsidR="008E37CC" w:rsidRPr="004622EC">
        <w:rPr>
          <w:rFonts w:cs="Calibri"/>
          <w:b/>
          <w:szCs w:val="22"/>
        </w:rPr>
        <w:t xml:space="preserve">Steering </w:t>
      </w:r>
      <w:r w:rsidR="00C953AA" w:rsidRPr="002B343A">
        <w:rPr>
          <w:rFonts w:cs="Calibri"/>
          <w:b/>
          <w:szCs w:val="22"/>
        </w:rPr>
        <w:t>Committee</w:t>
      </w:r>
      <w:r w:rsidRPr="004622EC">
        <w:rPr>
          <w:rFonts w:cs="Calibri"/>
          <w:b/>
          <w:szCs w:val="22"/>
        </w:rPr>
        <w:t xml:space="preserve">: </w:t>
      </w:r>
      <w:r w:rsidRPr="004622EC">
        <w:rPr>
          <w:rFonts w:cs="Calibri"/>
          <w:szCs w:val="22"/>
        </w:rPr>
        <w:t xml:space="preserve">The Project </w:t>
      </w:r>
      <w:r w:rsidR="00C70DEA">
        <w:rPr>
          <w:rFonts w:cs="Calibri"/>
          <w:szCs w:val="22"/>
        </w:rPr>
        <w:t>Steering Committee</w:t>
      </w:r>
      <w:r w:rsidRPr="004622EC">
        <w:rPr>
          <w:rFonts w:cs="Calibri"/>
          <w:szCs w:val="22"/>
        </w:rPr>
        <w:t xml:space="preserve"> will take corrective action as needed to ensure the project</w:t>
      </w:r>
      <w:r w:rsidR="0093185E" w:rsidRPr="004622EC">
        <w:rPr>
          <w:rFonts w:cs="Calibri"/>
          <w:szCs w:val="22"/>
        </w:rPr>
        <w:t xml:space="preserve"> achieves the desired results. </w:t>
      </w:r>
      <w:r w:rsidRPr="004622EC">
        <w:rPr>
          <w:rFonts w:cs="Calibri"/>
          <w:szCs w:val="22"/>
        </w:rPr>
        <w:t xml:space="preserve">The </w:t>
      </w:r>
      <w:r w:rsidR="00C70DEA" w:rsidRPr="00454509">
        <w:rPr>
          <w:rFonts w:cs="Calibri"/>
          <w:szCs w:val="22"/>
        </w:rPr>
        <w:t xml:space="preserve">Project </w:t>
      </w:r>
      <w:r w:rsidR="00C70DEA">
        <w:rPr>
          <w:rFonts w:cs="Calibri"/>
          <w:szCs w:val="22"/>
        </w:rPr>
        <w:t>Steering Committee</w:t>
      </w:r>
      <w:r w:rsidR="00C70DEA" w:rsidRPr="00454509">
        <w:rPr>
          <w:rFonts w:cs="Calibri"/>
          <w:szCs w:val="22"/>
        </w:rPr>
        <w:t xml:space="preserve"> </w:t>
      </w:r>
      <w:r w:rsidRPr="004622EC">
        <w:rPr>
          <w:rFonts w:cs="Calibri"/>
          <w:szCs w:val="22"/>
        </w:rPr>
        <w:t xml:space="preserve">will </w:t>
      </w:r>
      <w:r w:rsidR="008253E8" w:rsidRPr="004622EC">
        <w:rPr>
          <w:rFonts w:cs="Calibri"/>
          <w:szCs w:val="22"/>
        </w:rPr>
        <w:t>hold project reviews to assess the performance of the project and appraise the Annual Work Plan for the following year</w:t>
      </w:r>
      <w:r w:rsidR="0093185E" w:rsidRPr="004622EC">
        <w:rPr>
          <w:rFonts w:cs="Calibri"/>
          <w:szCs w:val="22"/>
        </w:rPr>
        <w:t xml:space="preserve">. </w:t>
      </w:r>
      <w:r w:rsidR="008253E8" w:rsidRPr="004622EC">
        <w:rPr>
          <w:rFonts w:cs="Calibri"/>
          <w:szCs w:val="22"/>
        </w:rPr>
        <w:t xml:space="preserve">In the project’s final year, the </w:t>
      </w:r>
      <w:r w:rsidR="00C70DEA" w:rsidRPr="00454509">
        <w:rPr>
          <w:rFonts w:cs="Calibri"/>
          <w:szCs w:val="22"/>
        </w:rPr>
        <w:t xml:space="preserve">Project </w:t>
      </w:r>
      <w:r w:rsidR="00C70DEA">
        <w:rPr>
          <w:rFonts w:cs="Calibri"/>
          <w:szCs w:val="22"/>
        </w:rPr>
        <w:t>Steering Committee</w:t>
      </w:r>
      <w:r w:rsidR="00C70DEA" w:rsidRPr="00454509">
        <w:rPr>
          <w:rFonts w:cs="Calibri"/>
          <w:szCs w:val="22"/>
        </w:rPr>
        <w:t xml:space="preserve"> </w:t>
      </w:r>
      <w:r w:rsidR="0093185E" w:rsidRPr="004622EC">
        <w:rPr>
          <w:rFonts w:cs="Calibri"/>
          <w:szCs w:val="22"/>
        </w:rPr>
        <w:t>will</w:t>
      </w:r>
      <w:r w:rsidR="008253E8" w:rsidRPr="004622EC">
        <w:rPr>
          <w:rFonts w:cs="Calibri"/>
          <w:szCs w:val="22"/>
        </w:rPr>
        <w:t xml:space="preserve"> hold an end-of-project review to capture lessons learned and di</w:t>
      </w:r>
      <w:r w:rsidR="004622EC">
        <w:rPr>
          <w:rFonts w:cs="Calibri"/>
          <w:szCs w:val="22"/>
        </w:rPr>
        <w:t>scuss opportunities for scaling-</w:t>
      </w:r>
      <w:r w:rsidR="008253E8" w:rsidRPr="004622EC">
        <w:rPr>
          <w:rFonts w:cs="Calibri"/>
          <w:szCs w:val="22"/>
        </w:rPr>
        <w:t xml:space="preserve">up and to </w:t>
      </w:r>
      <w:r w:rsidR="00E336E5" w:rsidRPr="004622EC">
        <w:rPr>
          <w:rFonts w:cs="Calibri"/>
          <w:szCs w:val="22"/>
        </w:rPr>
        <w:t xml:space="preserve">highlight </w:t>
      </w:r>
      <w:r w:rsidR="008253E8" w:rsidRPr="004622EC">
        <w:rPr>
          <w:rFonts w:cs="Calibri"/>
          <w:szCs w:val="22"/>
        </w:rPr>
        <w:t xml:space="preserve">project results and lessons learned with relevant audiences. This final review </w:t>
      </w:r>
      <w:r w:rsidR="0093185E" w:rsidRPr="004622EC">
        <w:rPr>
          <w:rFonts w:cs="Calibri"/>
          <w:szCs w:val="22"/>
        </w:rPr>
        <w:t xml:space="preserve">meeting will also </w:t>
      </w:r>
      <w:r w:rsidR="008253E8" w:rsidRPr="004622EC">
        <w:rPr>
          <w:rFonts w:cs="Calibri"/>
          <w:szCs w:val="22"/>
        </w:rPr>
        <w:t xml:space="preserve">discuss the </w:t>
      </w:r>
      <w:r w:rsidR="0093185E" w:rsidRPr="004622EC">
        <w:rPr>
          <w:rFonts w:cs="Calibri"/>
          <w:szCs w:val="22"/>
        </w:rPr>
        <w:t xml:space="preserve">findings outlined in the project </w:t>
      </w:r>
      <w:r w:rsidR="008253E8" w:rsidRPr="004622EC">
        <w:rPr>
          <w:rFonts w:cs="Calibri"/>
          <w:szCs w:val="22"/>
        </w:rPr>
        <w:t xml:space="preserve">terminal evaluation </w:t>
      </w:r>
      <w:r w:rsidR="0093185E" w:rsidRPr="004622EC">
        <w:rPr>
          <w:rFonts w:cs="Calibri"/>
          <w:szCs w:val="22"/>
        </w:rPr>
        <w:t xml:space="preserve">report </w:t>
      </w:r>
      <w:r w:rsidR="008253E8" w:rsidRPr="004622EC">
        <w:rPr>
          <w:rFonts w:cs="Calibri"/>
          <w:szCs w:val="22"/>
        </w:rPr>
        <w:t>and the management response.</w:t>
      </w:r>
    </w:p>
    <w:p w14:paraId="6176B18C" w14:textId="77777777" w:rsidR="00812001" w:rsidRPr="004622EC" w:rsidRDefault="008253E8" w:rsidP="0020322F">
      <w:pPr>
        <w:pStyle w:val="a7"/>
        <w:numPr>
          <w:ilvl w:val="0"/>
          <w:numId w:val="9"/>
        </w:numPr>
        <w:tabs>
          <w:tab w:val="clear" w:pos="4153"/>
          <w:tab w:val="clear" w:pos="8306"/>
          <w:tab w:val="left" w:pos="426"/>
        </w:tabs>
        <w:spacing w:after="120"/>
        <w:rPr>
          <w:rFonts w:cs="Calibri"/>
          <w:szCs w:val="22"/>
        </w:rPr>
      </w:pPr>
      <w:r w:rsidRPr="004622EC">
        <w:rPr>
          <w:rFonts w:cs="Calibri"/>
          <w:b/>
          <w:szCs w:val="22"/>
        </w:rPr>
        <w:t xml:space="preserve">Project </w:t>
      </w:r>
      <w:r w:rsidR="00812001" w:rsidRPr="004622EC">
        <w:rPr>
          <w:rFonts w:cs="Calibri"/>
          <w:b/>
          <w:szCs w:val="22"/>
        </w:rPr>
        <w:t>Implementing Partner:</w:t>
      </w:r>
      <w:r w:rsidR="00812001" w:rsidRPr="004622EC">
        <w:rPr>
          <w:rFonts w:cs="Calibri"/>
          <w:szCs w:val="22"/>
        </w:rPr>
        <w:t xml:space="preserve"> The Implementing Partner is responsible for providing any and all required information and data necessary for timely</w:t>
      </w:r>
      <w:r w:rsidR="004440C2" w:rsidRPr="004622EC">
        <w:rPr>
          <w:rFonts w:cs="Calibri"/>
          <w:szCs w:val="22"/>
        </w:rPr>
        <w:t xml:space="preserve">, </w:t>
      </w:r>
      <w:r w:rsidR="00812001" w:rsidRPr="004622EC">
        <w:rPr>
          <w:rFonts w:cs="Calibri"/>
          <w:szCs w:val="22"/>
        </w:rPr>
        <w:t xml:space="preserve">comprehensive </w:t>
      </w:r>
      <w:r w:rsidR="004440C2" w:rsidRPr="004622EC">
        <w:rPr>
          <w:rFonts w:cs="Calibri"/>
          <w:szCs w:val="22"/>
        </w:rPr>
        <w:t xml:space="preserve">and evidence-based </w:t>
      </w:r>
      <w:r w:rsidR="00812001" w:rsidRPr="004622EC">
        <w:rPr>
          <w:rFonts w:cs="Calibri"/>
          <w:szCs w:val="22"/>
        </w:rPr>
        <w:t>project reporting, including results and financial data, as necessary and appropriate.</w:t>
      </w:r>
      <w:r w:rsidR="0093185E" w:rsidRPr="004622EC">
        <w:rPr>
          <w:rFonts w:cs="Calibri"/>
          <w:szCs w:val="22"/>
        </w:rPr>
        <w:t xml:space="preserve"> The Implementing Partner will strive to ensure project</w:t>
      </w:r>
      <w:r w:rsidR="004440C2" w:rsidRPr="004622EC">
        <w:rPr>
          <w:rFonts w:cs="Calibri"/>
          <w:szCs w:val="22"/>
        </w:rPr>
        <w:t>-</w:t>
      </w:r>
      <w:r w:rsidR="0093185E" w:rsidRPr="004622EC">
        <w:rPr>
          <w:rFonts w:cs="Calibri"/>
          <w:szCs w:val="22"/>
        </w:rPr>
        <w:t>level M&amp;E is undertaken by</w:t>
      </w:r>
      <w:r w:rsidR="004440C2" w:rsidRPr="004622EC">
        <w:rPr>
          <w:rFonts w:cs="Calibri"/>
          <w:szCs w:val="22"/>
        </w:rPr>
        <w:t xml:space="preserve"> national institutes, and</w:t>
      </w:r>
      <w:r w:rsidR="0093185E" w:rsidRPr="004622EC">
        <w:rPr>
          <w:rFonts w:cs="Calibri"/>
          <w:szCs w:val="22"/>
        </w:rPr>
        <w:t xml:space="preserve"> </w:t>
      </w:r>
      <w:r w:rsidR="004440C2" w:rsidRPr="004622EC">
        <w:rPr>
          <w:rFonts w:cs="Calibri"/>
          <w:szCs w:val="22"/>
        </w:rPr>
        <w:t xml:space="preserve">is </w:t>
      </w:r>
      <w:r w:rsidR="0093185E" w:rsidRPr="004622EC">
        <w:rPr>
          <w:rFonts w:cs="Calibri"/>
          <w:szCs w:val="22"/>
        </w:rPr>
        <w:t xml:space="preserve">aligned with national systems so that the data used by and generated by the project supports national systems. </w:t>
      </w:r>
    </w:p>
    <w:p w14:paraId="218620F4" w14:textId="77777777" w:rsidR="00AF5DF8" w:rsidRPr="004622EC" w:rsidRDefault="00AF5DF8" w:rsidP="0020322F">
      <w:pPr>
        <w:pStyle w:val="a7"/>
        <w:numPr>
          <w:ilvl w:val="0"/>
          <w:numId w:val="9"/>
        </w:numPr>
        <w:tabs>
          <w:tab w:val="clear" w:pos="4153"/>
          <w:tab w:val="clear" w:pos="8306"/>
          <w:tab w:val="left" w:pos="426"/>
        </w:tabs>
        <w:spacing w:after="120"/>
        <w:rPr>
          <w:rFonts w:cs="Calibri"/>
          <w:szCs w:val="22"/>
        </w:rPr>
      </w:pPr>
      <w:r w:rsidRPr="004622EC">
        <w:rPr>
          <w:rFonts w:cs="Calibri"/>
          <w:b/>
          <w:szCs w:val="22"/>
        </w:rPr>
        <w:t>UNDP Country Office:</w:t>
      </w:r>
      <w:r w:rsidRPr="004622EC">
        <w:rPr>
          <w:rFonts w:cs="Calibri"/>
          <w:szCs w:val="22"/>
        </w:rPr>
        <w:t xml:space="preserve"> </w:t>
      </w:r>
      <w:r w:rsidR="0053408E" w:rsidRPr="004622EC">
        <w:rPr>
          <w:rFonts w:cs="Calibri"/>
          <w:szCs w:val="22"/>
        </w:rPr>
        <w:t>The UNDP Country Office will support the Project Manager as needed, including through annual supervision missions.</w:t>
      </w:r>
      <w:r w:rsidRPr="004622EC">
        <w:rPr>
          <w:rFonts w:cs="Calibri"/>
          <w:szCs w:val="22"/>
        </w:rPr>
        <w:t xml:space="preserve"> </w:t>
      </w:r>
      <w:r w:rsidR="009B2545" w:rsidRPr="004622EC">
        <w:rPr>
          <w:rFonts w:cs="Calibri"/>
          <w:szCs w:val="22"/>
        </w:rPr>
        <w:t xml:space="preserve">The </w:t>
      </w:r>
      <w:r w:rsidR="004440C2" w:rsidRPr="004622EC">
        <w:rPr>
          <w:rFonts w:cs="Calibri"/>
          <w:szCs w:val="22"/>
        </w:rPr>
        <w:t xml:space="preserve">annual </w:t>
      </w:r>
      <w:r w:rsidR="009B2545" w:rsidRPr="004622EC">
        <w:rPr>
          <w:rFonts w:cs="Calibri"/>
          <w:szCs w:val="22"/>
        </w:rPr>
        <w:t>supervision missions will take place according to the schedule out</w:t>
      </w:r>
      <w:r w:rsidR="00FF6D9C" w:rsidRPr="004622EC">
        <w:rPr>
          <w:rFonts w:cs="Calibri"/>
          <w:szCs w:val="22"/>
        </w:rPr>
        <w:t xml:space="preserve">lined in the annual work plan. </w:t>
      </w:r>
      <w:r w:rsidR="009B2545" w:rsidRPr="004622EC">
        <w:rPr>
          <w:rFonts w:cs="Calibri"/>
          <w:szCs w:val="22"/>
        </w:rPr>
        <w:t xml:space="preserve">Supervision mission reports will be circulated to the project team and Project </w:t>
      </w:r>
      <w:r w:rsidR="007A3BCE">
        <w:rPr>
          <w:rFonts w:cs="Calibri"/>
          <w:szCs w:val="22"/>
        </w:rPr>
        <w:t>Steering Committee</w:t>
      </w:r>
      <w:r w:rsidR="009B2545" w:rsidRPr="004622EC">
        <w:rPr>
          <w:rFonts w:cs="Calibri"/>
          <w:szCs w:val="22"/>
        </w:rPr>
        <w:t xml:space="preserve"> wi</w:t>
      </w:r>
      <w:r w:rsidR="00FF6D9C" w:rsidRPr="004622EC">
        <w:rPr>
          <w:rFonts w:cs="Calibri"/>
          <w:szCs w:val="22"/>
        </w:rPr>
        <w:t xml:space="preserve">thin one month of the mission. </w:t>
      </w:r>
      <w:r w:rsidRPr="004622EC">
        <w:rPr>
          <w:rFonts w:cs="Calibri"/>
          <w:szCs w:val="22"/>
        </w:rPr>
        <w:t xml:space="preserve">The UNDP Country Office will initiate and organize key </w:t>
      </w:r>
      <w:r w:rsidR="004440C2" w:rsidRPr="004622EC">
        <w:rPr>
          <w:rFonts w:cs="Calibri"/>
          <w:szCs w:val="22"/>
        </w:rPr>
        <w:t>GEF M&amp;E activities</w:t>
      </w:r>
      <w:r w:rsidRPr="004622EC">
        <w:rPr>
          <w:rFonts w:cs="Calibri"/>
          <w:szCs w:val="22"/>
        </w:rPr>
        <w:t xml:space="preserve"> including the annual </w:t>
      </w:r>
      <w:r w:rsidR="004440C2" w:rsidRPr="004622EC">
        <w:rPr>
          <w:rFonts w:cs="Calibri"/>
          <w:szCs w:val="22"/>
        </w:rPr>
        <w:t xml:space="preserve">GEF </w:t>
      </w:r>
      <w:r w:rsidRPr="004622EC">
        <w:rPr>
          <w:rFonts w:cs="Calibri"/>
          <w:szCs w:val="22"/>
        </w:rPr>
        <w:t xml:space="preserve">PIR, the </w:t>
      </w:r>
      <w:r w:rsidR="00B54BF6" w:rsidRPr="0026636C">
        <w:rPr>
          <w:rFonts w:cs="Calibri"/>
          <w:szCs w:val="22"/>
        </w:rPr>
        <w:t xml:space="preserve">independent </w:t>
      </w:r>
      <w:r w:rsidRPr="0026636C">
        <w:rPr>
          <w:rFonts w:cs="Calibri"/>
          <w:szCs w:val="22"/>
        </w:rPr>
        <w:t>mid-term review</w:t>
      </w:r>
      <w:r w:rsidRPr="004622EC">
        <w:rPr>
          <w:rFonts w:cs="Calibri"/>
          <w:szCs w:val="22"/>
        </w:rPr>
        <w:t xml:space="preserve"> and the</w:t>
      </w:r>
      <w:r w:rsidR="00B54BF6" w:rsidRPr="004622EC">
        <w:rPr>
          <w:rFonts w:cs="Calibri"/>
          <w:szCs w:val="22"/>
        </w:rPr>
        <w:t xml:space="preserve"> independent</w:t>
      </w:r>
      <w:r w:rsidRPr="004622EC">
        <w:rPr>
          <w:rFonts w:cs="Calibri"/>
          <w:szCs w:val="22"/>
        </w:rPr>
        <w:t xml:space="preserve"> terminal evaluation.</w:t>
      </w:r>
      <w:r w:rsidR="00B54BF6" w:rsidRPr="004622EC">
        <w:rPr>
          <w:rFonts w:cs="Calibri"/>
          <w:szCs w:val="22"/>
        </w:rPr>
        <w:t xml:space="preserve"> The UNDP Country Office will also ensure that the standard UNDP and GEF M&amp;E requirements are fulfilled to the highest quality. </w:t>
      </w:r>
    </w:p>
    <w:p w14:paraId="31AAE2FE" w14:textId="77777777" w:rsidR="00B27C54" w:rsidRPr="004622EC" w:rsidRDefault="0053408E" w:rsidP="0020322F">
      <w:pPr>
        <w:pStyle w:val="a7"/>
        <w:numPr>
          <w:ilvl w:val="0"/>
          <w:numId w:val="9"/>
        </w:numPr>
        <w:tabs>
          <w:tab w:val="clear" w:pos="4153"/>
          <w:tab w:val="clear" w:pos="8306"/>
          <w:tab w:val="left" w:pos="426"/>
        </w:tabs>
        <w:spacing w:after="120"/>
        <w:rPr>
          <w:rFonts w:cs="Calibri"/>
          <w:szCs w:val="22"/>
        </w:rPr>
      </w:pPr>
      <w:r w:rsidRPr="004622EC">
        <w:rPr>
          <w:rFonts w:cs="Calibri"/>
          <w:szCs w:val="22"/>
        </w:rPr>
        <w:t xml:space="preserve">The UNDP Country Office is responsible for complying with all UNDP project-level M&amp;E requirements as outlined in the </w:t>
      </w:r>
      <w:hyperlink r:id="rId33" w:history="1">
        <w:r w:rsidRPr="004622EC">
          <w:rPr>
            <w:rStyle w:val="ae"/>
            <w:rFonts w:cs="Calibri"/>
            <w:szCs w:val="22"/>
          </w:rPr>
          <w:t>UNDP POPP</w:t>
        </w:r>
      </w:hyperlink>
      <w:r w:rsidRPr="004622EC">
        <w:rPr>
          <w:rStyle w:val="ae"/>
          <w:rFonts w:cs="Calibri"/>
          <w:szCs w:val="22"/>
        </w:rPr>
        <w:t>.</w:t>
      </w:r>
      <w:r w:rsidRPr="004622EC">
        <w:rPr>
          <w:rStyle w:val="ae"/>
          <w:rFonts w:cs="Calibri"/>
          <w:szCs w:val="22"/>
          <w:u w:val="none"/>
        </w:rPr>
        <w:t xml:space="preserve"> </w:t>
      </w:r>
      <w:r w:rsidRPr="004622EC">
        <w:rPr>
          <w:rStyle w:val="ae"/>
          <w:rFonts w:cs="Calibri"/>
          <w:color w:val="auto"/>
          <w:szCs w:val="22"/>
          <w:u w:val="none"/>
        </w:rPr>
        <w:t xml:space="preserve">This includes ensuring the UNDP Quality Assurance Assessment during implementation is undertaken annually; that annual targets at the output level are developed, and monitored and reported using UNDP corporate systems; </w:t>
      </w:r>
      <w:r w:rsidR="004440C2" w:rsidRPr="004622EC">
        <w:rPr>
          <w:rStyle w:val="ae"/>
          <w:rFonts w:cs="Calibri"/>
          <w:color w:val="auto"/>
          <w:szCs w:val="22"/>
          <w:u w:val="none"/>
        </w:rPr>
        <w:t xml:space="preserve">the regular updating of the ATLAS risk log; </w:t>
      </w:r>
      <w:r w:rsidRPr="004622EC">
        <w:rPr>
          <w:rStyle w:val="ae"/>
          <w:rFonts w:cs="Calibri"/>
          <w:color w:val="auto"/>
          <w:szCs w:val="22"/>
          <w:u w:val="none"/>
        </w:rPr>
        <w:t xml:space="preserve">and, </w:t>
      </w:r>
      <w:r w:rsidR="004440C2" w:rsidRPr="004622EC">
        <w:rPr>
          <w:rStyle w:val="ae"/>
          <w:rFonts w:cs="Calibri"/>
          <w:color w:val="auto"/>
          <w:szCs w:val="22"/>
          <w:u w:val="none"/>
        </w:rPr>
        <w:t xml:space="preserve">the </w:t>
      </w:r>
      <w:r w:rsidR="00647AD9" w:rsidRPr="004622EC">
        <w:rPr>
          <w:rStyle w:val="ae"/>
          <w:rFonts w:cs="Calibri"/>
          <w:color w:val="auto"/>
          <w:szCs w:val="22"/>
          <w:u w:val="none"/>
        </w:rPr>
        <w:t xml:space="preserve">updating </w:t>
      </w:r>
      <w:r w:rsidR="004440C2" w:rsidRPr="004622EC">
        <w:rPr>
          <w:rStyle w:val="ae"/>
          <w:rFonts w:cs="Calibri"/>
          <w:color w:val="auto"/>
          <w:szCs w:val="22"/>
          <w:u w:val="none"/>
        </w:rPr>
        <w:t xml:space="preserve">of </w:t>
      </w:r>
      <w:r w:rsidR="00647AD9" w:rsidRPr="004622EC">
        <w:rPr>
          <w:rStyle w:val="ae"/>
          <w:rFonts w:cs="Calibri"/>
          <w:color w:val="auto"/>
          <w:szCs w:val="22"/>
          <w:u w:val="none"/>
        </w:rPr>
        <w:t xml:space="preserve">the UNDP </w:t>
      </w:r>
      <w:r w:rsidRPr="004622EC">
        <w:rPr>
          <w:rStyle w:val="ae"/>
          <w:rFonts w:cs="Calibri"/>
          <w:color w:val="auto"/>
          <w:szCs w:val="22"/>
          <w:u w:val="none"/>
        </w:rPr>
        <w:t xml:space="preserve">gender marker </w:t>
      </w:r>
      <w:r w:rsidR="00647AD9" w:rsidRPr="004622EC">
        <w:rPr>
          <w:rStyle w:val="ae"/>
          <w:rFonts w:cs="Calibri"/>
          <w:color w:val="auto"/>
          <w:szCs w:val="22"/>
          <w:u w:val="none"/>
        </w:rPr>
        <w:t xml:space="preserve">on an annual basis </w:t>
      </w:r>
      <w:r w:rsidRPr="004622EC">
        <w:rPr>
          <w:rStyle w:val="ae"/>
          <w:rFonts w:cs="Calibri"/>
          <w:color w:val="auto"/>
          <w:szCs w:val="22"/>
          <w:u w:val="none"/>
        </w:rPr>
        <w:t xml:space="preserve">based on </w:t>
      </w:r>
      <w:r w:rsidR="004440C2" w:rsidRPr="004622EC">
        <w:rPr>
          <w:rStyle w:val="ae"/>
          <w:rFonts w:cs="Calibri"/>
          <w:color w:val="auto"/>
          <w:szCs w:val="22"/>
          <w:u w:val="none"/>
        </w:rPr>
        <w:t xml:space="preserve">gender mainstreaming </w:t>
      </w:r>
      <w:r w:rsidR="000A20A2" w:rsidRPr="004622EC">
        <w:rPr>
          <w:rStyle w:val="ae"/>
          <w:rFonts w:cs="Calibri"/>
          <w:color w:val="auto"/>
          <w:szCs w:val="22"/>
          <w:u w:val="none"/>
        </w:rPr>
        <w:t xml:space="preserve">progress reported in the </w:t>
      </w:r>
      <w:r w:rsidR="00647AD9" w:rsidRPr="004622EC">
        <w:rPr>
          <w:rStyle w:val="ae"/>
          <w:rFonts w:cs="Calibri"/>
          <w:color w:val="auto"/>
          <w:szCs w:val="22"/>
          <w:u w:val="none"/>
        </w:rPr>
        <w:t xml:space="preserve">GEF </w:t>
      </w:r>
      <w:r w:rsidRPr="004622EC">
        <w:rPr>
          <w:rStyle w:val="ae"/>
          <w:rFonts w:cs="Calibri"/>
          <w:color w:val="auto"/>
          <w:szCs w:val="22"/>
          <w:u w:val="none"/>
        </w:rPr>
        <w:t xml:space="preserve">PIR and </w:t>
      </w:r>
      <w:r w:rsidR="004440C2" w:rsidRPr="004622EC">
        <w:rPr>
          <w:rStyle w:val="ae"/>
          <w:rFonts w:cs="Calibri"/>
          <w:color w:val="auto"/>
          <w:szCs w:val="22"/>
          <w:u w:val="none"/>
        </w:rPr>
        <w:t xml:space="preserve">the </w:t>
      </w:r>
      <w:r w:rsidR="00647AD9" w:rsidRPr="004622EC">
        <w:rPr>
          <w:rStyle w:val="ae"/>
          <w:rFonts w:cs="Calibri"/>
          <w:color w:val="auto"/>
          <w:szCs w:val="22"/>
          <w:u w:val="none"/>
        </w:rPr>
        <w:t xml:space="preserve">UNDP </w:t>
      </w:r>
      <w:r w:rsidR="00FF6D9C" w:rsidRPr="004622EC">
        <w:rPr>
          <w:rStyle w:val="ae"/>
          <w:rFonts w:cs="Calibri"/>
          <w:color w:val="auto"/>
          <w:szCs w:val="22"/>
          <w:u w:val="none"/>
        </w:rPr>
        <w:t xml:space="preserve">ROAR. </w:t>
      </w:r>
      <w:r w:rsidRPr="004622EC">
        <w:rPr>
          <w:rStyle w:val="ae"/>
          <w:rFonts w:cs="Calibri"/>
          <w:color w:val="auto"/>
          <w:szCs w:val="22"/>
          <w:u w:val="none"/>
        </w:rPr>
        <w:t xml:space="preserve">Any quality concerns flagged </w:t>
      </w:r>
      <w:r w:rsidR="004440C2" w:rsidRPr="004622EC">
        <w:rPr>
          <w:rStyle w:val="ae"/>
          <w:rFonts w:cs="Calibri"/>
          <w:color w:val="auto"/>
          <w:szCs w:val="22"/>
          <w:u w:val="none"/>
        </w:rPr>
        <w:t xml:space="preserve">during these M&amp;E activities (e.g. annual GEF PIR quality assessment ratings) </w:t>
      </w:r>
      <w:r w:rsidRPr="004622EC">
        <w:rPr>
          <w:rStyle w:val="ae"/>
          <w:rFonts w:cs="Calibri"/>
          <w:color w:val="auto"/>
          <w:szCs w:val="22"/>
          <w:u w:val="none"/>
        </w:rPr>
        <w:t xml:space="preserve">must be addressed by </w:t>
      </w:r>
      <w:r w:rsidR="004440C2" w:rsidRPr="004622EC">
        <w:rPr>
          <w:rStyle w:val="ae"/>
          <w:rFonts w:cs="Calibri"/>
          <w:color w:val="auto"/>
          <w:szCs w:val="22"/>
          <w:u w:val="none"/>
        </w:rPr>
        <w:t>the UNDP Country Office and the Project Manager</w:t>
      </w:r>
      <w:r w:rsidRPr="004622EC">
        <w:rPr>
          <w:rStyle w:val="ae"/>
          <w:rFonts w:cs="Calibri"/>
          <w:color w:val="auto"/>
          <w:szCs w:val="22"/>
          <w:u w:val="none"/>
        </w:rPr>
        <w:t xml:space="preserve">. </w:t>
      </w:r>
    </w:p>
    <w:p w14:paraId="03D30684" w14:textId="77777777" w:rsidR="00AF5DF8" w:rsidRPr="004622EC" w:rsidRDefault="00AF5DF8" w:rsidP="0020322F">
      <w:pPr>
        <w:pStyle w:val="a7"/>
        <w:numPr>
          <w:ilvl w:val="0"/>
          <w:numId w:val="9"/>
        </w:numPr>
        <w:tabs>
          <w:tab w:val="clear" w:pos="4153"/>
          <w:tab w:val="clear" w:pos="8306"/>
          <w:tab w:val="left" w:pos="426"/>
        </w:tabs>
        <w:spacing w:after="120"/>
        <w:rPr>
          <w:rFonts w:cs="Calibri"/>
          <w:szCs w:val="22"/>
        </w:rPr>
      </w:pPr>
      <w:r w:rsidRPr="004622EC">
        <w:rPr>
          <w:rFonts w:cs="Calibri"/>
          <w:szCs w:val="22"/>
        </w:rPr>
        <w:t>The UNDP Country Office will retain all M&amp;E records for this project for up to seven years after project financial closure in order to support ex-post evaluations undertaken by the UNDP Independent Evaluation Office</w:t>
      </w:r>
      <w:r w:rsidR="004440C2" w:rsidRPr="004622EC">
        <w:rPr>
          <w:rFonts w:cs="Calibri"/>
          <w:szCs w:val="22"/>
        </w:rPr>
        <w:t xml:space="preserve"> (IEO)</w:t>
      </w:r>
      <w:r w:rsidRPr="004622EC">
        <w:rPr>
          <w:rFonts w:cs="Calibri"/>
          <w:szCs w:val="22"/>
        </w:rPr>
        <w:t xml:space="preserve"> and/or the GEF </w:t>
      </w:r>
      <w:r w:rsidR="00C24F2A" w:rsidRPr="004622EC">
        <w:rPr>
          <w:rFonts w:cs="Calibri"/>
          <w:szCs w:val="22"/>
        </w:rPr>
        <w:t>IEO</w:t>
      </w:r>
      <w:r w:rsidRPr="004622EC">
        <w:rPr>
          <w:rFonts w:cs="Calibri"/>
          <w:szCs w:val="22"/>
        </w:rPr>
        <w:t>.</w:t>
      </w:r>
    </w:p>
    <w:p w14:paraId="51AD9A11" w14:textId="77777777" w:rsidR="0053408E" w:rsidRPr="004622EC" w:rsidRDefault="00AF5DF8" w:rsidP="0020322F">
      <w:pPr>
        <w:pStyle w:val="a7"/>
        <w:numPr>
          <w:ilvl w:val="0"/>
          <w:numId w:val="9"/>
        </w:numPr>
        <w:tabs>
          <w:tab w:val="clear" w:pos="4153"/>
          <w:tab w:val="clear" w:pos="8306"/>
          <w:tab w:val="left" w:pos="426"/>
        </w:tabs>
        <w:spacing w:after="120"/>
        <w:rPr>
          <w:rFonts w:cs="Calibri"/>
          <w:szCs w:val="22"/>
        </w:rPr>
      </w:pPr>
      <w:r w:rsidRPr="004622EC">
        <w:rPr>
          <w:rFonts w:cs="Calibri"/>
          <w:b/>
          <w:szCs w:val="22"/>
        </w:rPr>
        <w:t>UNDP-GEF Unit:</w:t>
      </w:r>
      <w:r w:rsidRPr="004622EC">
        <w:rPr>
          <w:rFonts w:cs="Calibri"/>
          <w:szCs w:val="22"/>
        </w:rPr>
        <w:t xml:space="preserve"> </w:t>
      </w:r>
      <w:r w:rsidR="0053408E" w:rsidRPr="004622EC">
        <w:rPr>
          <w:rFonts w:cs="Calibri"/>
          <w:szCs w:val="22"/>
        </w:rPr>
        <w:t>Additional M&amp;E</w:t>
      </w:r>
      <w:r w:rsidR="0071230D">
        <w:rPr>
          <w:rFonts w:cs="Calibri"/>
          <w:szCs w:val="22"/>
        </w:rPr>
        <w:t xml:space="preserve"> and</w:t>
      </w:r>
      <w:r w:rsidR="00C70DEA">
        <w:rPr>
          <w:rFonts w:cs="Calibri"/>
          <w:szCs w:val="22"/>
        </w:rPr>
        <w:t xml:space="preserve"> </w:t>
      </w:r>
      <w:r w:rsidR="0053408E" w:rsidRPr="004622EC">
        <w:rPr>
          <w:rFonts w:cs="Calibri"/>
          <w:szCs w:val="22"/>
        </w:rPr>
        <w:t xml:space="preserve">implementation quality assurance and troubleshooting support will be </w:t>
      </w:r>
      <w:r w:rsidR="00FC195B" w:rsidRPr="004622EC">
        <w:rPr>
          <w:rFonts w:cs="Calibri"/>
          <w:szCs w:val="22"/>
        </w:rPr>
        <w:t>p</w:t>
      </w:r>
      <w:r w:rsidR="0053408E" w:rsidRPr="004622EC">
        <w:rPr>
          <w:rFonts w:cs="Calibri"/>
          <w:szCs w:val="22"/>
        </w:rPr>
        <w:t xml:space="preserve">rovided by the UNDP-GEF Regional Technical Advisor and the UNDP-GEF </w:t>
      </w:r>
      <w:r w:rsidR="00043A4B" w:rsidRPr="004622EC">
        <w:rPr>
          <w:rFonts w:cs="Calibri"/>
          <w:szCs w:val="22"/>
        </w:rPr>
        <w:t>Directorate</w:t>
      </w:r>
      <w:r w:rsidR="0053408E" w:rsidRPr="004622EC">
        <w:rPr>
          <w:rFonts w:cs="Calibri"/>
          <w:szCs w:val="22"/>
        </w:rPr>
        <w:t xml:space="preserve"> as needed.</w:t>
      </w:r>
    </w:p>
    <w:p w14:paraId="0BFC6D26" w14:textId="77777777" w:rsidR="004E7826" w:rsidRPr="004622EC" w:rsidRDefault="004E7826" w:rsidP="0020322F">
      <w:pPr>
        <w:pStyle w:val="a7"/>
        <w:numPr>
          <w:ilvl w:val="0"/>
          <w:numId w:val="9"/>
        </w:numPr>
        <w:tabs>
          <w:tab w:val="clear" w:pos="4153"/>
          <w:tab w:val="clear" w:pos="8306"/>
          <w:tab w:val="left" w:pos="426"/>
        </w:tabs>
        <w:spacing w:after="120"/>
        <w:rPr>
          <w:rFonts w:cs="Calibri"/>
          <w:szCs w:val="22"/>
        </w:rPr>
      </w:pPr>
      <w:r w:rsidRPr="004622EC">
        <w:rPr>
          <w:rFonts w:cs="Calibri"/>
          <w:b/>
          <w:szCs w:val="22"/>
        </w:rPr>
        <w:t>Audit:</w:t>
      </w:r>
      <w:r w:rsidRPr="004622EC">
        <w:rPr>
          <w:rFonts w:cs="Calibri"/>
          <w:szCs w:val="22"/>
        </w:rPr>
        <w:t xml:space="preserve"> The project will be audited according to UNDP Financial Regulations and Rules and applicable audit policies on NIM implemented projects</w:t>
      </w:r>
      <w:r w:rsidR="004440C2" w:rsidRPr="004622EC">
        <w:rPr>
          <w:rFonts w:cs="Calibri"/>
          <w:szCs w:val="22"/>
        </w:rPr>
        <w:t>.</w:t>
      </w:r>
      <w:r w:rsidR="004440C2" w:rsidRPr="004622EC">
        <w:rPr>
          <w:rStyle w:val="afa"/>
          <w:rFonts w:ascii="Calibri" w:hAnsi="Calibri"/>
          <w:sz w:val="22"/>
          <w:szCs w:val="22"/>
        </w:rPr>
        <w:footnoteReference w:id="14"/>
      </w:r>
    </w:p>
    <w:p w14:paraId="6DF3FEA7" w14:textId="77777777" w:rsidR="0053408E" w:rsidRPr="004622EC" w:rsidRDefault="0053408E" w:rsidP="0020322F">
      <w:pPr>
        <w:pStyle w:val="a7"/>
        <w:numPr>
          <w:ilvl w:val="0"/>
          <w:numId w:val="9"/>
        </w:numPr>
        <w:tabs>
          <w:tab w:val="clear" w:pos="4153"/>
          <w:tab w:val="clear" w:pos="8306"/>
          <w:tab w:val="left" w:pos="426"/>
        </w:tabs>
        <w:spacing w:after="120"/>
        <w:rPr>
          <w:rFonts w:cs="Calibri"/>
          <w:szCs w:val="22"/>
        </w:rPr>
      </w:pPr>
      <w:r w:rsidRPr="004622EC">
        <w:rPr>
          <w:rFonts w:cs="Calibri"/>
          <w:b/>
          <w:szCs w:val="22"/>
        </w:rPr>
        <w:t>Additional GEF monitoring and reporting requirements:</w:t>
      </w:r>
    </w:p>
    <w:p w14:paraId="447D412E" w14:textId="77777777" w:rsidR="004440C2" w:rsidRPr="004622EC" w:rsidRDefault="0053408E" w:rsidP="0020322F">
      <w:pPr>
        <w:numPr>
          <w:ilvl w:val="0"/>
          <w:numId w:val="10"/>
        </w:numPr>
        <w:spacing w:after="120"/>
        <w:rPr>
          <w:rFonts w:cs="Calibri"/>
          <w:szCs w:val="22"/>
        </w:rPr>
      </w:pPr>
      <w:r w:rsidRPr="004622EC">
        <w:rPr>
          <w:rFonts w:cs="Calibri"/>
          <w:b/>
          <w:szCs w:val="22"/>
        </w:rPr>
        <w:t>Inception Workshop</w:t>
      </w:r>
      <w:r w:rsidR="005A5CD9" w:rsidRPr="004622EC">
        <w:rPr>
          <w:rFonts w:cs="Calibri"/>
          <w:b/>
          <w:szCs w:val="22"/>
        </w:rPr>
        <w:t xml:space="preserve"> and Report</w:t>
      </w:r>
      <w:r w:rsidRPr="004622EC">
        <w:rPr>
          <w:rFonts w:cs="Calibri"/>
          <w:b/>
          <w:szCs w:val="22"/>
        </w:rPr>
        <w:t>:</w:t>
      </w:r>
      <w:r w:rsidRPr="004622EC">
        <w:rPr>
          <w:rFonts w:cs="Calibri"/>
          <w:szCs w:val="22"/>
        </w:rPr>
        <w:t xml:space="preserve"> A project inception workshop will be held </w:t>
      </w:r>
      <w:r w:rsidR="00CE2AA6" w:rsidRPr="004622EC">
        <w:rPr>
          <w:rFonts w:cs="Calibri"/>
          <w:szCs w:val="22"/>
        </w:rPr>
        <w:t xml:space="preserve">within two months </w:t>
      </w:r>
      <w:r w:rsidRPr="004622EC">
        <w:rPr>
          <w:rFonts w:cs="Calibri"/>
          <w:szCs w:val="22"/>
        </w:rPr>
        <w:t>after the project document has been signed by all relevant parties to</w:t>
      </w:r>
      <w:r w:rsidR="004440C2" w:rsidRPr="004622EC">
        <w:rPr>
          <w:rFonts w:cs="Calibri"/>
          <w:szCs w:val="22"/>
        </w:rPr>
        <w:t>, among others</w:t>
      </w:r>
      <w:r w:rsidRPr="004622EC">
        <w:rPr>
          <w:rFonts w:cs="Calibri"/>
          <w:szCs w:val="22"/>
        </w:rPr>
        <w:t>:</w:t>
      </w:r>
    </w:p>
    <w:p w14:paraId="143A6CF0" w14:textId="77777777" w:rsidR="004440C2" w:rsidRPr="006E404E" w:rsidRDefault="004440C2" w:rsidP="0020322F">
      <w:pPr>
        <w:pStyle w:val="Normalbullets"/>
        <w:numPr>
          <w:ilvl w:val="0"/>
          <w:numId w:val="49"/>
        </w:numPr>
        <w:contextualSpacing/>
        <w:rPr>
          <w:rFonts w:cs="Arial"/>
          <w:szCs w:val="22"/>
          <w:lang w:eastAsia="ko-KR"/>
        </w:rPr>
      </w:pPr>
      <w:r w:rsidRPr="006E404E">
        <w:rPr>
          <w:rFonts w:cs="Arial"/>
          <w:szCs w:val="22"/>
          <w:lang w:eastAsia="ko-KR"/>
        </w:rPr>
        <w:t>R</w:t>
      </w:r>
      <w:r w:rsidR="0053408E" w:rsidRPr="006E404E">
        <w:rPr>
          <w:rFonts w:cs="Arial"/>
          <w:szCs w:val="22"/>
          <w:lang w:eastAsia="ko-KR"/>
        </w:rPr>
        <w:t xml:space="preserve">e-orient project stakeholders to the project strategy and discuss any changes in the overall context that influence project implementation; </w:t>
      </w:r>
    </w:p>
    <w:p w14:paraId="2071E3E5" w14:textId="77777777" w:rsidR="004440C2" w:rsidRPr="006E404E" w:rsidRDefault="004440C2" w:rsidP="0020322F">
      <w:pPr>
        <w:pStyle w:val="Normalbullets"/>
        <w:numPr>
          <w:ilvl w:val="0"/>
          <w:numId w:val="49"/>
        </w:numPr>
        <w:contextualSpacing/>
        <w:rPr>
          <w:rFonts w:cs="Arial"/>
          <w:szCs w:val="22"/>
          <w:lang w:eastAsia="ko-KR"/>
        </w:rPr>
      </w:pPr>
      <w:r w:rsidRPr="006E404E">
        <w:rPr>
          <w:rFonts w:cs="Arial"/>
          <w:szCs w:val="22"/>
          <w:lang w:eastAsia="ko-KR"/>
        </w:rPr>
        <w:t>D</w:t>
      </w:r>
      <w:r w:rsidR="0053408E" w:rsidRPr="006E404E">
        <w:rPr>
          <w:rFonts w:cs="Arial"/>
          <w:szCs w:val="22"/>
          <w:lang w:eastAsia="ko-KR"/>
        </w:rPr>
        <w:t xml:space="preserve">iscuss the roles and responsibilities of the project team, including reporting and communication lines and conflict resolution mechanisms; </w:t>
      </w:r>
    </w:p>
    <w:p w14:paraId="4C407E37" w14:textId="77777777" w:rsidR="004440C2" w:rsidRPr="006E404E" w:rsidRDefault="004440C2" w:rsidP="0020322F">
      <w:pPr>
        <w:pStyle w:val="Normalbullets"/>
        <w:numPr>
          <w:ilvl w:val="0"/>
          <w:numId w:val="49"/>
        </w:numPr>
        <w:contextualSpacing/>
        <w:rPr>
          <w:rFonts w:cs="Arial"/>
          <w:szCs w:val="22"/>
          <w:lang w:eastAsia="ko-KR"/>
        </w:rPr>
      </w:pPr>
      <w:r w:rsidRPr="006E404E">
        <w:rPr>
          <w:rFonts w:cs="Arial"/>
          <w:szCs w:val="22"/>
          <w:lang w:eastAsia="ko-KR"/>
        </w:rPr>
        <w:t>R</w:t>
      </w:r>
      <w:r w:rsidR="0053408E" w:rsidRPr="006E404E">
        <w:rPr>
          <w:rFonts w:cs="Arial"/>
          <w:szCs w:val="22"/>
          <w:lang w:eastAsia="ko-KR"/>
        </w:rPr>
        <w:t>eview the results framework and</w:t>
      </w:r>
      <w:r w:rsidR="00CE2AA6" w:rsidRPr="006E404E">
        <w:rPr>
          <w:rFonts w:cs="Arial"/>
          <w:szCs w:val="22"/>
          <w:lang w:eastAsia="ko-KR"/>
        </w:rPr>
        <w:t xml:space="preserve"> finalize the indicators, means of verification and monitoring plan</w:t>
      </w:r>
      <w:r w:rsidRPr="006E404E">
        <w:rPr>
          <w:rFonts w:cs="Arial"/>
          <w:szCs w:val="22"/>
          <w:lang w:eastAsia="ko-KR"/>
        </w:rPr>
        <w:t>;</w:t>
      </w:r>
      <w:r w:rsidR="0053408E" w:rsidRPr="006E404E">
        <w:rPr>
          <w:rFonts w:cs="Arial"/>
          <w:szCs w:val="22"/>
          <w:lang w:eastAsia="ko-KR"/>
        </w:rPr>
        <w:t xml:space="preserve"> </w:t>
      </w:r>
    </w:p>
    <w:p w14:paraId="6136DC65" w14:textId="77777777" w:rsidR="00FF6D9C" w:rsidRPr="006E404E" w:rsidRDefault="00FF6D9C" w:rsidP="0020322F">
      <w:pPr>
        <w:pStyle w:val="Normalbullets"/>
        <w:numPr>
          <w:ilvl w:val="0"/>
          <w:numId w:val="49"/>
        </w:numPr>
        <w:contextualSpacing/>
        <w:rPr>
          <w:rFonts w:cs="Arial"/>
          <w:szCs w:val="22"/>
          <w:lang w:eastAsia="ko-KR"/>
        </w:rPr>
      </w:pPr>
      <w:r w:rsidRPr="006E404E">
        <w:rPr>
          <w:rFonts w:cs="Arial"/>
          <w:szCs w:val="22"/>
          <w:lang w:eastAsia="ko-KR"/>
        </w:rPr>
        <w:t>Discuss reporting, monitoring and evaluation roles and responsibilities and finalize the M&amp;E budget; identify national/regional institutes to be involved in project-level M&amp;E; discuss the role of the GEF OFP in M&amp;E;</w:t>
      </w:r>
    </w:p>
    <w:p w14:paraId="10B1F56C" w14:textId="77777777" w:rsidR="00E45EC4" w:rsidRPr="006E404E" w:rsidRDefault="00E45EC4" w:rsidP="0020322F">
      <w:pPr>
        <w:pStyle w:val="Normalbullets"/>
        <w:numPr>
          <w:ilvl w:val="0"/>
          <w:numId w:val="49"/>
        </w:numPr>
        <w:contextualSpacing/>
        <w:rPr>
          <w:rFonts w:cs="Arial"/>
          <w:szCs w:val="22"/>
          <w:lang w:eastAsia="ko-KR"/>
        </w:rPr>
      </w:pPr>
      <w:r w:rsidRPr="006E404E">
        <w:rPr>
          <w:rFonts w:cs="Arial"/>
          <w:szCs w:val="22"/>
          <w:lang w:eastAsia="ko-KR"/>
        </w:rPr>
        <w:t>Update and review responsibilities for monitoring the various project plans and strategies, including the risk log</w:t>
      </w:r>
      <w:r w:rsidR="00C70DEA" w:rsidRPr="006E404E">
        <w:rPr>
          <w:rFonts w:cs="Arial"/>
          <w:szCs w:val="22"/>
          <w:lang w:eastAsia="ko-KR"/>
        </w:rPr>
        <w:t>,</w:t>
      </w:r>
      <w:r w:rsidRPr="006E404E">
        <w:rPr>
          <w:rFonts w:cs="Arial"/>
          <w:szCs w:val="22"/>
          <w:lang w:eastAsia="ko-KR"/>
        </w:rPr>
        <w:t xml:space="preserve"> Environmental and Social Management Plan and other safeguard </w:t>
      </w:r>
      <w:r w:rsidR="00C24F2A" w:rsidRPr="006E404E">
        <w:rPr>
          <w:rFonts w:cs="Arial"/>
          <w:szCs w:val="22"/>
          <w:lang w:eastAsia="ko-KR"/>
        </w:rPr>
        <w:t>requirements</w:t>
      </w:r>
      <w:r w:rsidR="00C70DEA" w:rsidRPr="006E404E">
        <w:rPr>
          <w:rFonts w:cs="Arial"/>
          <w:szCs w:val="22"/>
          <w:lang w:eastAsia="ko-KR"/>
        </w:rPr>
        <w:t>,</w:t>
      </w:r>
      <w:r w:rsidRPr="006E404E">
        <w:rPr>
          <w:rFonts w:cs="Arial"/>
          <w:szCs w:val="22"/>
          <w:lang w:eastAsia="ko-KR"/>
        </w:rPr>
        <w:t xml:space="preserve"> the gender strategy</w:t>
      </w:r>
      <w:r w:rsidR="00C70DEA" w:rsidRPr="006E404E">
        <w:rPr>
          <w:rFonts w:cs="Arial"/>
          <w:szCs w:val="22"/>
          <w:lang w:eastAsia="ko-KR"/>
        </w:rPr>
        <w:t>,</w:t>
      </w:r>
      <w:r w:rsidRPr="006E404E">
        <w:rPr>
          <w:rFonts w:cs="Arial"/>
          <w:szCs w:val="22"/>
          <w:lang w:eastAsia="ko-KR"/>
        </w:rPr>
        <w:t xml:space="preserve"> the knowledge management strategy and other relevant strategies;</w:t>
      </w:r>
    </w:p>
    <w:p w14:paraId="1620E4D6" w14:textId="77777777" w:rsidR="004440C2" w:rsidRPr="006E404E" w:rsidRDefault="004440C2" w:rsidP="0020322F">
      <w:pPr>
        <w:pStyle w:val="Normalbullets"/>
        <w:numPr>
          <w:ilvl w:val="0"/>
          <w:numId w:val="49"/>
        </w:numPr>
        <w:contextualSpacing/>
        <w:rPr>
          <w:rFonts w:cs="Arial"/>
          <w:szCs w:val="22"/>
          <w:lang w:eastAsia="ko-KR"/>
        </w:rPr>
      </w:pPr>
      <w:r w:rsidRPr="006E404E">
        <w:rPr>
          <w:rFonts w:cs="Arial"/>
          <w:szCs w:val="22"/>
          <w:lang w:eastAsia="ko-KR"/>
        </w:rPr>
        <w:t>R</w:t>
      </w:r>
      <w:r w:rsidR="0053408E" w:rsidRPr="006E404E">
        <w:rPr>
          <w:rFonts w:cs="Arial"/>
          <w:szCs w:val="22"/>
          <w:lang w:eastAsia="ko-KR"/>
        </w:rPr>
        <w:t>eview financial reporting procedures and mandatory requirements, and agree on the arrangements for the annual audit;</w:t>
      </w:r>
    </w:p>
    <w:p w14:paraId="06F7ACDA" w14:textId="77777777" w:rsidR="004440C2" w:rsidRPr="006E404E" w:rsidRDefault="004440C2" w:rsidP="0020322F">
      <w:pPr>
        <w:pStyle w:val="Normalbullets"/>
        <w:numPr>
          <w:ilvl w:val="0"/>
          <w:numId w:val="49"/>
        </w:numPr>
        <w:contextualSpacing/>
        <w:rPr>
          <w:rFonts w:cs="Arial"/>
          <w:szCs w:val="22"/>
          <w:lang w:eastAsia="ko-KR"/>
        </w:rPr>
      </w:pPr>
      <w:r w:rsidRPr="006E404E">
        <w:rPr>
          <w:rFonts w:cs="Arial"/>
          <w:szCs w:val="22"/>
          <w:lang w:eastAsia="ko-KR"/>
        </w:rPr>
        <w:t>P</w:t>
      </w:r>
      <w:r w:rsidR="0053408E" w:rsidRPr="006E404E">
        <w:rPr>
          <w:rFonts w:cs="Arial"/>
          <w:szCs w:val="22"/>
          <w:lang w:eastAsia="ko-KR"/>
        </w:rPr>
        <w:t xml:space="preserve">lan and schedule Project </w:t>
      </w:r>
      <w:r w:rsidR="00C70DEA" w:rsidRPr="006E404E">
        <w:rPr>
          <w:rFonts w:cs="Arial"/>
          <w:szCs w:val="22"/>
          <w:lang w:eastAsia="ko-KR"/>
        </w:rPr>
        <w:t xml:space="preserve">Steering Committee </w:t>
      </w:r>
      <w:r w:rsidR="0053408E" w:rsidRPr="006E404E">
        <w:rPr>
          <w:rFonts w:cs="Arial"/>
          <w:szCs w:val="22"/>
          <w:lang w:eastAsia="ko-KR"/>
        </w:rPr>
        <w:t>meetings and finalize the first year annual work plan.</w:t>
      </w:r>
    </w:p>
    <w:p w14:paraId="66AEE921" w14:textId="77777777" w:rsidR="00B27C54" w:rsidRPr="006E404E" w:rsidRDefault="0053408E" w:rsidP="006E404E">
      <w:pPr>
        <w:spacing w:before="120" w:after="120"/>
        <w:ind w:left="720"/>
        <w:jc w:val="both"/>
        <w:rPr>
          <w:rFonts w:cs="Calibri"/>
          <w:szCs w:val="22"/>
        </w:rPr>
      </w:pPr>
      <w:r w:rsidRPr="006E404E">
        <w:rPr>
          <w:rFonts w:cs="Calibri"/>
          <w:szCs w:val="22"/>
        </w:rPr>
        <w:t xml:space="preserve">The Project Manager will prepare the inception report no later than one month after the inception workshop. The inception report will be cleared by the UNDP Country Office and the UNDP-GEF Regional Technical Adviser, and will be approved by the Project </w:t>
      </w:r>
      <w:r w:rsidR="00C70DEA" w:rsidRPr="006E404E">
        <w:rPr>
          <w:rFonts w:cs="Calibri"/>
          <w:szCs w:val="22"/>
        </w:rPr>
        <w:t>Steering Committee</w:t>
      </w:r>
      <w:r w:rsidRPr="006E404E">
        <w:rPr>
          <w:rFonts w:cs="Calibri"/>
          <w:szCs w:val="22"/>
        </w:rPr>
        <w:t>.</w:t>
      </w:r>
    </w:p>
    <w:p w14:paraId="5F329132" w14:textId="77777777" w:rsidR="00C0723A" w:rsidRPr="006E404E" w:rsidRDefault="0053408E" w:rsidP="0020322F">
      <w:pPr>
        <w:numPr>
          <w:ilvl w:val="0"/>
          <w:numId w:val="10"/>
        </w:numPr>
        <w:spacing w:before="120" w:after="120"/>
        <w:jc w:val="both"/>
        <w:rPr>
          <w:rFonts w:cs="Calibri"/>
          <w:szCs w:val="22"/>
        </w:rPr>
      </w:pPr>
      <w:r w:rsidRPr="006E404E">
        <w:rPr>
          <w:rFonts w:cs="Calibri"/>
          <w:b/>
          <w:szCs w:val="22"/>
        </w:rPr>
        <w:t>GEF Project Implementation Report</w:t>
      </w:r>
      <w:r w:rsidR="00C70DEA" w:rsidRPr="006E404E">
        <w:rPr>
          <w:rFonts w:cs="Calibri"/>
          <w:b/>
          <w:szCs w:val="22"/>
        </w:rPr>
        <w:t>s</w:t>
      </w:r>
      <w:r w:rsidRPr="006E404E">
        <w:rPr>
          <w:rFonts w:cs="Calibri"/>
          <w:b/>
          <w:szCs w:val="22"/>
        </w:rPr>
        <w:t xml:space="preserve"> (PIR</w:t>
      </w:r>
      <w:r w:rsidR="00C70DEA" w:rsidRPr="006E404E">
        <w:rPr>
          <w:rFonts w:cs="Calibri"/>
          <w:b/>
          <w:szCs w:val="22"/>
        </w:rPr>
        <w:t>s</w:t>
      </w:r>
      <w:r w:rsidRPr="006E404E">
        <w:rPr>
          <w:rFonts w:cs="Calibri"/>
          <w:b/>
          <w:szCs w:val="22"/>
        </w:rPr>
        <w:t>):</w:t>
      </w:r>
      <w:r w:rsidRPr="006E404E">
        <w:rPr>
          <w:rFonts w:cs="Calibri"/>
          <w:szCs w:val="22"/>
        </w:rPr>
        <w:t xml:space="preserve">  The Project Manager, the UNDP Country Office, and the UNDP-GEF Regional Technical Advisor will provide objective input to the annual GEF PIR covering the reporting period July (previous year) to June (current year) for each </w:t>
      </w:r>
      <w:r w:rsidR="00C70DEA" w:rsidRPr="006E404E">
        <w:rPr>
          <w:rFonts w:cs="Calibri"/>
          <w:szCs w:val="22"/>
        </w:rPr>
        <w:t xml:space="preserve">full </w:t>
      </w:r>
      <w:r w:rsidRPr="006E404E">
        <w:rPr>
          <w:rFonts w:cs="Calibri"/>
          <w:szCs w:val="22"/>
        </w:rPr>
        <w:t>year of project implementation.</w:t>
      </w:r>
      <w:r w:rsidR="00162DAA" w:rsidRPr="006E404E">
        <w:rPr>
          <w:rFonts w:cs="Calibri"/>
          <w:szCs w:val="22"/>
        </w:rPr>
        <w:t xml:space="preserve"> </w:t>
      </w:r>
      <w:r w:rsidRPr="006E404E">
        <w:rPr>
          <w:rFonts w:cs="Calibri"/>
          <w:szCs w:val="22"/>
        </w:rPr>
        <w:t xml:space="preserve">The Project Manager will ensure that the indicators included in the project results framework are monitored annually </w:t>
      </w:r>
      <w:r w:rsidR="00C24F2A" w:rsidRPr="006E404E">
        <w:rPr>
          <w:rFonts w:cs="Calibri"/>
          <w:szCs w:val="22"/>
        </w:rPr>
        <w:t>in advance of the PIR submission deadline so that progress can be reported i</w:t>
      </w:r>
      <w:r w:rsidR="00DC1BE4" w:rsidRPr="006E404E">
        <w:rPr>
          <w:rFonts w:cs="Calibri"/>
          <w:szCs w:val="22"/>
        </w:rPr>
        <w:t>n the PIR</w:t>
      </w:r>
      <w:r w:rsidRPr="006E404E">
        <w:rPr>
          <w:rFonts w:cs="Calibri"/>
          <w:szCs w:val="22"/>
        </w:rPr>
        <w:t xml:space="preserve">. </w:t>
      </w:r>
      <w:r w:rsidR="009B2545" w:rsidRPr="006E404E">
        <w:rPr>
          <w:rFonts w:cs="Calibri"/>
          <w:szCs w:val="22"/>
        </w:rPr>
        <w:t xml:space="preserve">Any environmental and social risks and related management plans will be monitored regularly, and progress will be reported in the PIR. </w:t>
      </w:r>
    </w:p>
    <w:p w14:paraId="31F90ED2" w14:textId="77777777" w:rsidR="00B27C54" w:rsidRPr="006E404E" w:rsidRDefault="0053408E" w:rsidP="006E404E">
      <w:pPr>
        <w:spacing w:before="120" w:after="120"/>
        <w:ind w:left="720"/>
        <w:jc w:val="both"/>
        <w:rPr>
          <w:rFonts w:cs="Calibri"/>
          <w:szCs w:val="22"/>
        </w:rPr>
      </w:pPr>
      <w:r w:rsidRPr="006E404E">
        <w:rPr>
          <w:rFonts w:cs="Calibri"/>
          <w:szCs w:val="22"/>
        </w:rPr>
        <w:t xml:space="preserve">The PIR submitted to the GEF </w:t>
      </w:r>
      <w:r w:rsidR="00C24F2A" w:rsidRPr="006E404E">
        <w:rPr>
          <w:rFonts w:cs="Calibri"/>
          <w:szCs w:val="22"/>
        </w:rPr>
        <w:t xml:space="preserve">will be shared with the </w:t>
      </w:r>
      <w:r w:rsidRPr="006E404E">
        <w:rPr>
          <w:rFonts w:cs="Calibri"/>
          <w:szCs w:val="22"/>
        </w:rPr>
        <w:t xml:space="preserve">Project </w:t>
      </w:r>
      <w:r w:rsidR="007A3BCE" w:rsidRPr="006E404E">
        <w:rPr>
          <w:rFonts w:cs="Calibri"/>
          <w:szCs w:val="22"/>
        </w:rPr>
        <w:t>Steering Committee</w:t>
      </w:r>
      <w:r w:rsidRPr="006E404E">
        <w:rPr>
          <w:rFonts w:cs="Calibri"/>
          <w:szCs w:val="22"/>
        </w:rPr>
        <w:t>. The UNDP Country Office will coordinate the input of the GEF Operational Focal Point and other stakeholders to the PIR</w:t>
      </w:r>
      <w:r w:rsidR="00B13428" w:rsidRPr="006E404E">
        <w:rPr>
          <w:rFonts w:cs="Calibri"/>
          <w:szCs w:val="22"/>
        </w:rPr>
        <w:t xml:space="preserve"> as appropriate</w:t>
      </w:r>
      <w:r w:rsidRPr="006E404E">
        <w:rPr>
          <w:rFonts w:cs="Calibri"/>
          <w:szCs w:val="22"/>
        </w:rPr>
        <w:t xml:space="preserve">. The quality rating of the previous year’s PIR will be used to inform the preparation of the </w:t>
      </w:r>
      <w:r w:rsidR="00E114E5" w:rsidRPr="006E404E">
        <w:rPr>
          <w:rFonts w:cs="Calibri"/>
          <w:szCs w:val="22"/>
        </w:rPr>
        <w:t>subsequent</w:t>
      </w:r>
      <w:r w:rsidRPr="006E404E">
        <w:rPr>
          <w:rFonts w:cs="Calibri"/>
          <w:szCs w:val="22"/>
        </w:rPr>
        <w:t xml:space="preserve"> PIR.  </w:t>
      </w:r>
    </w:p>
    <w:p w14:paraId="3ABA5818" w14:textId="77777777" w:rsidR="00B27C54" w:rsidRPr="006E404E" w:rsidRDefault="001E6563" w:rsidP="0020322F">
      <w:pPr>
        <w:numPr>
          <w:ilvl w:val="0"/>
          <w:numId w:val="10"/>
        </w:numPr>
        <w:spacing w:before="120" w:after="120"/>
        <w:jc w:val="both"/>
        <w:rPr>
          <w:rFonts w:cs="Calibri"/>
          <w:szCs w:val="22"/>
        </w:rPr>
      </w:pPr>
      <w:r w:rsidRPr="006E404E">
        <w:rPr>
          <w:rFonts w:cs="Calibri"/>
          <w:b/>
          <w:szCs w:val="22"/>
          <w:lang w:val="en-GB"/>
        </w:rPr>
        <w:t>Lessons learned and knowledge generation:</w:t>
      </w:r>
      <w:r w:rsidRPr="006E404E">
        <w:rPr>
          <w:rFonts w:cs="Calibri"/>
          <w:szCs w:val="22"/>
          <w:lang w:val="en-GB"/>
        </w:rPr>
        <w:t xml:space="preserve"> Results from the project will be disseminated within and beyond the project intervention area through existing informatio</w:t>
      </w:r>
      <w:r w:rsidR="00F21E1A" w:rsidRPr="006E404E">
        <w:rPr>
          <w:rFonts w:cs="Calibri"/>
          <w:szCs w:val="22"/>
          <w:lang w:val="en-GB"/>
        </w:rPr>
        <w:t>n sharing networks and forums.</w:t>
      </w:r>
      <w:r w:rsidR="0029674B" w:rsidRPr="006E404E">
        <w:rPr>
          <w:rFonts w:cs="Calibri"/>
          <w:szCs w:val="22"/>
          <w:lang w:val="en-GB"/>
        </w:rPr>
        <w:t xml:space="preserve"> </w:t>
      </w:r>
      <w:r w:rsidRPr="006E404E">
        <w:rPr>
          <w:rFonts w:cs="Calibri"/>
          <w:szCs w:val="22"/>
          <w:lang w:val="en-GB"/>
        </w:rPr>
        <w:t xml:space="preserve">The project will identify, analyse and share lessons learned that might be beneficial to the </w:t>
      </w:r>
      <w:r w:rsidR="003C290D" w:rsidRPr="006E404E">
        <w:rPr>
          <w:rFonts w:cs="Calibri"/>
          <w:szCs w:val="22"/>
          <w:lang w:val="en-GB"/>
        </w:rPr>
        <w:t>design</w:t>
      </w:r>
      <w:r w:rsidRPr="006E404E">
        <w:rPr>
          <w:rFonts w:cs="Calibri"/>
          <w:szCs w:val="22"/>
          <w:lang w:val="en-GB"/>
        </w:rPr>
        <w:t xml:space="preserve"> and implementation of similar projects</w:t>
      </w:r>
      <w:r w:rsidR="0029674B" w:rsidRPr="006E404E">
        <w:rPr>
          <w:rFonts w:cs="Calibri"/>
          <w:szCs w:val="22"/>
          <w:lang w:val="en-GB"/>
        </w:rPr>
        <w:t xml:space="preserve"> and </w:t>
      </w:r>
      <w:r w:rsidR="00D31041" w:rsidRPr="006E404E">
        <w:rPr>
          <w:rFonts w:cs="Calibri"/>
          <w:szCs w:val="22"/>
          <w:lang w:val="en-GB"/>
        </w:rPr>
        <w:t xml:space="preserve">disseminate </w:t>
      </w:r>
      <w:r w:rsidR="0029674B" w:rsidRPr="006E404E">
        <w:rPr>
          <w:rFonts w:cs="Calibri"/>
          <w:szCs w:val="22"/>
          <w:lang w:val="en-GB"/>
        </w:rPr>
        <w:t>these lessons widely</w:t>
      </w:r>
      <w:r w:rsidRPr="006E404E">
        <w:rPr>
          <w:rFonts w:cs="Calibri"/>
          <w:szCs w:val="22"/>
          <w:lang w:val="en-GB"/>
        </w:rPr>
        <w:t>. There will be</w:t>
      </w:r>
      <w:r w:rsidR="00D31041" w:rsidRPr="006E404E">
        <w:rPr>
          <w:rFonts w:cs="Calibri"/>
          <w:szCs w:val="22"/>
          <w:lang w:val="en-GB"/>
        </w:rPr>
        <w:t xml:space="preserve"> continuous i</w:t>
      </w:r>
      <w:r w:rsidRPr="006E404E">
        <w:rPr>
          <w:rFonts w:cs="Calibri"/>
          <w:szCs w:val="22"/>
          <w:lang w:val="en-GB"/>
        </w:rPr>
        <w:t xml:space="preserve">nformation </w:t>
      </w:r>
      <w:r w:rsidR="00D31041" w:rsidRPr="006E404E">
        <w:rPr>
          <w:rFonts w:cs="Calibri"/>
          <w:szCs w:val="22"/>
          <w:lang w:val="en-GB"/>
        </w:rPr>
        <w:t xml:space="preserve">exchange </w:t>
      </w:r>
      <w:r w:rsidRPr="006E404E">
        <w:rPr>
          <w:rFonts w:cs="Calibri"/>
          <w:szCs w:val="22"/>
          <w:lang w:val="en-GB"/>
        </w:rPr>
        <w:t>between this project and other projects</w:t>
      </w:r>
      <w:r w:rsidR="00E45EC4" w:rsidRPr="006E404E">
        <w:rPr>
          <w:rFonts w:cs="Calibri"/>
          <w:szCs w:val="22"/>
          <w:lang w:val="en-GB"/>
        </w:rPr>
        <w:t xml:space="preserve"> </w:t>
      </w:r>
      <w:r w:rsidRPr="006E404E">
        <w:rPr>
          <w:rFonts w:cs="Calibri"/>
          <w:szCs w:val="22"/>
          <w:lang w:val="en-GB"/>
        </w:rPr>
        <w:t>of similar focus in the same country, region and globally.</w:t>
      </w:r>
    </w:p>
    <w:p w14:paraId="19D26757" w14:textId="77777777" w:rsidR="00B27C54" w:rsidRPr="006E404E" w:rsidRDefault="003E3ABA" w:rsidP="0020322F">
      <w:pPr>
        <w:numPr>
          <w:ilvl w:val="0"/>
          <w:numId w:val="10"/>
        </w:numPr>
        <w:spacing w:before="120" w:after="120"/>
        <w:jc w:val="both"/>
        <w:rPr>
          <w:rFonts w:cs="Calibri"/>
          <w:szCs w:val="22"/>
        </w:rPr>
      </w:pPr>
      <w:r w:rsidRPr="006E404E">
        <w:rPr>
          <w:rFonts w:cs="Calibri"/>
          <w:b/>
          <w:szCs w:val="22"/>
          <w:lang w:val="en-GB"/>
        </w:rPr>
        <w:t>GEF Focal Area Tracking Tools:</w:t>
      </w:r>
      <w:r w:rsidRPr="006E404E">
        <w:rPr>
          <w:rFonts w:cs="Calibri"/>
          <w:szCs w:val="22"/>
          <w:lang w:val="en-GB"/>
        </w:rPr>
        <w:t xml:space="preserve">  </w:t>
      </w:r>
      <w:r w:rsidR="00C24F2A" w:rsidRPr="006E404E">
        <w:rPr>
          <w:rFonts w:cs="Calibri"/>
          <w:szCs w:val="22"/>
          <w:lang w:val="en-GB"/>
        </w:rPr>
        <w:t>T</w:t>
      </w:r>
      <w:r w:rsidRPr="006E404E">
        <w:rPr>
          <w:rFonts w:cs="Calibri"/>
          <w:szCs w:val="22"/>
          <w:lang w:val="en-GB"/>
        </w:rPr>
        <w:t>h</w:t>
      </w:r>
      <w:r w:rsidR="00C24F2A" w:rsidRPr="006E404E">
        <w:rPr>
          <w:rFonts w:cs="Calibri"/>
          <w:szCs w:val="22"/>
          <w:lang w:val="en-GB"/>
        </w:rPr>
        <w:t xml:space="preserve">e </w:t>
      </w:r>
      <w:r w:rsidRPr="006E404E">
        <w:rPr>
          <w:rFonts w:cs="Calibri"/>
          <w:szCs w:val="22"/>
          <w:lang w:val="en-GB"/>
        </w:rPr>
        <w:t>following GEF Tracking Tool(s)</w:t>
      </w:r>
      <w:r w:rsidR="00C24F2A" w:rsidRPr="006E404E">
        <w:rPr>
          <w:rFonts w:cs="Calibri"/>
          <w:szCs w:val="22"/>
          <w:lang w:val="en-GB"/>
        </w:rPr>
        <w:t xml:space="preserve"> will be used to monitor global environmental benefit results</w:t>
      </w:r>
      <w:r w:rsidR="00FF6D9C" w:rsidRPr="006E404E">
        <w:rPr>
          <w:rFonts w:cs="Calibri"/>
          <w:szCs w:val="22"/>
          <w:lang w:val="en-GB"/>
        </w:rPr>
        <w:t>:</w:t>
      </w:r>
      <w:r w:rsidR="00B27C54" w:rsidRPr="006E404E">
        <w:rPr>
          <w:rFonts w:cs="Calibri"/>
          <w:szCs w:val="22"/>
          <w:lang w:val="en-GB"/>
        </w:rPr>
        <w:t xml:space="preserve"> </w:t>
      </w:r>
      <w:r w:rsidR="00C40593">
        <w:rPr>
          <w:rFonts w:cs="Calibri"/>
          <w:szCs w:val="22"/>
          <w:lang w:val="en-GB"/>
        </w:rPr>
        <w:t xml:space="preserve">climate change mitigiation. </w:t>
      </w:r>
      <w:r w:rsidR="00E43CB3">
        <w:rPr>
          <w:rFonts w:cs="Calibri"/>
          <w:szCs w:val="22"/>
          <w:lang w:val="en-GB"/>
        </w:rPr>
        <w:t>T</w:t>
      </w:r>
      <w:r w:rsidRPr="006E404E">
        <w:rPr>
          <w:rFonts w:cs="Calibri"/>
          <w:szCs w:val="22"/>
          <w:lang w:val="en-GB"/>
        </w:rPr>
        <w:t xml:space="preserve">he baseline/CEO Endorsement GEF Focal Area Tracking Tool – submitted in </w:t>
      </w:r>
      <w:r w:rsidR="00C40593">
        <w:rPr>
          <w:rFonts w:cs="Calibri"/>
          <w:szCs w:val="22"/>
          <w:lang w:val="en-GB"/>
        </w:rPr>
        <w:t>“</w:t>
      </w:r>
      <w:r w:rsidR="00E70737" w:rsidRPr="006E404E">
        <w:rPr>
          <w:rFonts w:cs="Calibri"/>
          <w:szCs w:val="22"/>
          <w:lang w:val="en-GB"/>
        </w:rPr>
        <w:fldChar w:fldCharType="begin"/>
      </w:r>
      <w:r w:rsidR="00E70737" w:rsidRPr="006E404E">
        <w:rPr>
          <w:rFonts w:cs="Calibri"/>
          <w:szCs w:val="22"/>
          <w:lang w:val="en-GB"/>
        </w:rPr>
        <w:instrText xml:space="preserve"> REF _Ref337735629 \h </w:instrText>
      </w:r>
      <w:r w:rsidR="00C70DEA" w:rsidRPr="006E404E">
        <w:rPr>
          <w:rFonts w:cs="Calibri"/>
          <w:szCs w:val="22"/>
          <w:lang w:val="en-GB"/>
        </w:rPr>
        <w:instrText xml:space="preserve"> \* MERGEFORMAT </w:instrText>
      </w:r>
      <w:r w:rsidR="00E70737" w:rsidRPr="006E404E">
        <w:rPr>
          <w:rFonts w:cs="Calibri"/>
          <w:szCs w:val="22"/>
          <w:lang w:val="en-GB"/>
        </w:rPr>
      </w:r>
      <w:r w:rsidR="00E70737" w:rsidRPr="006E404E">
        <w:rPr>
          <w:rFonts w:cs="Calibri"/>
          <w:szCs w:val="22"/>
          <w:lang w:val="en-GB"/>
        </w:rPr>
        <w:fldChar w:fldCharType="separate"/>
      </w:r>
      <w:r w:rsidR="00921873" w:rsidRPr="00921873">
        <w:rPr>
          <w:szCs w:val="22"/>
        </w:rPr>
        <w:t>Annex D. GEF Tracking Tool</w:t>
      </w:r>
      <w:r w:rsidR="00E70737" w:rsidRPr="006E404E">
        <w:rPr>
          <w:rFonts w:cs="Calibri"/>
          <w:szCs w:val="22"/>
          <w:lang w:val="en-GB"/>
        </w:rPr>
        <w:fldChar w:fldCharType="end"/>
      </w:r>
      <w:r w:rsidR="00C40593">
        <w:rPr>
          <w:rFonts w:cs="Calibri"/>
          <w:szCs w:val="22"/>
          <w:lang w:val="en-GB"/>
        </w:rPr>
        <w:t>”</w:t>
      </w:r>
      <w:r w:rsidR="00E70737" w:rsidRPr="006E404E">
        <w:rPr>
          <w:rFonts w:cs="Calibri"/>
          <w:szCs w:val="22"/>
          <w:lang w:val="en-GB"/>
        </w:rPr>
        <w:t xml:space="preserve"> </w:t>
      </w:r>
      <w:r w:rsidRPr="006E404E">
        <w:rPr>
          <w:rFonts w:cs="Calibri"/>
          <w:szCs w:val="22"/>
          <w:lang w:val="en-GB"/>
        </w:rPr>
        <w:t>to this project document – will be updated by the Project Manager/Team and shared with the</w:t>
      </w:r>
      <w:r w:rsidRPr="006E404E">
        <w:rPr>
          <w:rFonts w:cs="Calibri"/>
          <w:i/>
          <w:szCs w:val="22"/>
          <w:lang w:val="en-GB"/>
        </w:rPr>
        <w:t xml:space="preserve"> </w:t>
      </w:r>
      <w:r w:rsidRPr="006E404E">
        <w:rPr>
          <w:rFonts w:cs="Calibri"/>
          <w:szCs w:val="22"/>
          <w:lang w:val="en-GB"/>
        </w:rPr>
        <w:t>mid-term review consultants and terminal evaluation consultants</w:t>
      </w:r>
      <w:r w:rsidR="00FF6D9C" w:rsidRPr="006E404E">
        <w:rPr>
          <w:rFonts w:cs="Calibri"/>
          <w:szCs w:val="22"/>
          <w:lang w:val="en-GB"/>
        </w:rPr>
        <w:t xml:space="preserve"> (not the evaluation consultants hired to undertake the MTR</w:t>
      </w:r>
      <w:r w:rsidR="00FF6D9C" w:rsidRPr="006E404E">
        <w:rPr>
          <w:rFonts w:cs="Calibri"/>
          <w:i/>
          <w:szCs w:val="22"/>
          <w:lang w:val="en-GB"/>
        </w:rPr>
        <w:t xml:space="preserve"> </w:t>
      </w:r>
      <w:r w:rsidR="00FF6D9C" w:rsidRPr="006E404E">
        <w:rPr>
          <w:rFonts w:cs="Calibri"/>
          <w:szCs w:val="22"/>
          <w:lang w:val="en-GB"/>
        </w:rPr>
        <w:t>or the TE)</w:t>
      </w:r>
      <w:r w:rsidRPr="006E404E">
        <w:rPr>
          <w:rFonts w:cs="Calibri"/>
          <w:szCs w:val="22"/>
          <w:lang w:val="en-GB"/>
        </w:rPr>
        <w:t xml:space="preserve"> before the required review/evaluation missions take place. The updated GEF Tracking Tool(s) will be submitted to the GEF along with the completed Mid-term Review report and Terminal Evaluation report.</w:t>
      </w:r>
    </w:p>
    <w:p w14:paraId="37D3272F" w14:textId="77777777" w:rsidR="00B27C54" w:rsidRPr="006E404E" w:rsidRDefault="00B54BF6" w:rsidP="0020322F">
      <w:pPr>
        <w:numPr>
          <w:ilvl w:val="0"/>
          <w:numId w:val="10"/>
        </w:numPr>
        <w:spacing w:before="120" w:after="120"/>
        <w:jc w:val="both"/>
        <w:rPr>
          <w:rFonts w:cs="Calibri"/>
          <w:szCs w:val="22"/>
        </w:rPr>
      </w:pPr>
      <w:r w:rsidRPr="006E404E">
        <w:rPr>
          <w:rFonts w:cs="Calibri"/>
          <w:b/>
          <w:szCs w:val="22"/>
        </w:rPr>
        <w:t xml:space="preserve">Independent </w:t>
      </w:r>
      <w:r w:rsidR="003E3ABA" w:rsidRPr="006E404E">
        <w:rPr>
          <w:rFonts w:cs="Calibri"/>
          <w:b/>
          <w:szCs w:val="22"/>
        </w:rPr>
        <w:t>Mid-term Review (MTR):</w:t>
      </w:r>
      <w:r w:rsidR="003E3ABA" w:rsidRPr="006E404E">
        <w:rPr>
          <w:rFonts w:cs="Calibri"/>
          <w:szCs w:val="22"/>
        </w:rPr>
        <w:t xml:space="preserve">  An independent </w:t>
      </w:r>
      <w:r w:rsidR="0027645F" w:rsidRPr="006E404E">
        <w:rPr>
          <w:rFonts w:cs="Calibri"/>
          <w:szCs w:val="22"/>
        </w:rPr>
        <w:t>MTR</w:t>
      </w:r>
      <w:r w:rsidR="003E3ABA" w:rsidRPr="006E404E">
        <w:rPr>
          <w:rFonts w:cs="Calibri"/>
          <w:szCs w:val="22"/>
        </w:rPr>
        <w:t xml:space="preserve"> process will begin after the second PIR has been submitted to the GEF, and the MTR report will be submitted to the GEF in the same year as the 3</w:t>
      </w:r>
      <w:r w:rsidR="003E3ABA" w:rsidRPr="006E404E">
        <w:rPr>
          <w:rFonts w:cs="Calibri"/>
          <w:szCs w:val="22"/>
          <w:vertAlign w:val="superscript"/>
        </w:rPr>
        <w:t>rd</w:t>
      </w:r>
      <w:r w:rsidR="00A04E6F" w:rsidRPr="006E404E">
        <w:rPr>
          <w:rFonts w:cs="Calibri"/>
          <w:szCs w:val="22"/>
        </w:rPr>
        <w:t xml:space="preserve"> PIR. </w:t>
      </w:r>
      <w:r w:rsidR="003E3ABA" w:rsidRPr="006E404E">
        <w:rPr>
          <w:rFonts w:cs="Calibri"/>
          <w:szCs w:val="22"/>
        </w:rPr>
        <w:t>The MTR findings and responses outlined in the management response will be incorporated as recommendations for enhanced implementation during the final h</w:t>
      </w:r>
      <w:r w:rsidR="00A04E6F" w:rsidRPr="006E404E">
        <w:rPr>
          <w:rFonts w:cs="Calibri"/>
          <w:szCs w:val="22"/>
        </w:rPr>
        <w:t xml:space="preserve">alf of the project’s duration. </w:t>
      </w:r>
      <w:r w:rsidR="003E3ABA" w:rsidRPr="006E404E">
        <w:rPr>
          <w:rFonts w:cs="Calibri"/>
          <w:szCs w:val="22"/>
        </w:rPr>
        <w:t xml:space="preserve">The terms of reference, the review process and the MTR report will follow the standard templates and guidance </w:t>
      </w:r>
      <w:r w:rsidRPr="006E404E">
        <w:rPr>
          <w:rFonts w:cs="Calibri"/>
          <w:szCs w:val="22"/>
        </w:rPr>
        <w:t xml:space="preserve">prepared by the UNDP IEO for GEF-financed projects </w:t>
      </w:r>
      <w:r w:rsidR="003E3ABA" w:rsidRPr="006E404E">
        <w:rPr>
          <w:rFonts w:cs="Calibri"/>
          <w:szCs w:val="22"/>
        </w:rPr>
        <w:t xml:space="preserve">available on the </w:t>
      </w:r>
      <w:hyperlink r:id="rId34" w:anchor="gef" w:history="1">
        <w:r w:rsidR="003E3ABA" w:rsidRPr="006E404E">
          <w:rPr>
            <w:rStyle w:val="ae"/>
            <w:rFonts w:cs="Calibri"/>
            <w:szCs w:val="22"/>
          </w:rPr>
          <w:t>UNDP Evaluation Resource Center</w:t>
        </w:r>
      </w:hyperlink>
      <w:r w:rsidR="003E3ABA" w:rsidRPr="006E404E">
        <w:rPr>
          <w:rStyle w:val="ae"/>
          <w:rFonts w:cs="Calibri"/>
          <w:szCs w:val="22"/>
        </w:rPr>
        <w:t xml:space="preserve"> (ERC).</w:t>
      </w:r>
      <w:r w:rsidR="003E3ABA" w:rsidRPr="006E404E">
        <w:rPr>
          <w:rFonts w:cs="Calibri"/>
          <w:szCs w:val="22"/>
        </w:rPr>
        <w:t xml:space="preserve"> </w:t>
      </w:r>
      <w:r w:rsidRPr="006E404E">
        <w:rPr>
          <w:szCs w:val="22"/>
        </w:rPr>
        <w:t xml:space="preserve">As noted in this guidance, the evaluation will be ‘independent, impartial and rigorous’. The consultants that will be hired to undertake the assignment will be independent from organizations that were involved in designing, executing or advising on the project to be evaluated. The GEF </w:t>
      </w:r>
      <w:r w:rsidR="0027645F" w:rsidRPr="006E404E">
        <w:rPr>
          <w:szCs w:val="22"/>
        </w:rPr>
        <w:t>OFP</w:t>
      </w:r>
      <w:r w:rsidR="00A04E6F" w:rsidRPr="006E404E">
        <w:rPr>
          <w:szCs w:val="22"/>
        </w:rPr>
        <w:t xml:space="preserve"> and other </w:t>
      </w:r>
      <w:r w:rsidRPr="006E404E">
        <w:rPr>
          <w:szCs w:val="22"/>
        </w:rPr>
        <w:t xml:space="preserve">stakeholders will be involved and consulted during the terminal evaluation process. </w:t>
      </w:r>
      <w:r w:rsidR="003E3ABA" w:rsidRPr="006E404E">
        <w:rPr>
          <w:rFonts w:cs="Calibri"/>
          <w:szCs w:val="22"/>
        </w:rPr>
        <w:t xml:space="preserve">Additional quality assurance support is available from the UNDP-GEF Directorate. The final MTR report will be available in English and will be cleared by the UNDP Country Office and the UNDP-GEF Regional Technical Adviser, and approved by the Project </w:t>
      </w:r>
      <w:r w:rsidR="007A3BCE" w:rsidRPr="006E404E">
        <w:rPr>
          <w:rFonts w:cs="Calibri"/>
          <w:szCs w:val="22"/>
        </w:rPr>
        <w:t>Steering Committee</w:t>
      </w:r>
      <w:r w:rsidR="003E3ABA" w:rsidRPr="006E404E">
        <w:rPr>
          <w:rFonts w:cs="Calibri"/>
          <w:szCs w:val="22"/>
        </w:rPr>
        <w:t xml:space="preserve">.   </w:t>
      </w:r>
    </w:p>
    <w:p w14:paraId="3A9300DA" w14:textId="77777777" w:rsidR="0073237B" w:rsidRPr="006E404E" w:rsidRDefault="003E3ABA" w:rsidP="0020322F">
      <w:pPr>
        <w:numPr>
          <w:ilvl w:val="0"/>
          <w:numId w:val="10"/>
        </w:numPr>
        <w:spacing w:before="120" w:after="120"/>
        <w:jc w:val="both"/>
        <w:rPr>
          <w:rFonts w:cs="Calibri"/>
          <w:szCs w:val="22"/>
        </w:rPr>
      </w:pPr>
      <w:r w:rsidRPr="006E404E">
        <w:rPr>
          <w:rFonts w:cs="Calibri"/>
          <w:b/>
          <w:szCs w:val="22"/>
        </w:rPr>
        <w:t>Terminal Evaluation (TE):</w:t>
      </w:r>
      <w:r w:rsidRPr="006E404E">
        <w:rPr>
          <w:rFonts w:cs="Calibri"/>
          <w:szCs w:val="22"/>
        </w:rPr>
        <w:t xml:space="preserve"> An independent TE will take place </w:t>
      </w:r>
      <w:r w:rsidR="00C24F2A" w:rsidRPr="006E404E">
        <w:rPr>
          <w:rFonts w:cs="Calibri"/>
          <w:szCs w:val="22"/>
        </w:rPr>
        <w:t>upon completion of all major project outputs and activities</w:t>
      </w:r>
      <w:r w:rsidR="00954A3F" w:rsidRPr="006E404E">
        <w:rPr>
          <w:rFonts w:cs="Calibri"/>
          <w:szCs w:val="22"/>
        </w:rPr>
        <w:t>.</w:t>
      </w:r>
      <w:r w:rsidR="008C5DA0" w:rsidRPr="006E404E">
        <w:rPr>
          <w:rFonts w:cs="Calibri"/>
          <w:szCs w:val="22"/>
        </w:rPr>
        <w:t xml:space="preserve"> </w:t>
      </w:r>
      <w:r w:rsidR="00954A3F" w:rsidRPr="006E404E">
        <w:rPr>
          <w:rFonts w:cs="Calibri"/>
          <w:szCs w:val="22"/>
        </w:rPr>
        <w:t xml:space="preserve">The </w:t>
      </w:r>
      <w:r w:rsidR="0027645F" w:rsidRPr="006E404E">
        <w:rPr>
          <w:rFonts w:cs="Calibri"/>
          <w:szCs w:val="22"/>
        </w:rPr>
        <w:t>TE</w:t>
      </w:r>
      <w:r w:rsidR="00954A3F" w:rsidRPr="006E404E">
        <w:rPr>
          <w:rFonts w:cs="Calibri"/>
          <w:szCs w:val="22"/>
        </w:rPr>
        <w:t xml:space="preserve"> process </w:t>
      </w:r>
      <w:r w:rsidR="008C5DA0" w:rsidRPr="006E404E">
        <w:rPr>
          <w:rFonts w:cs="Calibri"/>
          <w:szCs w:val="22"/>
        </w:rPr>
        <w:t xml:space="preserve">will begin three months before </w:t>
      </w:r>
      <w:r w:rsidRPr="006E404E">
        <w:rPr>
          <w:rFonts w:cs="Calibri"/>
          <w:szCs w:val="22"/>
        </w:rPr>
        <w:t>oper</w:t>
      </w:r>
      <w:r w:rsidR="008C5DA0" w:rsidRPr="006E404E">
        <w:rPr>
          <w:rFonts w:cs="Calibri"/>
          <w:szCs w:val="22"/>
        </w:rPr>
        <w:t>ational closure of the project allowing the ev</w:t>
      </w:r>
      <w:r w:rsidR="00A04E6F" w:rsidRPr="006E404E">
        <w:rPr>
          <w:rFonts w:cs="Calibri"/>
          <w:szCs w:val="22"/>
        </w:rPr>
        <w:t>a</w:t>
      </w:r>
      <w:r w:rsidR="008C5DA0" w:rsidRPr="006E404E">
        <w:rPr>
          <w:rFonts w:cs="Calibri"/>
          <w:szCs w:val="22"/>
        </w:rPr>
        <w:t>l</w:t>
      </w:r>
      <w:r w:rsidR="00A04E6F" w:rsidRPr="006E404E">
        <w:rPr>
          <w:rFonts w:cs="Calibri"/>
          <w:szCs w:val="22"/>
        </w:rPr>
        <w:t>ua</w:t>
      </w:r>
      <w:r w:rsidR="008C5DA0" w:rsidRPr="006E404E">
        <w:rPr>
          <w:rFonts w:cs="Calibri"/>
          <w:szCs w:val="22"/>
        </w:rPr>
        <w:t xml:space="preserve">tion mission to proceed while the project team is still in place, yet ensuring the project is close enough to completion for the evaluation team to reach conclusions on key aspects such as project sustainability. </w:t>
      </w:r>
      <w:r w:rsidRPr="006E404E">
        <w:rPr>
          <w:rFonts w:cs="Calibri"/>
          <w:szCs w:val="22"/>
        </w:rPr>
        <w:t>The Project Manager will remain on contract until the TE report and management</w:t>
      </w:r>
      <w:r w:rsidR="008C5DA0" w:rsidRPr="006E404E">
        <w:rPr>
          <w:rFonts w:cs="Calibri"/>
          <w:szCs w:val="22"/>
        </w:rPr>
        <w:t xml:space="preserve"> response have been finalized. </w:t>
      </w:r>
      <w:r w:rsidRPr="006E404E">
        <w:rPr>
          <w:rFonts w:cs="Calibri"/>
          <w:szCs w:val="22"/>
        </w:rPr>
        <w:t>The terms of reference, the evaluation process and the final TE report will follow the standard templates and guidance</w:t>
      </w:r>
      <w:r w:rsidR="00E45EC4" w:rsidRPr="006E404E">
        <w:rPr>
          <w:rFonts w:cs="Calibri"/>
          <w:szCs w:val="22"/>
        </w:rPr>
        <w:t xml:space="preserve"> prepared by the UNDP IEO for GEF-financed projects</w:t>
      </w:r>
      <w:r w:rsidRPr="006E404E">
        <w:rPr>
          <w:rFonts w:cs="Calibri"/>
          <w:szCs w:val="22"/>
        </w:rPr>
        <w:t xml:space="preserve"> available on the </w:t>
      </w:r>
      <w:hyperlink r:id="rId35" w:anchor="gef" w:history="1">
        <w:r w:rsidRPr="006E404E">
          <w:rPr>
            <w:rStyle w:val="ae"/>
            <w:rFonts w:cs="Calibri"/>
            <w:szCs w:val="22"/>
          </w:rPr>
          <w:t>UNDP Evaluation Resource Center</w:t>
        </w:r>
      </w:hyperlink>
      <w:r w:rsidR="0073237B" w:rsidRPr="006E404E">
        <w:rPr>
          <w:rStyle w:val="ae"/>
          <w:rFonts w:cs="Calibri"/>
          <w:szCs w:val="22"/>
        </w:rPr>
        <w:t xml:space="preserve"> (ERC).</w:t>
      </w:r>
      <w:r w:rsidRPr="006E404E">
        <w:rPr>
          <w:rFonts w:cs="Calibri"/>
          <w:szCs w:val="22"/>
        </w:rPr>
        <w:t xml:space="preserve"> </w:t>
      </w:r>
      <w:r w:rsidR="00C24F2A" w:rsidRPr="006E404E">
        <w:rPr>
          <w:szCs w:val="22"/>
        </w:rPr>
        <w:t xml:space="preserve">As noted in this guidance, the evaluation will be ‘independent, impartial and rigorous’. The consultants that will be hired to undertake the assignment will be independent from organizations that were involved in designing, executing or advising on the project to be evaluated. The GEF </w:t>
      </w:r>
      <w:r w:rsidR="0027645F" w:rsidRPr="006E404E">
        <w:rPr>
          <w:szCs w:val="22"/>
        </w:rPr>
        <w:t>OFP</w:t>
      </w:r>
      <w:r w:rsidR="00A04E6F" w:rsidRPr="006E404E">
        <w:rPr>
          <w:szCs w:val="22"/>
        </w:rPr>
        <w:t xml:space="preserve"> and other </w:t>
      </w:r>
      <w:r w:rsidR="00C24F2A" w:rsidRPr="006E404E">
        <w:rPr>
          <w:szCs w:val="22"/>
        </w:rPr>
        <w:t xml:space="preserve">stakeholders will be involved and consulted during the </w:t>
      </w:r>
      <w:r w:rsidR="0027645F" w:rsidRPr="006E404E">
        <w:rPr>
          <w:szCs w:val="22"/>
        </w:rPr>
        <w:t>TE</w:t>
      </w:r>
      <w:r w:rsidR="00C24F2A" w:rsidRPr="006E404E">
        <w:rPr>
          <w:szCs w:val="22"/>
        </w:rPr>
        <w:t xml:space="preserve"> process. </w:t>
      </w:r>
      <w:r w:rsidRPr="006E404E">
        <w:rPr>
          <w:rFonts w:cs="Calibri"/>
          <w:szCs w:val="22"/>
        </w:rPr>
        <w:t xml:space="preserve">Additional quality assurance support is available from the UNDP-GEF Directorate. The final TE report will be cleared by the UNDP Country Office and the UNDP-GEF Regional Technical Adviser, and will be approved by the Project </w:t>
      </w:r>
      <w:r w:rsidR="0027645F" w:rsidRPr="006E404E">
        <w:rPr>
          <w:rFonts w:cs="Calibri"/>
          <w:szCs w:val="22"/>
        </w:rPr>
        <w:t>Steering Committee</w:t>
      </w:r>
      <w:r w:rsidRPr="006E404E">
        <w:rPr>
          <w:rFonts w:cs="Calibri"/>
          <w:szCs w:val="22"/>
        </w:rPr>
        <w:t xml:space="preserve">. The TE report will be publically available in English on the UNDP ERC. </w:t>
      </w:r>
    </w:p>
    <w:p w14:paraId="34948FAD" w14:textId="77777777" w:rsidR="00B27C54" w:rsidRPr="006E404E" w:rsidRDefault="003E3ABA" w:rsidP="006E404E">
      <w:pPr>
        <w:spacing w:before="120" w:after="120"/>
        <w:ind w:left="720"/>
        <w:jc w:val="both"/>
        <w:rPr>
          <w:rFonts w:cs="Calibri"/>
          <w:szCs w:val="22"/>
        </w:rPr>
      </w:pPr>
      <w:r w:rsidRPr="006E404E">
        <w:rPr>
          <w:rFonts w:cs="Calibri"/>
          <w:szCs w:val="22"/>
        </w:rPr>
        <w:t xml:space="preserve">The UNDP Country Office will include the planned project </w:t>
      </w:r>
      <w:r w:rsidR="0027645F" w:rsidRPr="006E404E">
        <w:rPr>
          <w:rFonts w:cs="Calibri"/>
          <w:szCs w:val="22"/>
        </w:rPr>
        <w:t>TE</w:t>
      </w:r>
      <w:r w:rsidRPr="006E404E">
        <w:rPr>
          <w:rFonts w:cs="Calibri"/>
          <w:szCs w:val="22"/>
        </w:rPr>
        <w:t xml:space="preserve"> in the UNDP Country Office evaluation plan, and will upload the final </w:t>
      </w:r>
      <w:r w:rsidR="0027645F" w:rsidRPr="006E404E">
        <w:rPr>
          <w:rFonts w:cs="Calibri"/>
          <w:szCs w:val="22"/>
        </w:rPr>
        <w:t>TE</w:t>
      </w:r>
      <w:r w:rsidRPr="006E404E">
        <w:rPr>
          <w:rFonts w:cs="Calibri"/>
          <w:szCs w:val="22"/>
        </w:rPr>
        <w:t xml:space="preserve"> report in English and the corresponding management response to the UNDP ERC. Once uploaded to the ERC, the UNDP I</w:t>
      </w:r>
      <w:r w:rsidR="00E45EC4" w:rsidRPr="006E404E">
        <w:rPr>
          <w:rFonts w:cs="Calibri"/>
          <w:szCs w:val="22"/>
        </w:rPr>
        <w:t>EO</w:t>
      </w:r>
      <w:r w:rsidRPr="006E404E">
        <w:rPr>
          <w:rFonts w:cs="Calibri"/>
          <w:szCs w:val="22"/>
        </w:rPr>
        <w:t xml:space="preserve"> will undertake a quality assessment and validate the findings and ratings in the TE report, and rate the quality of the TE report.  The UNDP IEO assessment report will be sent to the GEF I</w:t>
      </w:r>
      <w:r w:rsidR="00E45EC4" w:rsidRPr="006E404E">
        <w:rPr>
          <w:rFonts w:cs="Calibri"/>
          <w:szCs w:val="22"/>
        </w:rPr>
        <w:t>EO</w:t>
      </w:r>
      <w:r w:rsidRPr="006E404E">
        <w:rPr>
          <w:rFonts w:cs="Calibri"/>
          <w:szCs w:val="22"/>
        </w:rPr>
        <w:t xml:space="preserve"> along with the project </w:t>
      </w:r>
      <w:r w:rsidR="0027645F" w:rsidRPr="006E404E">
        <w:rPr>
          <w:rFonts w:cs="Calibri"/>
          <w:szCs w:val="22"/>
        </w:rPr>
        <w:t>TE</w:t>
      </w:r>
      <w:r w:rsidRPr="006E404E">
        <w:rPr>
          <w:rFonts w:cs="Calibri"/>
          <w:szCs w:val="22"/>
        </w:rPr>
        <w:t xml:space="preserve"> report.</w:t>
      </w:r>
    </w:p>
    <w:p w14:paraId="4258A994" w14:textId="77777777" w:rsidR="003E3ABA" w:rsidRPr="006E404E" w:rsidRDefault="003E3ABA" w:rsidP="0020322F">
      <w:pPr>
        <w:numPr>
          <w:ilvl w:val="0"/>
          <w:numId w:val="10"/>
        </w:numPr>
        <w:spacing w:before="120" w:after="120"/>
        <w:jc w:val="both"/>
        <w:rPr>
          <w:rFonts w:cs="Calibri"/>
          <w:szCs w:val="22"/>
        </w:rPr>
      </w:pPr>
      <w:r w:rsidRPr="006E404E">
        <w:rPr>
          <w:rFonts w:cs="Calibri"/>
          <w:b/>
          <w:szCs w:val="22"/>
        </w:rPr>
        <w:t>Final Report:</w:t>
      </w:r>
      <w:r w:rsidRPr="006E404E">
        <w:rPr>
          <w:rFonts w:cs="Calibri"/>
          <w:szCs w:val="22"/>
        </w:rPr>
        <w:t xml:space="preserve"> The project’s terminal PIR along with the TE report and corresponding management response will serve as the</w:t>
      </w:r>
      <w:r w:rsidR="00A04E6F" w:rsidRPr="006E404E">
        <w:rPr>
          <w:rFonts w:cs="Calibri"/>
          <w:szCs w:val="22"/>
        </w:rPr>
        <w:t xml:space="preserve"> final project report package. </w:t>
      </w:r>
      <w:r w:rsidRPr="006E404E">
        <w:rPr>
          <w:rFonts w:cs="Calibri"/>
          <w:szCs w:val="22"/>
        </w:rPr>
        <w:t xml:space="preserve">The final project report package shall be discussed with the Project </w:t>
      </w:r>
      <w:r w:rsidR="0027645F" w:rsidRPr="006E404E">
        <w:rPr>
          <w:rFonts w:cs="Calibri"/>
          <w:szCs w:val="22"/>
        </w:rPr>
        <w:t xml:space="preserve">Steering Committee </w:t>
      </w:r>
      <w:r w:rsidRPr="006E404E">
        <w:rPr>
          <w:rFonts w:cs="Calibri"/>
          <w:szCs w:val="22"/>
        </w:rPr>
        <w:t>during an end-of-project review meeting to discuss lesson learned and opportunities for scaling</w:t>
      </w:r>
      <w:r w:rsidR="0027645F" w:rsidRPr="006E404E">
        <w:rPr>
          <w:rFonts w:cs="Calibri"/>
          <w:szCs w:val="22"/>
        </w:rPr>
        <w:t>-</w:t>
      </w:r>
      <w:r w:rsidRPr="006E404E">
        <w:rPr>
          <w:rFonts w:cs="Calibri"/>
          <w:szCs w:val="22"/>
        </w:rPr>
        <w:t>up.</w:t>
      </w:r>
    </w:p>
    <w:p w14:paraId="5E6E626A" w14:textId="77777777" w:rsidR="00C314E7" w:rsidRPr="007511BD" w:rsidRDefault="00C314E7" w:rsidP="00863DD5">
      <w:pPr>
        <w:pStyle w:val="aff3"/>
      </w:pPr>
      <w:bookmarkStart w:id="89" w:name="_Toc479693915"/>
      <w:r>
        <w:t xml:space="preserve">Table </w:t>
      </w:r>
      <w:r w:rsidR="00AA15A7">
        <w:fldChar w:fldCharType="begin"/>
      </w:r>
      <w:r w:rsidR="00AA15A7">
        <w:instrText xml:space="preserve"> SEQ Table \* ARABIC </w:instrText>
      </w:r>
      <w:r w:rsidR="00AA15A7">
        <w:fldChar w:fldCharType="separate"/>
      </w:r>
      <w:r w:rsidR="00921873">
        <w:rPr>
          <w:noProof/>
        </w:rPr>
        <w:t>8</w:t>
      </w:r>
      <w:r w:rsidR="00AA15A7">
        <w:rPr>
          <w:noProof/>
        </w:rPr>
        <w:fldChar w:fldCharType="end"/>
      </w:r>
      <w:r>
        <w:t xml:space="preserve">: </w:t>
      </w:r>
      <w:r w:rsidR="0073237B">
        <w:t>Mandatory GEF</w:t>
      </w:r>
      <w:r>
        <w:t xml:space="preserve"> M&amp;E </w:t>
      </w:r>
      <w:r w:rsidR="0073237B">
        <w:t>R</w:t>
      </w:r>
      <w:r>
        <w:t xml:space="preserve">equirements and </w:t>
      </w:r>
      <w:r w:rsidR="0073237B">
        <w:t>M&amp;E Budget</w:t>
      </w:r>
      <w:bookmarkEnd w:id="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4"/>
        <w:gridCol w:w="1926"/>
        <w:gridCol w:w="1485"/>
        <w:gridCol w:w="1017"/>
        <w:gridCol w:w="2008"/>
      </w:tblGrid>
      <w:tr w:rsidR="003E3ABA" w:rsidRPr="006E404E" w14:paraId="175EC94D" w14:textId="77777777" w:rsidTr="00BA08CA">
        <w:trPr>
          <w:trHeight w:val="449"/>
          <w:tblHeader/>
          <w:jc w:val="center"/>
        </w:trPr>
        <w:tc>
          <w:tcPr>
            <w:tcW w:w="0" w:type="auto"/>
            <w:vMerge w:val="restart"/>
            <w:shd w:val="clear" w:color="auto" w:fill="BFBFBF"/>
          </w:tcPr>
          <w:p w14:paraId="4BC25991" w14:textId="77777777" w:rsidR="003E3ABA" w:rsidRPr="006E404E" w:rsidRDefault="003E3ABA" w:rsidP="004622EC">
            <w:pPr>
              <w:jc w:val="center"/>
              <w:rPr>
                <w:rFonts w:cs="Calibri"/>
                <w:b/>
                <w:sz w:val="20"/>
                <w:szCs w:val="20"/>
              </w:rPr>
            </w:pPr>
            <w:r w:rsidRPr="006E404E">
              <w:rPr>
                <w:rFonts w:cs="Calibri"/>
                <w:b/>
                <w:sz w:val="20"/>
                <w:szCs w:val="20"/>
              </w:rPr>
              <w:t>GEF M&amp;E requirements</w:t>
            </w:r>
          </w:p>
        </w:tc>
        <w:tc>
          <w:tcPr>
            <w:tcW w:w="0" w:type="auto"/>
            <w:vMerge w:val="restart"/>
            <w:shd w:val="clear" w:color="auto" w:fill="BFBFBF"/>
          </w:tcPr>
          <w:p w14:paraId="79F30071" w14:textId="77777777" w:rsidR="003E3ABA" w:rsidRPr="006E404E" w:rsidRDefault="003E3ABA" w:rsidP="004622EC">
            <w:pPr>
              <w:jc w:val="center"/>
              <w:rPr>
                <w:rFonts w:cs="Calibri"/>
                <w:b/>
                <w:sz w:val="20"/>
                <w:szCs w:val="20"/>
              </w:rPr>
            </w:pPr>
            <w:r w:rsidRPr="006E404E">
              <w:rPr>
                <w:rFonts w:cs="Calibri"/>
                <w:b/>
                <w:sz w:val="20"/>
                <w:szCs w:val="20"/>
              </w:rPr>
              <w:t>Primary responsibility</w:t>
            </w:r>
          </w:p>
        </w:tc>
        <w:tc>
          <w:tcPr>
            <w:tcW w:w="0" w:type="auto"/>
            <w:gridSpan w:val="2"/>
            <w:shd w:val="clear" w:color="auto" w:fill="BFBFBF"/>
          </w:tcPr>
          <w:p w14:paraId="7A64D70C" w14:textId="77777777" w:rsidR="003E3ABA" w:rsidRPr="006E404E" w:rsidRDefault="003E3ABA" w:rsidP="004622EC">
            <w:pPr>
              <w:jc w:val="center"/>
              <w:rPr>
                <w:rFonts w:cs="Calibri"/>
                <w:b/>
                <w:sz w:val="20"/>
                <w:szCs w:val="20"/>
              </w:rPr>
            </w:pPr>
            <w:r w:rsidRPr="006E404E">
              <w:rPr>
                <w:rFonts w:cs="Calibri"/>
                <w:b/>
                <w:sz w:val="20"/>
                <w:szCs w:val="20"/>
              </w:rPr>
              <w:t>Indicative costs to be charged to the Project Budget</w:t>
            </w:r>
            <w:r w:rsidRPr="006E404E">
              <w:rPr>
                <w:rStyle w:val="afa"/>
                <w:rFonts w:ascii="Calibri" w:hAnsi="Calibri"/>
                <w:b/>
                <w:sz w:val="20"/>
                <w:szCs w:val="20"/>
              </w:rPr>
              <w:footnoteReference w:id="15"/>
            </w:r>
            <w:r w:rsidRPr="006E404E">
              <w:rPr>
                <w:rFonts w:cs="Calibri"/>
                <w:b/>
                <w:sz w:val="20"/>
                <w:szCs w:val="20"/>
              </w:rPr>
              <w:t xml:space="preserve"> (US$)</w:t>
            </w:r>
          </w:p>
        </w:tc>
        <w:tc>
          <w:tcPr>
            <w:tcW w:w="0" w:type="auto"/>
            <w:vMerge w:val="restart"/>
            <w:shd w:val="clear" w:color="auto" w:fill="BFBFBF"/>
          </w:tcPr>
          <w:p w14:paraId="099AEC10" w14:textId="77777777" w:rsidR="003E3ABA" w:rsidRPr="006E404E" w:rsidRDefault="003E3ABA" w:rsidP="004622EC">
            <w:pPr>
              <w:jc w:val="center"/>
              <w:rPr>
                <w:rFonts w:cs="Calibri"/>
                <w:b/>
                <w:sz w:val="20"/>
                <w:szCs w:val="20"/>
              </w:rPr>
            </w:pPr>
            <w:r w:rsidRPr="006E404E">
              <w:rPr>
                <w:rFonts w:cs="Calibri"/>
                <w:b/>
                <w:sz w:val="20"/>
                <w:szCs w:val="20"/>
              </w:rPr>
              <w:t>Time frame</w:t>
            </w:r>
          </w:p>
        </w:tc>
      </w:tr>
      <w:tr w:rsidR="003E3ABA" w:rsidRPr="006E404E" w14:paraId="5BDBE3E8" w14:textId="77777777" w:rsidTr="00BA08CA">
        <w:trPr>
          <w:trHeight w:val="251"/>
          <w:tblHeader/>
          <w:jc w:val="center"/>
        </w:trPr>
        <w:tc>
          <w:tcPr>
            <w:tcW w:w="0" w:type="auto"/>
            <w:vMerge/>
            <w:shd w:val="clear" w:color="auto" w:fill="BFBFBF"/>
          </w:tcPr>
          <w:p w14:paraId="2A5D5E40" w14:textId="77777777" w:rsidR="003E3ABA" w:rsidRPr="006E404E" w:rsidRDefault="003E3ABA" w:rsidP="004622EC">
            <w:pPr>
              <w:rPr>
                <w:rFonts w:cs="Calibri"/>
                <w:b/>
                <w:sz w:val="20"/>
                <w:szCs w:val="20"/>
              </w:rPr>
            </w:pPr>
          </w:p>
        </w:tc>
        <w:tc>
          <w:tcPr>
            <w:tcW w:w="0" w:type="auto"/>
            <w:vMerge/>
            <w:shd w:val="clear" w:color="auto" w:fill="BFBFBF"/>
          </w:tcPr>
          <w:p w14:paraId="5AF57778" w14:textId="77777777" w:rsidR="003E3ABA" w:rsidRPr="006E404E" w:rsidRDefault="003E3ABA" w:rsidP="004622EC">
            <w:pPr>
              <w:rPr>
                <w:rFonts w:cs="Calibri"/>
                <w:b/>
                <w:sz w:val="20"/>
                <w:szCs w:val="20"/>
              </w:rPr>
            </w:pPr>
          </w:p>
        </w:tc>
        <w:tc>
          <w:tcPr>
            <w:tcW w:w="0" w:type="auto"/>
            <w:shd w:val="clear" w:color="auto" w:fill="BFBFBF"/>
          </w:tcPr>
          <w:p w14:paraId="15F5159B" w14:textId="77777777" w:rsidR="003E3ABA" w:rsidRPr="006E404E" w:rsidRDefault="003E3ABA" w:rsidP="004622EC">
            <w:pPr>
              <w:jc w:val="center"/>
              <w:rPr>
                <w:rFonts w:cs="Calibri"/>
                <w:b/>
                <w:sz w:val="20"/>
                <w:szCs w:val="20"/>
              </w:rPr>
            </w:pPr>
            <w:r w:rsidRPr="006E404E">
              <w:rPr>
                <w:rFonts w:cs="Calibri"/>
                <w:b/>
                <w:sz w:val="20"/>
                <w:szCs w:val="20"/>
              </w:rPr>
              <w:t>GEF grant</w:t>
            </w:r>
          </w:p>
        </w:tc>
        <w:tc>
          <w:tcPr>
            <w:tcW w:w="0" w:type="auto"/>
            <w:shd w:val="clear" w:color="auto" w:fill="BFBFBF"/>
          </w:tcPr>
          <w:p w14:paraId="764A9B12" w14:textId="77777777" w:rsidR="003E3ABA" w:rsidRPr="006E404E" w:rsidRDefault="003E3ABA" w:rsidP="004622EC">
            <w:pPr>
              <w:jc w:val="center"/>
              <w:rPr>
                <w:rFonts w:cs="Calibri"/>
                <w:b/>
                <w:sz w:val="20"/>
                <w:szCs w:val="20"/>
              </w:rPr>
            </w:pPr>
            <w:r w:rsidRPr="006E404E">
              <w:rPr>
                <w:rFonts w:cs="Calibri"/>
                <w:b/>
                <w:sz w:val="20"/>
                <w:szCs w:val="20"/>
              </w:rPr>
              <w:t>Co-financing</w:t>
            </w:r>
          </w:p>
        </w:tc>
        <w:tc>
          <w:tcPr>
            <w:tcW w:w="0" w:type="auto"/>
            <w:vMerge/>
            <w:shd w:val="clear" w:color="auto" w:fill="BFBFBF"/>
          </w:tcPr>
          <w:p w14:paraId="272BF17C" w14:textId="77777777" w:rsidR="003E3ABA" w:rsidRPr="006E404E" w:rsidRDefault="003E3ABA" w:rsidP="004622EC">
            <w:pPr>
              <w:rPr>
                <w:rFonts w:cs="Calibri"/>
                <w:b/>
                <w:sz w:val="20"/>
                <w:szCs w:val="20"/>
              </w:rPr>
            </w:pPr>
          </w:p>
        </w:tc>
      </w:tr>
      <w:tr w:rsidR="003E3ABA" w:rsidRPr="006E404E" w14:paraId="47F5DFFD" w14:textId="77777777" w:rsidTr="00BA08CA">
        <w:trPr>
          <w:jc w:val="center"/>
        </w:trPr>
        <w:tc>
          <w:tcPr>
            <w:tcW w:w="0" w:type="auto"/>
          </w:tcPr>
          <w:p w14:paraId="1DC32E86" w14:textId="77777777" w:rsidR="003E3ABA" w:rsidRPr="006E404E" w:rsidRDefault="003E3ABA" w:rsidP="004622EC">
            <w:pPr>
              <w:rPr>
                <w:rFonts w:cs="Calibri"/>
                <w:b/>
                <w:sz w:val="20"/>
                <w:szCs w:val="20"/>
              </w:rPr>
            </w:pPr>
            <w:r w:rsidRPr="006E404E">
              <w:rPr>
                <w:rFonts w:cs="Calibri"/>
                <w:b/>
                <w:sz w:val="20"/>
                <w:szCs w:val="20"/>
              </w:rPr>
              <w:t xml:space="preserve">Inception Workshop </w:t>
            </w:r>
          </w:p>
        </w:tc>
        <w:tc>
          <w:tcPr>
            <w:tcW w:w="0" w:type="auto"/>
          </w:tcPr>
          <w:p w14:paraId="63DC8C17" w14:textId="77777777" w:rsidR="003E3ABA" w:rsidRPr="006E404E" w:rsidRDefault="003E3ABA" w:rsidP="004622EC">
            <w:pPr>
              <w:rPr>
                <w:rFonts w:cs="Calibri"/>
                <w:sz w:val="20"/>
                <w:szCs w:val="20"/>
              </w:rPr>
            </w:pPr>
            <w:r w:rsidRPr="006E404E">
              <w:rPr>
                <w:rFonts w:cs="Calibri"/>
                <w:sz w:val="20"/>
                <w:szCs w:val="20"/>
              </w:rPr>
              <w:t xml:space="preserve">UNDP Country Office </w:t>
            </w:r>
          </w:p>
        </w:tc>
        <w:tc>
          <w:tcPr>
            <w:tcW w:w="0" w:type="auto"/>
          </w:tcPr>
          <w:p w14:paraId="1EF73E27" w14:textId="77777777" w:rsidR="003E3ABA" w:rsidRPr="006E404E" w:rsidRDefault="003E3ABA" w:rsidP="004622EC">
            <w:pPr>
              <w:jc w:val="right"/>
              <w:rPr>
                <w:rFonts w:cs="Calibri"/>
                <w:sz w:val="20"/>
                <w:szCs w:val="20"/>
              </w:rPr>
            </w:pPr>
            <w:r w:rsidRPr="006E404E">
              <w:rPr>
                <w:rFonts w:cs="Calibri"/>
                <w:sz w:val="20"/>
                <w:szCs w:val="20"/>
              </w:rPr>
              <w:t>1</w:t>
            </w:r>
            <w:r w:rsidR="00711DC9" w:rsidRPr="006E404E">
              <w:rPr>
                <w:rFonts w:cs="Calibri"/>
                <w:sz w:val="20"/>
                <w:szCs w:val="20"/>
              </w:rPr>
              <w:t>0</w:t>
            </w:r>
            <w:r w:rsidRPr="006E404E">
              <w:rPr>
                <w:rFonts w:cs="Calibri"/>
                <w:sz w:val="20"/>
                <w:szCs w:val="20"/>
              </w:rPr>
              <w:t>,000</w:t>
            </w:r>
          </w:p>
        </w:tc>
        <w:tc>
          <w:tcPr>
            <w:tcW w:w="0" w:type="auto"/>
          </w:tcPr>
          <w:p w14:paraId="0E1811F2" w14:textId="77777777" w:rsidR="003E3ABA" w:rsidRPr="006E404E" w:rsidRDefault="003E3ABA" w:rsidP="004622EC">
            <w:pPr>
              <w:rPr>
                <w:rFonts w:cs="Calibri"/>
                <w:i/>
                <w:sz w:val="20"/>
                <w:szCs w:val="20"/>
              </w:rPr>
            </w:pPr>
          </w:p>
        </w:tc>
        <w:tc>
          <w:tcPr>
            <w:tcW w:w="0" w:type="auto"/>
          </w:tcPr>
          <w:p w14:paraId="4C753818" w14:textId="77777777" w:rsidR="003E3ABA" w:rsidRPr="006E404E" w:rsidRDefault="003E3ABA" w:rsidP="004622EC">
            <w:pPr>
              <w:rPr>
                <w:rFonts w:cs="Calibri"/>
                <w:sz w:val="20"/>
                <w:szCs w:val="20"/>
              </w:rPr>
            </w:pPr>
            <w:r w:rsidRPr="006E404E">
              <w:rPr>
                <w:rFonts w:cs="Calibri"/>
                <w:sz w:val="20"/>
                <w:szCs w:val="20"/>
              </w:rPr>
              <w:t xml:space="preserve">Within two months of project document signature </w:t>
            </w:r>
          </w:p>
        </w:tc>
      </w:tr>
      <w:tr w:rsidR="003E3ABA" w:rsidRPr="006E404E" w14:paraId="18E1AC63" w14:textId="77777777" w:rsidTr="00BA08CA">
        <w:trPr>
          <w:jc w:val="center"/>
        </w:trPr>
        <w:tc>
          <w:tcPr>
            <w:tcW w:w="0" w:type="auto"/>
          </w:tcPr>
          <w:p w14:paraId="3E9EBCA2" w14:textId="77777777" w:rsidR="003E3ABA" w:rsidRPr="006E404E" w:rsidRDefault="003E3ABA" w:rsidP="004622EC">
            <w:pPr>
              <w:rPr>
                <w:rFonts w:cs="Calibri"/>
                <w:b/>
                <w:sz w:val="20"/>
                <w:szCs w:val="20"/>
              </w:rPr>
            </w:pPr>
            <w:r w:rsidRPr="006E404E">
              <w:rPr>
                <w:rFonts w:cs="Calibri"/>
                <w:b/>
                <w:sz w:val="20"/>
                <w:szCs w:val="20"/>
              </w:rPr>
              <w:t>Inception Report</w:t>
            </w:r>
          </w:p>
        </w:tc>
        <w:tc>
          <w:tcPr>
            <w:tcW w:w="0" w:type="auto"/>
          </w:tcPr>
          <w:p w14:paraId="6AB776E1" w14:textId="77777777" w:rsidR="003E3ABA" w:rsidRPr="006E404E" w:rsidRDefault="003E3ABA" w:rsidP="004622EC">
            <w:pPr>
              <w:rPr>
                <w:rFonts w:cs="Calibri"/>
                <w:sz w:val="20"/>
                <w:szCs w:val="20"/>
              </w:rPr>
            </w:pPr>
            <w:r w:rsidRPr="006E404E">
              <w:rPr>
                <w:rFonts w:cs="Calibri"/>
                <w:sz w:val="20"/>
                <w:szCs w:val="20"/>
              </w:rPr>
              <w:t>Project Manager</w:t>
            </w:r>
          </w:p>
        </w:tc>
        <w:tc>
          <w:tcPr>
            <w:tcW w:w="0" w:type="auto"/>
          </w:tcPr>
          <w:p w14:paraId="1B588263" w14:textId="77777777" w:rsidR="003E3ABA" w:rsidRPr="006E404E" w:rsidRDefault="003E3ABA" w:rsidP="004622EC">
            <w:pPr>
              <w:rPr>
                <w:rFonts w:cs="Calibri"/>
                <w:sz w:val="20"/>
                <w:szCs w:val="20"/>
              </w:rPr>
            </w:pPr>
            <w:r w:rsidRPr="006E404E">
              <w:rPr>
                <w:rFonts w:cs="Calibri"/>
                <w:sz w:val="20"/>
                <w:szCs w:val="20"/>
              </w:rPr>
              <w:t>None</w:t>
            </w:r>
          </w:p>
        </w:tc>
        <w:tc>
          <w:tcPr>
            <w:tcW w:w="0" w:type="auto"/>
          </w:tcPr>
          <w:p w14:paraId="2D8ED1FA" w14:textId="77777777" w:rsidR="003E3ABA" w:rsidRPr="006E404E" w:rsidRDefault="003E3ABA" w:rsidP="004622EC">
            <w:pPr>
              <w:rPr>
                <w:rFonts w:cs="Calibri"/>
                <w:sz w:val="20"/>
                <w:szCs w:val="20"/>
              </w:rPr>
            </w:pPr>
            <w:r w:rsidRPr="006E404E">
              <w:rPr>
                <w:rFonts w:cs="Calibri"/>
                <w:sz w:val="20"/>
                <w:szCs w:val="20"/>
              </w:rPr>
              <w:t>None</w:t>
            </w:r>
          </w:p>
        </w:tc>
        <w:tc>
          <w:tcPr>
            <w:tcW w:w="0" w:type="auto"/>
          </w:tcPr>
          <w:p w14:paraId="5B1A3EA2" w14:textId="77777777" w:rsidR="003E3ABA" w:rsidRPr="006E404E" w:rsidRDefault="003E3ABA" w:rsidP="004622EC">
            <w:pPr>
              <w:rPr>
                <w:rFonts w:cs="Calibri"/>
                <w:sz w:val="20"/>
                <w:szCs w:val="20"/>
              </w:rPr>
            </w:pPr>
            <w:r w:rsidRPr="006E404E">
              <w:rPr>
                <w:rFonts w:cs="Calibri"/>
                <w:sz w:val="20"/>
                <w:szCs w:val="20"/>
              </w:rPr>
              <w:t>Within two weeks of inception workshop</w:t>
            </w:r>
          </w:p>
        </w:tc>
      </w:tr>
      <w:tr w:rsidR="003E3ABA" w:rsidRPr="006E404E" w14:paraId="01108ED4" w14:textId="77777777" w:rsidTr="00BA08CA">
        <w:trPr>
          <w:jc w:val="center"/>
        </w:trPr>
        <w:tc>
          <w:tcPr>
            <w:tcW w:w="0" w:type="auto"/>
          </w:tcPr>
          <w:p w14:paraId="249F1C25" w14:textId="77777777" w:rsidR="003E3ABA" w:rsidRPr="006E404E" w:rsidRDefault="003E3ABA" w:rsidP="004622EC">
            <w:pPr>
              <w:rPr>
                <w:rFonts w:cs="Calibri"/>
                <w:b/>
                <w:sz w:val="20"/>
                <w:szCs w:val="20"/>
              </w:rPr>
            </w:pPr>
            <w:r w:rsidRPr="006E404E">
              <w:rPr>
                <w:rFonts w:cs="Calibri"/>
                <w:b/>
                <w:sz w:val="20"/>
                <w:szCs w:val="20"/>
              </w:rPr>
              <w:t>Standard UNDP monitoring and reporting requirements as outlined in the UNDP POPP</w:t>
            </w:r>
          </w:p>
        </w:tc>
        <w:tc>
          <w:tcPr>
            <w:tcW w:w="0" w:type="auto"/>
          </w:tcPr>
          <w:p w14:paraId="07078A8A" w14:textId="77777777" w:rsidR="003E3ABA" w:rsidRPr="006E404E" w:rsidRDefault="003E3ABA" w:rsidP="004622EC">
            <w:pPr>
              <w:rPr>
                <w:rFonts w:cs="Calibri"/>
                <w:sz w:val="20"/>
                <w:szCs w:val="20"/>
              </w:rPr>
            </w:pPr>
            <w:r w:rsidRPr="006E404E">
              <w:rPr>
                <w:rFonts w:cs="Calibri"/>
                <w:sz w:val="20"/>
                <w:szCs w:val="20"/>
              </w:rPr>
              <w:t>UNDP Country Office</w:t>
            </w:r>
          </w:p>
          <w:p w14:paraId="475A9478" w14:textId="77777777" w:rsidR="003E3ABA" w:rsidRPr="006E404E" w:rsidRDefault="003E3ABA" w:rsidP="004622EC">
            <w:pPr>
              <w:rPr>
                <w:rFonts w:cs="Calibri"/>
                <w:b/>
                <w:sz w:val="20"/>
                <w:szCs w:val="20"/>
              </w:rPr>
            </w:pPr>
          </w:p>
        </w:tc>
        <w:tc>
          <w:tcPr>
            <w:tcW w:w="0" w:type="auto"/>
          </w:tcPr>
          <w:p w14:paraId="78FE8C3E" w14:textId="77777777" w:rsidR="003E3ABA" w:rsidRPr="006E404E" w:rsidRDefault="003E3ABA" w:rsidP="004622EC">
            <w:pPr>
              <w:rPr>
                <w:rFonts w:cs="Calibri"/>
                <w:sz w:val="20"/>
                <w:szCs w:val="20"/>
              </w:rPr>
            </w:pPr>
            <w:r w:rsidRPr="006E404E">
              <w:rPr>
                <w:rFonts w:cs="Calibri"/>
                <w:sz w:val="20"/>
                <w:szCs w:val="20"/>
              </w:rPr>
              <w:t>None</w:t>
            </w:r>
          </w:p>
        </w:tc>
        <w:tc>
          <w:tcPr>
            <w:tcW w:w="0" w:type="auto"/>
          </w:tcPr>
          <w:p w14:paraId="58571FC2" w14:textId="77777777" w:rsidR="003E3ABA" w:rsidRPr="006E404E" w:rsidRDefault="003E3ABA" w:rsidP="004622EC">
            <w:pPr>
              <w:rPr>
                <w:rFonts w:cs="Calibri"/>
                <w:sz w:val="20"/>
                <w:szCs w:val="20"/>
              </w:rPr>
            </w:pPr>
            <w:r w:rsidRPr="006E404E">
              <w:rPr>
                <w:rFonts w:cs="Calibri"/>
                <w:sz w:val="20"/>
                <w:szCs w:val="20"/>
              </w:rPr>
              <w:t>None</w:t>
            </w:r>
          </w:p>
        </w:tc>
        <w:tc>
          <w:tcPr>
            <w:tcW w:w="0" w:type="auto"/>
          </w:tcPr>
          <w:p w14:paraId="216A2B6C" w14:textId="77777777" w:rsidR="003E3ABA" w:rsidRPr="006E404E" w:rsidRDefault="003E3ABA" w:rsidP="004622EC">
            <w:pPr>
              <w:rPr>
                <w:rFonts w:cs="Calibri"/>
                <w:sz w:val="20"/>
                <w:szCs w:val="20"/>
              </w:rPr>
            </w:pPr>
            <w:r w:rsidRPr="006E404E">
              <w:rPr>
                <w:rFonts w:cs="Calibri"/>
                <w:sz w:val="20"/>
                <w:szCs w:val="20"/>
              </w:rPr>
              <w:t>Quarterly, annually</w:t>
            </w:r>
          </w:p>
        </w:tc>
      </w:tr>
      <w:tr w:rsidR="003E3ABA" w:rsidRPr="006E404E" w14:paraId="5E293E18" w14:textId="77777777" w:rsidTr="00BA08CA">
        <w:trPr>
          <w:jc w:val="center"/>
        </w:trPr>
        <w:tc>
          <w:tcPr>
            <w:tcW w:w="0" w:type="auto"/>
          </w:tcPr>
          <w:p w14:paraId="7343FE27" w14:textId="77777777" w:rsidR="003E3ABA" w:rsidRPr="006E404E" w:rsidRDefault="003E3ABA" w:rsidP="004622EC">
            <w:pPr>
              <w:rPr>
                <w:rFonts w:cs="Calibri"/>
                <w:b/>
                <w:sz w:val="20"/>
                <w:szCs w:val="20"/>
              </w:rPr>
            </w:pPr>
            <w:r w:rsidRPr="006E404E">
              <w:rPr>
                <w:rFonts w:cs="Calibri"/>
                <w:b/>
                <w:sz w:val="20"/>
                <w:szCs w:val="20"/>
              </w:rPr>
              <w:t>Monitoring of indicato</w:t>
            </w:r>
            <w:r w:rsidR="00DC67FB" w:rsidRPr="006E404E">
              <w:rPr>
                <w:rFonts w:cs="Calibri"/>
                <w:b/>
                <w:sz w:val="20"/>
                <w:szCs w:val="20"/>
              </w:rPr>
              <w:t>rs in project results framework</w:t>
            </w:r>
          </w:p>
        </w:tc>
        <w:tc>
          <w:tcPr>
            <w:tcW w:w="0" w:type="auto"/>
          </w:tcPr>
          <w:p w14:paraId="127A25A5" w14:textId="77777777" w:rsidR="003E3ABA" w:rsidRPr="006E404E" w:rsidRDefault="003E3ABA" w:rsidP="004622EC">
            <w:pPr>
              <w:rPr>
                <w:rFonts w:cs="Calibri"/>
                <w:sz w:val="20"/>
                <w:szCs w:val="20"/>
              </w:rPr>
            </w:pPr>
            <w:r w:rsidRPr="006E404E">
              <w:rPr>
                <w:rFonts w:cs="Calibri"/>
                <w:sz w:val="20"/>
                <w:szCs w:val="20"/>
              </w:rPr>
              <w:t>Project Manager</w:t>
            </w:r>
          </w:p>
          <w:p w14:paraId="7302D32D" w14:textId="77777777" w:rsidR="003E3ABA" w:rsidRPr="006E404E" w:rsidRDefault="003E3ABA" w:rsidP="004622EC">
            <w:pPr>
              <w:rPr>
                <w:rFonts w:cs="Calibri"/>
                <w:sz w:val="20"/>
                <w:szCs w:val="20"/>
              </w:rPr>
            </w:pPr>
          </w:p>
        </w:tc>
        <w:tc>
          <w:tcPr>
            <w:tcW w:w="0" w:type="auto"/>
          </w:tcPr>
          <w:p w14:paraId="4E6C53F1" w14:textId="77777777" w:rsidR="006B0FF4" w:rsidRPr="006E404E" w:rsidRDefault="003E3ABA" w:rsidP="004622EC">
            <w:pPr>
              <w:pStyle w:val="BodyText23"/>
              <w:widowControl/>
              <w:tabs>
                <w:tab w:val="clear" w:pos="547"/>
              </w:tabs>
              <w:jc w:val="right"/>
              <w:rPr>
                <w:rFonts w:ascii="Calibri" w:hAnsi="Calibri" w:cs="Calibri"/>
                <w:snapToGrid/>
                <w:sz w:val="20"/>
                <w:lang w:val="en-GB"/>
              </w:rPr>
            </w:pPr>
            <w:r w:rsidRPr="006E404E">
              <w:rPr>
                <w:rFonts w:ascii="Calibri" w:hAnsi="Calibri" w:cs="Calibri"/>
                <w:i/>
                <w:snapToGrid/>
                <w:sz w:val="20"/>
                <w:lang w:val="en-GB"/>
              </w:rPr>
              <w:t>Per year:</w:t>
            </w:r>
            <w:r w:rsidRPr="006E404E">
              <w:rPr>
                <w:rFonts w:ascii="Calibri" w:hAnsi="Calibri" w:cs="Calibri"/>
                <w:snapToGrid/>
                <w:sz w:val="20"/>
                <w:lang w:val="en-GB"/>
              </w:rPr>
              <w:t xml:space="preserve"> 4,000</w:t>
            </w:r>
          </w:p>
          <w:p w14:paraId="2CDD224A" w14:textId="77777777" w:rsidR="003E3ABA" w:rsidRPr="006E404E" w:rsidRDefault="006B0FF4" w:rsidP="004622EC">
            <w:pPr>
              <w:pStyle w:val="BodyText23"/>
              <w:widowControl/>
              <w:tabs>
                <w:tab w:val="clear" w:pos="547"/>
              </w:tabs>
              <w:jc w:val="right"/>
              <w:rPr>
                <w:rFonts w:ascii="Calibri" w:hAnsi="Calibri" w:cs="Calibri"/>
                <w:snapToGrid/>
                <w:sz w:val="20"/>
                <w:lang w:val="en-GB"/>
              </w:rPr>
            </w:pPr>
            <w:r w:rsidRPr="006E404E">
              <w:rPr>
                <w:rFonts w:ascii="Calibri" w:hAnsi="Calibri" w:cs="Calibri"/>
                <w:i/>
                <w:snapToGrid/>
                <w:sz w:val="20"/>
                <w:lang w:val="en-GB"/>
              </w:rPr>
              <w:t>Total:</w:t>
            </w:r>
            <w:r w:rsidRPr="006E404E">
              <w:rPr>
                <w:rFonts w:ascii="Calibri" w:hAnsi="Calibri" w:cs="Calibri"/>
                <w:snapToGrid/>
                <w:sz w:val="20"/>
                <w:lang w:val="en-GB"/>
              </w:rPr>
              <w:t xml:space="preserve"> 20,000</w:t>
            </w:r>
          </w:p>
        </w:tc>
        <w:tc>
          <w:tcPr>
            <w:tcW w:w="0" w:type="auto"/>
          </w:tcPr>
          <w:p w14:paraId="3A792D47" w14:textId="77777777" w:rsidR="003E3ABA" w:rsidRPr="006E404E" w:rsidRDefault="003E3ABA" w:rsidP="004622EC">
            <w:pPr>
              <w:pStyle w:val="BodyText23"/>
              <w:widowControl/>
              <w:tabs>
                <w:tab w:val="clear" w:pos="547"/>
              </w:tabs>
              <w:rPr>
                <w:rFonts w:ascii="Calibri" w:hAnsi="Calibri" w:cs="Calibri"/>
                <w:i/>
                <w:snapToGrid/>
                <w:sz w:val="20"/>
                <w:lang w:val="en-GB"/>
              </w:rPr>
            </w:pPr>
          </w:p>
        </w:tc>
        <w:tc>
          <w:tcPr>
            <w:tcW w:w="0" w:type="auto"/>
          </w:tcPr>
          <w:p w14:paraId="55CABFB4" w14:textId="77777777" w:rsidR="003E3ABA" w:rsidRPr="006E404E" w:rsidRDefault="003E3ABA" w:rsidP="004622EC">
            <w:pPr>
              <w:rPr>
                <w:rFonts w:cs="Calibri"/>
                <w:sz w:val="20"/>
                <w:szCs w:val="20"/>
              </w:rPr>
            </w:pPr>
            <w:r w:rsidRPr="006E404E">
              <w:rPr>
                <w:rFonts w:cs="Calibri"/>
                <w:sz w:val="20"/>
                <w:szCs w:val="20"/>
              </w:rPr>
              <w:t xml:space="preserve">Annually </w:t>
            </w:r>
          </w:p>
        </w:tc>
      </w:tr>
      <w:tr w:rsidR="003E3ABA" w:rsidRPr="006E404E" w14:paraId="0CABB4A2" w14:textId="77777777" w:rsidTr="00BA08CA">
        <w:trPr>
          <w:jc w:val="center"/>
        </w:trPr>
        <w:tc>
          <w:tcPr>
            <w:tcW w:w="0" w:type="auto"/>
          </w:tcPr>
          <w:p w14:paraId="6F401986" w14:textId="77777777" w:rsidR="003E3ABA" w:rsidRPr="006E404E" w:rsidRDefault="003E3ABA" w:rsidP="004622EC">
            <w:pPr>
              <w:rPr>
                <w:rFonts w:cs="Calibri"/>
                <w:b/>
                <w:sz w:val="20"/>
                <w:szCs w:val="20"/>
              </w:rPr>
            </w:pPr>
            <w:r w:rsidRPr="006E404E">
              <w:rPr>
                <w:rFonts w:cs="Calibri"/>
                <w:b/>
                <w:sz w:val="20"/>
                <w:szCs w:val="20"/>
              </w:rPr>
              <w:t xml:space="preserve">GEF Project Implementation Report (PIR) </w:t>
            </w:r>
          </w:p>
        </w:tc>
        <w:tc>
          <w:tcPr>
            <w:tcW w:w="0" w:type="auto"/>
          </w:tcPr>
          <w:p w14:paraId="09201EB9" w14:textId="77777777" w:rsidR="003E3ABA" w:rsidRPr="006E404E" w:rsidRDefault="003E3ABA" w:rsidP="004622EC">
            <w:pPr>
              <w:rPr>
                <w:rFonts w:cs="Calibri"/>
                <w:sz w:val="20"/>
                <w:szCs w:val="20"/>
              </w:rPr>
            </w:pPr>
            <w:r w:rsidRPr="006E404E">
              <w:rPr>
                <w:rFonts w:cs="Calibri"/>
                <w:sz w:val="20"/>
                <w:szCs w:val="20"/>
              </w:rPr>
              <w:t>Project Manager and UNDP Country Office and UNDP-GEF team</w:t>
            </w:r>
          </w:p>
        </w:tc>
        <w:tc>
          <w:tcPr>
            <w:tcW w:w="0" w:type="auto"/>
          </w:tcPr>
          <w:p w14:paraId="30474832" w14:textId="77777777" w:rsidR="003E3ABA" w:rsidRPr="006E404E" w:rsidRDefault="003E3ABA" w:rsidP="004622EC">
            <w:pPr>
              <w:pStyle w:val="BodyText23"/>
              <w:widowControl/>
              <w:tabs>
                <w:tab w:val="clear" w:pos="547"/>
              </w:tabs>
              <w:rPr>
                <w:rFonts w:ascii="Calibri" w:hAnsi="Calibri" w:cs="Calibri"/>
                <w:snapToGrid/>
                <w:sz w:val="20"/>
                <w:lang w:val="en-GB"/>
              </w:rPr>
            </w:pPr>
            <w:r w:rsidRPr="006E404E">
              <w:rPr>
                <w:rFonts w:ascii="Calibri" w:hAnsi="Calibri" w:cs="Calibri"/>
                <w:snapToGrid/>
                <w:sz w:val="20"/>
                <w:lang w:val="en-GB"/>
              </w:rPr>
              <w:t>None</w:t>
            </w:r>
          </w:p>
        </w:tc>
        <w:tc>
          <w:tcPr>
            <w:tcW w:w="0" w:type="auto"/>
          </w:tcPr>
          <w:p w14:paraId="39A9675A" w14:textId="77777777" w:rsidR="003E3ABA" w:rsidRPr="006E404E" w:rsidRDefault="003E3ABA" w:rsidP="004622EC">
            <w:pPr>
              <w:pStyle w:val="BodyText23"/>
              <w:widowControl/>
              <w:tabs>
                <w:tab w:val="clear" w:pos="547"/>
              </w:tabs>
              <w:rPr>
                <w:rFonts w:ascii="Calibri" w:hAnsi="Calibri" w:cs="Calibri"/>
                <w:snapToGrid/>
                <w:sz w:val="20"/>
                <w:lang w:val="en-GB"/>
              </w:rPr>
            </w:pPr>
            <w:r w:rsidRPr="006E404E">
              <w:rPr>
                <w:rFonts w:ascii="Calibri" w:hAnsi="Calibri" w:cs="Calibri"/>
                <w:snapToGrid/>
                <w:sz w:val="20"/>
                <w:lang w:val="en-GB"/>
              </w:rPr>
              <w:t>None</w:t>
            </w:r>
          </w:p>
        </w:tc>
        <w:tc>
          <w:tcPr>
            <w:tcW w:w="0" w:type="auto"/>
          </w:tcPr>
          <w:p w14:paraId="32EEC296" w14:textId="77777777" w:rsidR="003E3ABA" w:rsidRPr="006E404E" w:rsidRDefault="003E3ABA" w:rsidP="004622EC">
            <w:pPr>
              <w:rPr>
                <w:rFonts w:cs="Calibri"/>
                <w:sz w:val="20"/>
                <w:szCs w:val="20"/>
              </w:rPr>
            </w:pPr>
            <w:r w:rsidRPr="006E404E">
              <w:rPr>
                <w:rFonts w:cs="Calibri"/>
                <w:sz w:val="20"/>
                <w:szCs w:val="20"/>
              </w:rPr>
              <w:t xml:space="preserve">Annually </w:t>
            </w:r>
          </w:p>
        </w:tc>
      </w:tr>
      <w:tr w:rsidR="003E3ABA" w:rsidRPr="006E404E" w14:paraId="0FC65EDA" w14:textId="77777777" w:rsidTr="00BA08CA">
        <w:trPr>
          <w:jc w:val="center"/>
        </w:trPr>
        <w:tc>
          <w:tcPr>
            <w:tcW w:w="0" w:type="auto"/>
          </w:tcPr>
          <w:p w14:paraId="323D70E9" w14:textId="77777777" w:rsidR="003E3ABA" w:rsidRPr="006E404E" w:rsidRDefault="003E3ABA" w:rsidP="004622EC">
            <w:pPr>
              <w:rPr>
                <w:rFonts w:cs="Calibri"/>
                <w:b/>
                <w:sz w:val="20"/>
                <w:szCs w:val="20"/>
              </w:rPr>
            </w:pPr>
            <w:r w:rsidRPr="006E404E">
              <w:rPr>
                <w:rFonts w:cs="Calibri"/>
                <w:b/>
                <w:sz w:val="20"/>
                <w:szCs w:val="20"/>
              </w:rPr>
              <w:t>NIM Audit as per UNDP audit policies</w:t>
            </w:r>
          </w:p>
        </w:tc>
        <w:tc>
          <w:tcPr>
            <w:tcW w:w="0" w:type="auto"/>
          </w:tcPr>
          <w:p w14:paraId="7A216E1D" w14:textId="77777777" w:rsidR="003E3ABA" w:rsidRPr="006E404E" w:rsidRDefault="003E3ABA" w:rsidP="004622EC">
            <w:pPr>
              <w:rPr>
                <w:rFonts w:cs="Calibri"/>
                <w:sz w:val="20"/>
                <w:szCs w:val="20"/>
              </w:rPr>
            </w:pPr>
            <w:r w:rsidRPr="006E404E">
              <w:rPr>
                <w:rFonts w:cs="Calibri"/>
                <w:sz w:val="20"/>
                <w:szCs w:val="20"/>
              </w:rPr>
              <w:t>UNDP Country Office</w:t>
            </w:r>
          </w:p>
        </w:tc>
        <w:tc>
          <w:tcPr>
            <w:tcW w:w="0" w:type="auto"/>
          </w:tcPr>
          <w:p w14:paraId="6F8A35B5" w14:textId="77777777" w:rsidR="003E3ABA" w:rsidRPr="006E404E" w:rsidRDefault="003E3ABA" w:rsidP="00711DC9">
            <w:pPr>
              <w:ind w:left="-132"/>
              <w:jc w:val="right"/>
              <w:rPr>
                <w:rFonts w:cs="Calibri"/>
                <w:sz w:val="20"/>
                <w:szCs w:val="20"/>
              </w:rPr>
            </w:pPr>
            <w:r w:rsidRPr="006E404E">
              <w:rPr>
                <w:rFonts w:cs="Calibri"/>
                <w:i/>
                <w:sz w:val="20"/>
                <w:szCs w:val="20"/>
              </w:rPr>
              <w:t>Per year:</w:t>
            </w:r>
            <w:r w:rsidRPr="006E404E">
              <w:rPr>
                <w:rFonts w:cs="Calibri"/>
                <w:sz w:val="20"/>
                <w:szCs w:val="20"/>
              </w:rPr>
              <w:t xml:space="preserve"> </w:t>
            </w:r>
            <w:r w:rsidR="00E938D5" w:rsidRPr="006E404E">
              <w:rPr>
                <w:rFonts w:cs="Calibri"/>
                <w:sz w:val="20"/>
                <w:szCs w:val="20"/>
              </w:rPr>
              <w:t>5,000</w:t>
            </w:r>
          </w:p>
          <w:p w14:paraId="243B659B" w14:textId="77777777" w:rsidR="006B0FF4" w:rsidRPr="006E404E" w:rsidRDefault="006B0FF4" w:rsidP="00711DC9">
            <w:pPr>
              <w:jc w:val="right"/>
              <w:rPr>
                <w:rFonts w:cs="Calibri"/>
                <w:sz w:val="20"/>
                <w:szCs w:val="20"/>
              </w:rPr>
            </w:pPr>
            <w:r w:rsidRPr="006E404E">
              <w:rPr>
                <w:rFonts w:cs="Calibri"/>
                <w:i/>
                <w:sz w:val="20"/>
                <w:szCs w:val="20"/>
              </w:rPr>
              <w:t>Total:</w:t>
            </w:r>
            <w:r w:rsidR="00711DC9" w:rsidRPr="006E404E">
              <w:rPr>
                <w:rFonts w:cs="Calibri"/>
                <w:sz w:val="20"/>
                <w:szCs w:val="20"/>
              </w:rPr>
              <w:t xml:space="preserve"> </w:t>
            </w:r>
            <w:r w:rsidRPr="006E404E">
              <w:rPr>
                <w:rFonts w:cs="Calibri"/>
                <w:sz w:val="20"/>
                <w:szCs w:val="20"/>
              </w:rPr>
              <w:t>25,000</w:t>
            </w:r>
          </w:p>
        </w:tc>
        <w:tc>
          <w:tcPr>
            <w:tcW w:w="0" w:type="auto"/>
          </w:tcPr>
          <w:p w14:paraId="15B5A0BC" w14:textId="77777777" w:rsidR="003E3ABA" w:rsidRPr="006E404E" w:rsidRDefault="003E3ABA" w:rsidP="004622EC">
            <w:pPr>
              <w:rPr>
                <w:rFonts w:cs="Calibri"/>
                <w:i/>
                <w:sz w:val="20"/>
                <w:szCs w:val="20"/>
              </w:rPr>
            </w:pPr>
          </w:p>
        </w:tc>
        <w:tc>
          <w:tcPr>
            <w:tcW w:w="0" w:type="auto"/>
          </w:tcPr>
          <w:p w14:paraId="73E41353" w14:textId="77777777" w:rsidR="003E3ABA" w:rsidRPr="006E404E" w:rsidRDefault="003E3ABA" w:rsidP="004622EC">
            <w:pPr>
              <w:rPr>
                <w:rFonts w:cs="Calibri"/>
                <w:sz w:val="20"/>
                <w:szCs w:val="20"/>
              </w:rPr>
            </w:pPr>
            <w:r w:rsidRPr="006E404E">
              <w:rPr>
                <w:rFonts w:cs="Calibri"/>
                <w:sz w:val="20"/>
                <w:szCs w:val="20"/>
              </w:rPr>
              <w:t>Annually or other frequency as per UNDP Audit policies</w:t>
            </w:r>
          </w:p>
        </w:tc>
      </w:tr>
      <w:tr w:rsidR="004346AE" w:rsidRPr="006E404E" w14:paraId="1FF3D27D" w14:textId="77777777" w:rsidTr="00BA08CA">
        <w:trPr>
          <w:jc w:val="center"/>
        </w:trPr>
        <w:tc>
          <w:tcPr>
            <w:tcW w:w="0" w:type="auto"/>
          </w:tcPr>
          <w:p w14:paraId="483182DF" w14:textId="77777777" w:rsidR="004346AE" w:rsidRPr="006E404E" w:rsidRDefault="004346AE" w:rsidP="004622EC">
            <w:pPr>
              <w:rPr>
                <w:rFonts w:cs="Calibri"/>
                <w:b/>
                <w:sz w:val="20"/>
                <w:szCs w:val="20"/>
              </w:rPr>
            </w:pPr>
            <w:r w:rsidRPr="006E404E">
              <w:rPr>
                <w:rFonts w:cs="Calibri"/>
                <w:b/>
                <w:sz w:val="20"/>
                <w:szCs w:val="20"/>
              </w:rPr>
              <w:t>Lessons learned and knowledge generation</w:t>
            </w:r>
          </w:p>
        </w:tc>
        <w:tc>
          <w:tcPr>
            <w:tcW w:w="0" w:type="auto"/>
          </w:tcPr>
          <w:p w14:paraId="2E768F43" w14:textId="77777777" w:rsidR="004346AE" w:rsidRPr="006E404E" w:rsidRDefault="004346AE" w:rsidP="004622EC">
            <w:pPr>
              <w:rPr>
                <w:rFonts w:cs="Calibri"/>
                <w:sz w:val="20"/>
                <w:szCs w:val="20"/>
              </w:rPr>
            </w:pPr>
            <w:r w:rsidRPr="006E404E">
              <w:rPr>
                <w:rFonts w:cs="Calibri"/>
                <w:sz w:val="20"/>
                <w:szCs w:val="20"/>
              </w:rPr>
              <w:t>Project Manager</w:t>
            </w:r>
          </w:p>
        </w:tc>
        <w:tc>
          <w:tcPr>
            <w:tcW w:w="0" w:type="auto"/>
          </w:tcPr>
          <w:p w14:paraId="1562C68C" w14:textId="77777777" w:rsidR="004346AE" w:rsidRPr="006E404E" w:rsidRDefault="004346AE" w:rsidP="004346AE">
            <w:pPr>
              <w:rPr>
                <w:rFonts w:cs="Calibri"/>
                <w:sz w:val="20"/>
                <w:szCs w:val="20"/>
              </w:rPr>
            </w:pPr>
            <w:r w:rsidRPr="006E404E">
              <w:rPr>
                <w:rFonts w:cs="Calibri"/>
                <w:sz w:val="20"/>
                <w:szCs w:val="20"/>
              </w:rPr>
              <w:t>None</w:t>
            </w:r>
          </w:p>
        </w:tc>
        <w:tc>
          <w:tcPr>
            <w:tcW w:w="0" w:type="auto"/>
          </w:tcPr>
          <w:p w14:paraId="0967AE19" w14:textId="77777777" w:rsidR="004346AE" w:rsidRPr="006E404E" w:rsidRDefault="004346AE" w:rsidP="004622EC">
            <w:pPr>
              <w:rPr>
                <w:rFonts w:cs="Calibri"/>
                <w:i/>
                <w:sz w:val="20"/>
                <w:szCs w:val="20"/>
              </w:rPr>
            </w:pPr>
          </w:p>
        </w:tc>
        <w:tc>
          <w:tcPr>
            <w:tcW w:w="0" w:type="auto"/>
          </w:tcPr>
          <w:p w14:paraId="698EA243" w14:textId="77777777" w:rsidR="004346AE" w:rsidRPr="006E404E" w:rsidRDefault="004346AE" w:rsidP="004622EC">
            <w:pPr>
              <w:rPr>
                <w:rFonts w:cs="Calibri"/>
                <w:sz w:val="20"/>
                <w:szCs w:val="20"/>
              </w:rPr>
            </w:pPr>
            <w:r w:rsidRPr="006E404E">
              <w:rPr>
                <w:rFonts w:cs="Calibri"/>
                <w:sz w:val="20"/>
                <w:szCs w:val="20"/>
              </w:rPr>
              <w:t>Annually</w:t>
            </w:r>
          </w:p>
        </w:tc>
      </w:tr>
      <w:tr w:rsidR="008277AC" w:rsidRPr="006E404E" w14:paraId="1B39E737" w14:textId="77777777" w:rsidTr="00BA08CA">
        <w:trPr>
          <w:jc w:val="center"/>
        </w:trPr>
        <w:tc>
          <w:tcPr>
            <w:tcW w:w="0" w:type="auto"/>
          </w:tcPr>
          <w:p w14:paraId="67DEB955" w14:textId="77777777" w:rsidR="008277AC" w:rsidRPr="006E404E" w:rsidRDefault="0001168F" w:rsidP="004622EC">
            <w:pPr>
              <w:rPr>
                <w:rFonts w:cs="Calibri"/>
                <w:b/>
                <w:sz w:val="20"/>
                <w:szCs w:val="20"/>
              </w:rPr>
            </w:pPr>
            <w:r w:rsidRPr="006E404E">
              <w:rPr>
                <w:rFonts w:cs="Calibri"/>
                <w:b/>
                <w:sz w:val="20"/>
                <w:szCs w:val="20"/>
              </w:rPr>
              <w:t xml:space="preserve">Monitoring of environmental and social </w:t>
            </w:r>
            <w:r w:rsidR="00A04E6F" w:rsidRPr="006E404E">
              <w:rPr>
                <w:rFonts w:cs="Calibri"/>
                <w:b/>
                <w:sz w:val="20"/>
                <w:szCs w:val="20"/>
              </w:rPr>
              <w:t xml:space="preserve">risks, and corresponding </w:t>
            </w:r>
            <w:r w:rsidRPr="006E404E">
              <w:rPr>
                <w:rFonts w:cs="Calibri"/>
                <w:b/>
                <w:sz w:val="20"/>
                <w:szCs w:val="20"/>
              </w:rPr>
              <w:t>management plans</w:t>
            </w:r>
            <w:r w:rsidR="00A04E6F" w:rsidRPr="006E404E">
              <w:rPr>
                <w:rFonts w:cs="Calibri"/>
                <w:b/>
                <w:sz w:val="20"/>
                <w:szCs w:val="20"/>
              </w:rPr>
              <w:t xml:space="preserve"> as relevant</w:t>
            </w:r>
          </w:p>
        </w:tc>
        <w:tc>
          <w:tcPr>
            <w:tcW w:w="0" w:type="auto"/>
          </w:tcPr>
          <w:p w14:paraId="6678ED5C" w14:textId="77777777" w:rsidR="008277AC" w:rsidRPr="006E404E" w:rsidRDefault="0001168F" w:rsidP="004622EC">
            <w:pPr>
              <w:rPr>
                <w:rFonts w:cs="Calibri"/>
                <w:sz w:val="20"/>
                <w:szCs w:val="20"/>
              </w:rPr>
            </w:pPr>
            <w:r w:rsidRPr="006E404E">
              <w:rPr>
                <w:rFonts w:cs="Calibri"/>
                <w:sz w:val="20"/>
                <w:szCs w:val="20"/>
              </w:rPr>
              <w:t>Project Manager</w:t>
            </w:r>
          </w:p>
          <w:p w14:paraId="4836C973" w14:textId="77777777" w:rsidR="0001168F" w:rsidRPr="006E404E" w:rsidRDefault="0001168F" w:rsidP="004622EC">
            <w:pPr>
              <w:rPr>
                <w:rFonts w:cs="Calibri"/>
                <w:sz w:val="20"/>
                <w:szCs w:val="20"/>
              </w:rPr>
            </w:pPr>
            <w:r w:rsidRPr="006E404E">
              <w:rPr>
                <w:rFonts w:cs="Calibri"/>
                <w:sz w:val="20"/>
                <w:szCs w:val="20"/>
              </w:rPr>
              <w:t>UNDP CO</w:t>
            </w:r>
          </w:p>
        </w:tc>
        <w:tc>
          <w:tcPr>
            <w:tcW w:w="0" w:type="auto"/>
          </w:tcPr>
          <w:p w14:paraId="78DB113F" w14:textId="77777777" w:rsidR="008277AC" w:rsidRPr="006E404E" w:rsidRDefault="0001168F" w:rsidP="004346AE">
            <w:pPr>
              <w:rPr>
                <w:rFonts w:cs="Calibri"/>
                <w:sz w:val="20"/>
                <w:szCs w:val="20"/>
              </w:rPr>
            </w:pPr>
            <w:r w:rsidRPr="006E404E">
              <w:rPr>
                <w:rFonts w:cs="Calibri"/>
                <w:sz w:val="20"/>
                <w:szCs w:val="20"/>
              </w:rPr>
              <w:t>None</w:t>
            </w:r>
          </w:p>
        </w:tc>
        <w:tc>
          <w:tcPr>
            <w:tcW w:w="0" w:type="auto"/>
          </w:tcPr>
          <w:p w14:paraId="0731A13D" w14:textId="77777777" w:rsidR="008277AC" w:rsidRPr="006E404E" w:rsidRDefault="008277AC" w:rsidP="004622EC">
            <w:pPr>
              <w:rPr>
                <w:rFonts w:cs="Calibri"/>
                <w:sz w:val="20"/>
                <w:szCs w:val="20"/>
              </w:rPr>
            </w:pPr>
          </w:p>
        </w:tc>
        <w:tc>
          <w:tcPr>
            <w:tcW w:w="0" w:type="auto"/>
          </w:tcPr>
          <w:p w14:paraId="160364AC" w14:textId="77777777" w:rsidR="008277AC" w:rsidRPr="006E404E" w:rsidRDefault="0001168F" w:rsidP="004622EC">
            <w:pPr>
              <w:rPr>
                <w:rFonts w:cs="Calibri"/>
                <w:sz w:val="20"/>
                <w:szCs w:val="20"/>
              </w:rPr>
            </w:pPr>
            <w:r w:rsidRPr="006E404E">
              <w:rPr>
                <w:rFonts w:cs="Calibri"/>
                <w:sz w:val="20"/>
                <w:szCs w:val="20"/>
              </w:rPr>
              <w:t>On-going</w:t>
            </w:r>
          </w:p>
        </w:tc>
      </w:tr>
      <w:tr w:rsidR="008277AC" w:rsidRPr="006E404E" w14:paraId="49FD5E01" w14:textId="77777777" w:rsidTr="00BA08CA">
        <w:trPr>
          <w:jc w:val="center"/>
        </w:trPr>
        <w:tc>
          <w:tcPr>
            <w:tcW w:w="0" w:type="auto"/>
          </w:tcPr>
          <w:p w14:paraId="1767DC76" w14:textId="77777777" w:rsidR="008277AC" w:rsidRPr="006E404E" w:rsidRDefault="008277AC" w:rsidP="004622EC">
            <w:pPr>
              <w:rPr>
                <w:rFonts w:cs="Calibri"/>
                <w:b/>
                <w:sz w:val="20"/>
                <w:szCs w:val="20"/>
              </w:rPr>
            </w:pPr>
            <w:r w:rsidRPr="006E404E">
              <w:rPr>
                <w:rFonts w:cs="Calibri"/>
                <w:b/>
                <w:sz w:val="20"/>
                <w:szCs w:val="20"/>
              </w:rPr>
              <w:t>Addressing environmental and social grievances</w:t>
            </w:r>
          </w:p>
        </w:tc>
        <w:tc>
          <w:tcPr>
            <w:tcW w:w="0" w:type="auto"/>
          </w:tcPr>
          <w:p w14:paraId="0681462E" w14:textId="77777777" w:rsidR="008277AC" w:rsidRPr="006E404E" w:rsidRDefault="008277AC" w:rsidP="004622EC">
            <w:pPr>
              <w:rPr>
                <w:rFonts w:cs="Calibri"/>
                <w:sz w:val="20"/>
                <w:szCs w:val="20"/>
              </w:rPr>
            </w:pPr>
            <w:r w:rsidRPr="006E404E">
              <w:rPr>
                <w:rFonts w:cs="Calibri"/>
                <w:sz w:val="20"/>
                <w:szCs w:val="20"/>
              </w:rPr>
              <w:t>Project Manager</w:t>
            </w:r>
          </w:p>
          <w:p w14:paraId="286E05BD" w14:textId="77777777" w:rsidR="008277AC" w:rsidRPr="006E404E" w:rsidRDefault="008277AC" w:rsidP="004622EC">
            <w:pPr>
              <w:rPr>
                <w:rFonts w:cs="Calibri"/>
                <w:sz w:val="20"/>
                <w:szCs w:val="20"/>
              </w:rPr>
            </w:pPr>
            <w:r w:rsidRPr="006E404E">
              <w:rPr>
                <w:rFonts w:cs="Calibri"/>
                <w:sz w:val="20"/>
                <w:szCs w:val="20"/>
              </w:rPr>
              <w:t>UNDP Country Office</w:t>
            </w:r>
          </w:p>
          <w:p w14:paraId="1FDEF1E3" w14:textId="77777777" w:rsidR="008277AC" w:rsidRPr="006E404E" w:rsidRDefault="008277AC" w:rsidP="004622EC">
            <w:pPr>
              <w:rPr>
                <w:rFonts w:cs="Calibri"/>
                <w:sz w:val="20"/>
                <w:szCs w:val="20"/>
              </w:rPr>
            </w:pPr>
            <w:r w:rsidRPr="006E404E">
              <w:rPr>
                <w:rFonts w:cs="Calibri"/>
                <w:sz w:val="20"/>
                <w:szCs w:val="20"/>
              </w:rPr>
              <w:t>BPPS as needed</w:t>
            </w:r>
          </w:p>
        </w:tc>
        <w:tc>
          <w:tcPr>
            <w:tcW w:w="0" w:type="auto"/>
          </w:tcPr>
          <w:p w14:paraId="46F25D38" w14:textId="77777777" w:rsidR="008277AC" w:rsidRPr="006E404E" w:rsidRDefault="008277AC" w:rsidP="004622EC">
            <w:pPr>
              <w:rPr>
                <w:rFonts w:cs="Calibri"/>
                <w:sz w:val="20"/>
                <w:szCs w:val="20"/>
              </w:rPr>
            </w:pPr>
            <w:r w:rsidRPr="006E404E">
              <w:rPr>
                <w:rFonts w:cs="Calibri"/>
                <w:sz w:val="20"/>
                <w:szCs w:val="20"/>
              </w:rPr>
              <w:t xml:space="preserve">None for time of </w:t>
            </w:r>
            <w:r w:rsidR="006B0FF4" w:rsidRPr="006E404E">
              <w:rPr>
                <w:rFonts w:cs="Calibri"/>
                <w:sz w:val="20"/>
                <w:szCs w:val="20"/>
              </w:rPr>
              <w:t>P</w:t>
            </w:r>
            <w:r w:rsidRPr="006E404E">
              <w:rPr>
                <w:rFonts w:cs="Calibri"/>
                <w:sz w:val="20"/>
                <w:szCs w:val="20"/>
              </w:rPr>
              <w:t xml:space="preserve">roject </w:t>
            </w:r>
            <w:r w:rsidR="006B0FF4" w:rsidRPr="006E404E">
              <w:rPr>
                <w:rFonts w:cs="Calibri"/>
                <w:sz w:val="20"/>
                <w:szCs w:val="20"/>
              </w:rPr>
              <w:t>M</w:t>
            </w:r>
            <w:r w:rsidRPr="006E404E">
              <w:rPr>
                <w:rFonts w:cs="Calibri"/>
                <w:sz w:val="20"/>
                <w:szCs w:val="20"/>
              </w:rPr>
              <w:t>anager, and UNDP CO</w:t>
            </w:r>
          </w:p>
        </w:tc>
        <w:tc>
          <w:tcPr>
            <w:tcW w:w="0" w:type="auto"/>
          </w:tcPr>
          <w:p w14:paraId="5AEEF952" w14:textId="77777777" w:rsidR="008277AC" w:rsidRPr="006E404E" w:rsidRDefault="008277AC" w:rsidP="004622EC">
            <w:pPr>
              <w:rPr>
                <w:rFonts w:cs="Calibri"/>
                <w:sz w:val="20"/>
                <w:szCs w:val="20"/>
              </w:rPr>
            </w:pPr>
          </w:p>
        </w:tc>
        <w:tc>
          <w:tcPr>
            <w:tcW w:w="0" w:type="auto"/>
          </w:tcPr>
          <w:p w14:paraId="1CDF9FAC" w14:textId="77777777" w:rsidR="008277AC" w:rsidRPr="006E404E" w:rsidRDefault="008277AC" w:rsidP="004622EC">
            <w:pPr>
              <w:rPr>
                <w:rFonts w:cs="Calibri"/>
                <w:sz w:val="20"/>
                <w:szCs w:val="20"/>
              </w:rPr>
            </w:pPr>
          </w:p>
        </w:tc>
      </w:tr>
      <w:tr w:rsidR="004346AE" w:rsidRPr="006E404E" w14:paraId="17063410" w14:textId="77777777" w:rsidTr="00BA08CA">
        <w:trPr>
          <w:jc w:val="center"/>
        </w:trPr>
        <w:tc>
          <w:tcPr>
            <w:tcW w:w="0" w:type="auto"/>
          </w:tcPr>
          <w:p w14:paraId="180C2202" w14:textId="77777777" w:rsidR="004346AE" w:rsidRPr="006E404E" w:rsidRDefault="004346AE" w:rsidP="007A3BCE">
            <w:pPr>
              <w:rPr>
                <w:rFonts w:cs="Calibri"/>
                <w:b/>
                <w:sz w:val="20"/>
                <w:szCs w:val="20"/>
              </w:rPr>
            </w:pPr>
            <w:r w:rsidRPr="006E404E">
              <w:rPr>
                <w:rFonts w:cs="Calibri"/>
                <w:b/>
                <w:sz w:val="20"/>
                <w:szCs w:val="20"/>
              </w:rPr>
              <w:t>Project Steering Committee meetings</w:t>
            </w:r>
          </w:p>
        </w:tc>
        <w:tc>
          <w:tcPr>
            <w:tcW w:w="0" w:type="auto"/>
          </w:tcPr>
          <w:p w14:paraId="248171CF" w14:textId="77777777" w:rsidR="004346AE" w:rsidRPr="006E404E" w:rsidRDefault="004346AE" w:rsidP="004622EC">
            <w:pPr>
              <w:rPr>
                <w:rFonts w:cs="Calibri"/>
                <w:sz w:val="20"/>
                <w:szCs w:val="20"/>
              </w:rPr>
            </w:pPr>
            <w:r w:rsidRPr="006E404E">
              <w:rPr>
                <w:rFonts w:cs="Calibri"/>
                <w:sz w:val="20"/>
                <w:szCs w:val="20"/>
              </w:rPr>
              <w:t>PSC</w:t>
            </w:r>
          </w:p>
          <w:p w14:paraId="14F7C5D4" w14:textId="77777777" w:rsidR="004346AE" w:rsidRPr="006E404E" w:rsidRDefault="004346AE" w:rsidP="004622EC">
            <w:pPr>
              <w:rPr>
                <w:rFonts w:cs="Calibri"/>
                <w:sz w:val="20"/>
                <w:szCs w:val="20"/>
              </w:rPr>
            </w:pPr>
            <w:r w:rsidRPr="006E404E">
              <w:rPr>
                <w:rFonts w:cs="Calibri"/>
                <w:sz w:val="20"/>
                <w:szCs w:val="20"/>
              </w:rPr>
              <w:t>UNDP Country Office</w:t>
            </w:r>
          </w:p>
          <w:p w14:paraId="006D0F44" w14:textId="77777777" w:rsidR="004346AE" w:rsidRPr="006E404E" w:rsidRDefault="004346AE" w:rsidP="004622EC">
            <w:pPr>
              <w:rPr>
                <w:rFonts w:cs="Calibri"/>
                <w:sz w:val="20"/>
                <w:szCs w:val="20"/>
              </w:rPr>
            </w:pPr>
            <w:r w:rsidRPr="006E404E">
              <w:rPr>
                <w:rFonts w:cs="Calibri"/>
                <w:sz w:val="20"/>
                <w:szCs w:val="20"/>
              </w:rPr>
              <w:t>Project Manager</w:t>
            </w:r>
          </w:p>
        </w:tc>
        <w:tc>
          <w:tcPr>
            <w:tcW w:w="0" w:type="auto"/>
          </w:tcPr>
          <w:p w14:paraId="72EF4E7C" w14:textId="77777777" w:rsidR="004346AE" w:rsidRPr="006E404E" w:rsidRDefault="004346AE" w:rsidP="004346AE">
            <w:pPr>
              <w:rPr>
                <w:rFonts w:cs="Calibri"/>
                <w:i/>
                <w:sz w:val="20"/>
                <w:szCs w:val="20"/>
              </w:rPr>
            </w:pPr>
            <w:r w:rsidRPr="006E404E">
              <w:rPr>
                <w:rFonts w:cs="Calibri"/>
                <w:sz w:val="20"/>
                <w:szCs w:val="20"/>
              </w:rPr>
              <w:t>None</w:t>
            </w:r>
          </w:p>
        </w:tc>
        <w:tc>
          <w:tcPr>
            <w:tcW w:w="0" w:type="auto"/>
          </w:tcPr>
          <w:p w14:paraId="61A2E062" w14:textId="77777777" w:rsidR="004346AE" w:rsidRPr="006E404E" w:rsidRDefault="004346AE" w:rsidP="004622EC">
            <w:pPr>
              <w:rPr>
                <w:rFonts w:cs="Calibri"/>
                <w:i/>
                <w:sz w:val="20"/>
                <w:szCs w:val="20"/>
              </w:rPr>
            </w:pPr>
          </w:p>
        </w:tc>
        <w:tc>
          <w:tcPr>
            <w:tcW w:w="0" w:type="auto"/>
          </w:tcPr>
          <w:p w14:paraId="40870637" w14:textId="77777777" w:rsidR="004346AE" w:rsidRPr="006E404E" w:rsidRDefault="004346AE" w:rsidP="004622EC">
            <w:pPr>
              <w:rPr>
                <w:rFonts w:cs="Calibri"/>
                <w:sz w:val="20"/>
                <w:szCs w:val="20"/>
              </w:rPr>
            </w:pPr>
            <w:r w:rsidRPr="006E404E">
              <w:rPr>
                <w:rFonts w:cs="Calibri"/>
                <w:sz w:val="20"/>
                <w:szCs w:val="20"/>
              </w:rPr>
              <w:t>At minimum annually</w:t>
            </w:r>
          </w:p>
        </w:tc>
      </w:tr>
      <w:tr w:rsidR="004346AE" w:rsidRPr="006E404E" w14:paraId="300E9526" w14:textId="77777777" w:rsidTr="00BA08CA">
        <w:trPr>
          <w:jc w:val="center"/>
        </w:trPr>
        <w:tc>
          <w:tcPr>
            <w:tcW w:w="0" w:type="auto"/>
          </w:tcPr>
          <w:p w14:paraId="6408199C" w14:textId="77777777" w:rsidR="004346AE" w:rsidRPr="006E404E" w:rsidRDefault="004346AE" w:rsidP="004622EC">
            <w:pPr>
              <w:rPr>
                <w:rFonts w:cs="Calibri"/>
                <w:b/>
                <w:sz w:val="20"/>
                <w:szCs w:val="20"/>
              </w:rPr>
            </w:pPr>
            <w:r w:rsidRPr="006E404E">
              <w:rPr>
                <w:rFonts w:cs="Calibri"/>
                <w:b/>
                <w:sz w:val="20"/>
                <w:szCs w:val="20"/>
              </w:rPr>
              <w:t>Supervision missions</w:t>
            </w:r>
          </w:p>
        </w:tc>
        <w:tc>
          <w:tcPr>
            <w:tcW w:w="0" w:type="auto"/>
          </w:tcPr>
          <w:p w14:paraId="25CB60AC" w14:textId="77777777" w:rsidR="004346AE" w:rsidRPr="006E404E" w:rsidRDefault="004346AE" w:rsidP="004622EC">
            <w:pPr>
              <w:rPr>
                <w:rFonts w:cs="Calibri"/>
                <w:b/>
                <w:sz w:val="20"/>
                <w:szCs w:val="20"/>
              </w:rPr>
            </w:pPr>
            <w:r w:rsidRPr="006E404E">
              <w:rPr>
                <w:rFonts w:cs="Calibri"/>
                <w:sz w:val="20"/>
                <w:szCs w:val="20"/>
              </w:rPr>
              <w:t>UNDP Country Office</w:t>
            </w:r>
          </w:p>
        </w:tc>
        <w:tc>
          <w:tcPr>
            <w:tcW w:w="0" w:type="auto"/>
          </w:tcPr>
          <w:p w14:paraId="064868A6" w14:textId="77777777" w:rsidR="004346AE" w:rsidRPr="006E404E" w:rsidRDefault="004346AE" w:rsidP="004622EC">
            <w:pPr>
              <w:pStyle w:val="BodyText23"/>
              <w:widowControl/>
              <w:tabs>
                <w:tab w:val="clear" w:pos="547"/>
              </w:tabs>
              <w:rPr>
                <w:rFonts w:ascii="Calibri" w:hAnsi="Calibri" w:cs="Calibri"/>
                <w:snapToGrid/>
                <w:sz w:val="20"/>
                <w:lang w:val="en-GB"/>
              </w:rPr>
            </w:pPr>
            <w:r w:rsidRPr="006E404E">
              <w:rPr>
                <w:rFonts w:ascii="Calibri" w:hAnsi="Calibri" w:cs="Calibri"/>
                <w:snapToGrid/>
                <w:sz w:val="20"/>
                <w:lang w:val="en-GB"/>
              </w:rPr>
              <w:t>None</w:t>
            </w:r>
            <w:bookmarkStart w:id="90" w:name="_Ref434335281"/>
            <w:r w:rsidRPr="006E404E">
              <w:rPr>
                <w:rStyle w:val="afa"/>
                <w:rFonts w:ascii="Calibri" w:hAnsi="Calibri"/>
                <w:b/>
                <w:sz w:val="20"/>
              </w:rPr>
              <w:footnoteReference w:id="16"/>
            </w:r>
            <w:bookmarkEnd w:id="90"/>
          </w:p>
        </w:tc>
        <w:tc>
          <w:tcPr>
            <w:tcW w:w="0" w:type="auto"/>
          </w:tcPr>
          <w:p w14:paraId="22E36AB1" w14:textId="77777777" w:rsidR="004346AE" w:rsidRPr="006E404E" w:rsidRDefault="004346AE" w:rsidP="004622EC">
            <w:pPr>
              <w:pStyle w:val="BodyText23"/>
              <w:widowControl/>
              <w:tabs>
                <w:tab w:val="clear" w:pos="547"/>
              </w:tabs>
              <w:rPr>
                <w:rFonts w:ascii="Calibri" w:hAnsi="Calibri" w:cs="Calibri"/>
                <w:snapToGrid/>
                <w:sz w:val="20"/>
                <w:lang w:val="en-GB"/>
              </w:rPr>
            </w:pPr>
          </w:p>
        </w:tc>
        <w:tc>
          <w:tcPr>
            <w:tcW w:w="0" w:type="auto"/>
          </w:tcPr>
          <w:p w14:paraId="0980DF99" w14:textId="77777777" w:rsidR="004346AE" w:rsidRPr="006E404E" w:rsidRDefault="004346AE" w:rsidP="004622EC">
            <w:pPr>
              <w:rPr>
                <w:rFonts w:cs="Calibri"/>
                <w:sz w:val="20"/>
                <w:szCs w:val="20"/>
              </w:rPr>
            </w:pPr>
            <w:r w:rsidRPr="006E404E">
              <w:rPr>
                <w:rFonts w:cs="Calibri"/>
                <w:sz w:val="20"/>
                <w:szCs w:val="20"/>
              </w:rPr>
              <w:t>Annually</w:t>
            </w:r>
          </w:p>
        </w:tc>
      </w:tr>
      <w:tr w:rsidR="004346AE" w:rsidRPr="006E404E" w14:paraId="4536DEF9" w14:textId="77777777" w:rsidTr="00BA08CA">
        <w:trPr>
          <w:jc w:val="center"/>
        </w:trPr>
        <w:tc>
          <w:tcPr>
            <w:tcW w:w="0" w:type="auto"/>
          </w:tcPr>
          <w:p w14:paraId="3A7C9EDC" w14:textId="77777777" w:rsidR="004346AE" w:rsidRPr="006E404E" w:rsidRDefault="004346AE" w:rsidP="004622EC">
            <w:pPr>
              <w:rPr>
                <w:rFonts w:cs="Calibri"/>
                <w:b/>
                <w:sz w:val="20"/>
                <w:szCs w:val="20"/>
              </w:rPr>
            </w:pPr>
            <w:r w:rsidRPr="006E404E">
              <w:rPr>
                <w:rFonts w:cs="Calibri"/>
                <w:b/>
                <w:sz w:val="20"/>
                <w:szCs w:val="20"/>
              </w:rPr>
              <w:t>Oversight missions</w:t>
            </w:r>
          </w:p>
        </w:tc>
        <w:tc>
          <w:tcPr>
            <w:tcW w:w="0" w:type="auto"/>
          </w:tcPr>
          <w:p w14:paraId="59E71F68" w14:textId="77777777" w:rsidR="004346AE" w:rsidRPr="006E404E" w:rsidRDefault="004346AE" w:rsidP="004622EC">
            <w:pPr>
              <w:rPr>
                <w:rFonts w:cs="Calibri"/>
                <w:b/>
                <w:sz w:val="20"/>
                <w:szCs w:val="20"/>
              </w:rPr>
            </w:pPr>
            <w:r w:rsidRPr="006E404E">
              <w:rPr>
                <w:rFonts w:cs="Calibri"/>
                <w:sz w:val="20"/>
                <w:szCs w:val="20"/>
              </w:rPr>
              <w:t>UNDP-GEF team</w:t>
            </w:r>
          </w:p>
        </w:tc>
        <w:tc>
          <w:tcPr>
            <w:tcW w:w="0" w:type="auto"/>
          </w:tcPr>
          <w:p w14:paraId="12ACCF8C" w14:textId="77777777" w:rsidR="004346AE" w:rsidRPr="006E404E" w:rsidRDefault="004346AE" w:rsidP="004622EC">
            <w:pPr>
              <w:pStyle w:val="BodyText23"/>
              <w:widowControl/>
              <w:tabs>
                <w:tab w:val="clear" w:pos="547"/>
              </w:tabs>
              <w:rPr>
                <w:rFonts w:ascii="Calibri" w:hAnsi="Calibri" w:cs="Calibri"/>
                <w:snapToGrid/>
                <w:sz w:val="20"/>
                <w:lang w:val="en-GB"/>
              </w:rPr>
            </w:pPr>
            <w:r w:rsidRPr="006E404E">
              <w:rPr>
                <w:rFonts w:ascii="Calibri" w:hAnsi="Calibri" w:cs="Calibri"/>
                <w:snapToGrid/>
                <w:sz w:val="20"/>
                <w:lang w:val="en-GB"/>
              </w:rPr>
              <w:t>None</w:t>
            </w:r>
            <w:r w:rsidRPr="006E404E">
              <w:rPr>
                <w:rFonts w:ascii="Calibri" w:hAnsi="Calibri" w:cs="Calibri"/>
                <w:snapToGrid/>
                <w:sz w:val="20"/>
                <w:lang w:val="en-GB"/>
              </w:rPr>
              <w:fldChar w:fldCharType="begin"/>
            </w:r>
            <w:r w:rsidRPr="006E404E">
              <w:rPr>
                <w:rFonts w:ascii="Calibri" w:hAnsi="Calibri" w:cs="Calibri"/>
                <w:snapToGrid/>
                <w:sz w:val="20"/>
                <w:lang w:val="en-GB"/>
              </w:rPr>
              <w:instrText xml:space="preserve"> NOTEREF _Ref434335281 \f \h  \* MERGEFORMAT </w:instrText>
            </w:r>
            <w:r w:rsidRPr="006E404E">
              <w:rPr>
                <w:rFonts w:ascii="Calibri" w:hAnsi="Calibri" w:cs="Calibri"/>
                <w:snapToGrid/>
                <w:sz w:val="20"/>
                <w:lang w:val="en-GB"/>
              </w:rPr>
            </w:r>
            <w:r w:rsidRPr="006E404E">
              <w:rPr>
                <w:rFonts w:ascii="Calibri" w:hAnsi="Calibri" w:cs="Calibri"/>
                <w:snapToGrid/>
                <w:sz w:val="20"/>
                <w:lang w:val="en-GB"/>
              </w:rPr>
              <w:fldChar w:fldCharType="separate"/>
            </w:r>
            <w:r w:rsidR="00921873" w:rsidRPr="00921873">
              <w:rPr>
                <w:rStyle w:val="afa"/>
                <w:rFonts w:ascii="Calibri" w:hAnsi="Calibri"/>
                <w:sz w:val="20"/>
              </w:rPr>
              <w:t>14</w:t>
            </w:r>
            <w:r w:rsidRPr="006E404E">
              <w:rPr>
                <w:rFonts w:ascii="Calibri" w:hAnsi="Calibri" w:cs="Calibri"/>
                <w:snapToGrid/>
                <w:sz w:val="20"/>
                <w:lang w:val="en-GB"/>
              </w:rPr>
              <w:fldChar w:fldCharType="end"/>
            </w:r>
          </w:p>
        </w:tc>
        <w:tc>
          <w:tcPr>
            <w:tcW w:w="0" w:type="auto"/>
          </w:tcPr>
          <w:p w14:paraId="0AA2DD84" w14:textId="77777777" w:rsidR="004346AE" w:rsidRPr="006E404E" w:rsidRDefault="004346AE" w:rsidP="004622EC">
            <w:pPr>
              <w:pStyle w:val="BodyText23"/>
              <w:widowControl/>
              <w:tabs>
                <w:tab w:val="clear" w:pos="547"/>
              </w:tabs>
              <w:rPr>
                <w:rFonts w:ascii="Calibri" w:hAnsi="Calibri" w:cs="Calibri"/>
                <w:snapToGrid/>
                <w:sz w:val="20"/>
                <w:lang w:val="en-GB"/>
              </w:rPr>
            </w:pPr>
          </w:p>
        </w:tc>
        <w:tc>
          <w:tcPr>
            <w:tcW w:w="0" w:type="auto"/>
          </w:tcPr>
          <w:p w14:paraId="2518D883" w14:textId="77777777" w:rsidR="004346AE" w:rsidRPr="006E404E" w:rsidRDefault="004346AE" w:rsidP="004622EC">
            <w:pPr>
              <w:rPr>
                <w:rFonts w:cs="Calibri"/>
                <w:sz w:val="20"/>
                <w:szCs w:val="20"/>
              </w:rPr>
            </w:pPr>
            <w:r w:rsidRPr="006E404E">
              <w:rPr>
                <w:rFonts w:cs="Calibri"/>
                <w:sz w:val="20"/>
                <w:szCs w:val="20"/>
              </w:rPr>
              <w:t>Troubleshooting as needed</w:t>
            </w:r>
          </w:p>
        </w:tc>
      </w:tr>
      <w:tr w:rsidR="004346AE" w:rsidRPr="006E404E" w14:paraId="4925FFB3" w14:textId="77777777" w:rsidTr="00BA08CA">
        <w:trPr>
          <w:trHeight w:val="683"/>
          <w:jc w:val="center"/>
        </w:trPr>
        <w:tc>
          <w:tcPr>
            <w:tcW w:w="0" w:type="auto"/>
          </w:tcPr>
          <w:p w14:paraId="6514D7F0" w14:textId="77777777" w:rsidR="004346AE" w:rsidRPr="006E404E" w:rsidRDefault="004346AE" w:rsidP="004622EC">
            <w:pPr>
              <w:rPr>
                <w:rFonts w:cs="Calibri"/>
                <w:b/>
                <w:sz w:val="20"/>
                <w:szCs w:val="20"/>
              </w:rPr>
            </w:pPr>
            <w:r w:rsidRPr="006E404E">
              <w:rPr>
                <w:rFonts w:cs="Calibri"/>
                <w:b/>
                <w:sz w:val="20"/>
                <w:szCs w:val="20"/>
              </w:rPr>
              <w:t xml:space="preserve">Knowledge management </w:t>
            </w:r>
          </w:p>
        </w:tc>
        <w:tc>
          <w:tcPr>
            <w:tcW w:w="0" w:type="auto"/>
          </w:tcPr>
          <w:p w14:paraId="6BACF816" w14:textId="77777777" w:rsidR="004346AE" w:rsidRPr="006E404E" w:rsidRDefault="004346AE" w:rsidP="004622EC">
            <w:pPr>
              <w:rPr>
                <w:rFonts w:cs="Calibri"/>
                <w:sz w:val="20"/>
                <w:szCs w:val="20"/>
              </w:rPr>
            </w:pPr>
            <w:r w:rsidRPr="006E404E">
              <w:rPr>
                <w:rFonts w:cs="Calibri"/>
                <w:sz w:val="20"/>
                <w:szCs w:val="20"/>
              </w:rPr>
              <w:t>Project Manager</w:t>
            </w:r>
          </w:p>
        </w:tc>
        <w:tc>
          <w:tcPr>
            <w:tcW w:w="0" w:type="auto"/>
          </w:tcPr>
          <w:p w14:paraId="65B66564" w14:textId="77777777" w:rsidR="004346AE" w:rsidRPr="006E404E" w:rsidRDefault="004346AE" w:rsidP="004622EC">
            <w:pPr>
              <w:jc w:val="right"/>
              <w:rPr>
                <w:rFonts w:cs="Calibri"/>
                <w:sz w:val="20"/>
                <w:szCs w:val="20"/>
              </w:rPr>
            </w:pPr>
            <w:r w:rsidRPr="006E404E">
              <w:rPr>
                <w:rFonts w:cs="Calibri"/>
                <w:sz w:val="20"/>
                <w:szCs w:val="20"/>
              </w:rPr>
              <w:t>45,000</w:t>
            </w:r>
          </w:p>
          <w:p w14:paraId="215CA1D8" w14:textId="77777777" w:rsidR="004346AE" w:rsidRPr="006E404E" w:rsidRDefault="004346AE" w:rsidP="004622EC">
            <w:pPr>
              <w:rPr>
                <w:rFonts w:cs="Calibri"/>
                <w:sz w:val="20"/>
                <w:szCs w:val="20"/>
              </w:rPr>
            </w:pPr>
            <w:r w:rsidRPr="006E404E">
              <w:rPr>
                <w:rFonts w:cs="Calibri"/>
                <w:sz w:val="20"/>
                <w:szCs w:val="20"/>
              </w:rPr>
              <w:t>maximum &lt;1% of GEF grant</w:t>
            </w:r>
          </w:p>
        </w:tc>
        <w:tc>
          <w:tcPr>
            <w:tcW w:w="0" w:type="auto"/>
          </w:tcPr>
          <w:p w14:paraId="79B9A040" w14:textId="77777777" w:rsidR="004346AE" w:rsidRPr="006E404E" w:rsidRDefault="004346AE" w:rsidP="004622EC">
            <w:pPr>
              <w:rPr>
                <w:rFonts w:cs="Calibri"/>
                <w:sz w:val="20"/>
                <w:szCs w:val="20"/>
                <w:highlight w:val="yellow"/>
              </w:rPr>
            </w:pPr>
          </w:p>
        </w:tc>
        <w:tc>
          <w:tcPr>
            <w:tcW w:w="0" w:type="auto"/>
          </w:tcPr>
          <w:p w14:paraId="6145ADB6" w14:textId="77777777" w:rsidR="004346AE" w:rsidRPr="006E404E" w:rsidRDefault="004346AE" w:rsidP="004622EC">
            <w:pPr>
              <w:rPr>
                <w:rFonts w:cs="Calibri"/>
                <w:sz w:val="20"/>
                <w:szCs w:val="20"/>
              </w:rPr>
            </w:pPr>
            <w:r w:rsidRPr="006E404E">
              <w:rPr>
                <w:rFonts w:cs="Calibri"/>
                <w:sz w:val="20"/>
                <w:szCs w:val="20"/>
              </w:rPr>
              <w:t>On-going</w:t>
            </w:r>
          </w:p>
        </w:tc>
      </w:tr>
      <w:tr w:rsidR="004346AE" w:rsidRPr="006E404E" w14:paraId="0363F614" w14:textId="77777777" w:rsidTr="00BA08CA">
        <w:trPr>
          <w:jc w:val="center"/>
        </w:trPr>
        <w:tc>
          <w:tcPr>
            <w:tcW w:w="0" w:type="auto"/>
          </w:tcPr>
          <w:p w14:paraId="51CF5509" w14:textId="77777777" w:rsidR="004346AE" w:rsidRPr="006E404E" w:rsidRDefault="004346AE" w:rsidP="004622EC">
            <w:pPr>
              <w:rPr>
                <w:rFonts w:cs="Calibri"/>
                <w:b/>
                <w:sz w:val="20"/>
                <w:szCs w:val="20"/>
              </w:rPr>
            </w:pPr>
            <w:r w:rsidRPr="006E404E">
              <w:rPr>
                <w:rFonts w:cs="Calibri"/>
                <w:b/>
                <w:sz w:val="20"/>
                <w:szCs w:val="20"/>
              </w:rPr>
              <w:t xml:space="preserve">GEF Secretariat learning missions/site visits </w:t>
            </w:r>
          </w:p>
        </w:tc>
        <w:tc>
          <w:tcPr>
            <w:tcW w:w="0" w:type="auto"/>
          </w:tcPr>
          <w:p w14:paraId="19FE2066" w14:textId="77777777" w:rsidR="004346AE" w:rsidRPr="006E404E" w:rsidRDefault="004346AE" w:rsidP="004622EC">
            <w:pPr>
              <w:rPr>
                <w:rFonts w:cs="Calibri"/>
                <w:sz w:val="20"/>
                <w:szCs w:val="20"/>
              </w:rPr>
            </w:pPr>
            <w:r w:rsidRPr="006E404E">
              <w:rPr>
                <w:rFonts w:cs="Calibri"/>
                <w:sz w:val="20"/>
                <w:szCs w:val="20"/>
              </w:rPr>
              <w:t>UNDP Country Office and Project Manager and UNDP-GEF team</w:t>
            </w:r>
          </w:p>
        </w:tc>
        <w:tc>
          <w:tcPr>
            <w:tcW w:w="0" w:type="auto"/>
          </w:tcPr>
          <w:p w14:paraId="452DB2A2" w14:textId="77777777" w:rsidR="004346AE" w:rsidRPr="006E404E" w:rsidRDefault="004346AE" w:rsidP="004622EC">
            <w:pPr>
              <w:pStyle w:val="BodyText23"/>
              <w:widowControl/>
              <w:tabs>
                <w:tab w:val="clear" w:pos="547"/>
              </w:tabs>
              <w:rPr>
                <w:rFonts w:ascii="Calibri" w:hAnsi="Calibri" w:cs="Calibri"/>
                <w:snapToGrid/>
                <w:sz w:val="20"/>
                <w:lang w:val="en-GB"/>
              </w:rPr>
            </w:pPr>
            <w:r w:rsidRPr="006E404E">
              <w:rPr>
                <w:rFonts w:ascii="Calibri" w:hAnsi="Calibri" w:cs="Calibri"/>
                <w:snapToGrid/>
                <w:sz w:val="20"/>
                <w:lang w:val="en-GB"/>
              </w:rPr>
              <w:t>None</w:t>
            </w:r>
          </w:p>
        </w:tc>
        <w:tc>
          <w:tcPr>
            <w:tcW w:w="0" w:type="auto"/>
          </w:tcPr>
          <w:p w14:paraId="052AD8EE" w14:textId="77777777" w:rsidR="004346AE" w:rsidRPr="006E404E" w:rsidRDefault="004346AE" w:rsidP="004622EC">
            <w:pPr>
              <w:pStyle w:val="BodyText23"/>
              <w:widowControl/>
              <w:tabs>
                <w:tab w:val="clear" w:pos="547"/>
              </w:tabs>
              <w:rPr>
                <w:rFonts w:ascii="Calibri" w:hAnsi="Calibri" w:cs="Calibri"/>
                <w:snapToGrid/>
                <w:sz w:val="20"/>
                <w:lang w:val="en-GB"/>
              </w:rPr>
            </w:pPr>
          </w:p>
        </w:tc>
        <w:tc>
          <w:tcPr>
            <w:tcW w:w="0" w:type="auto"/>
          </w:tcPr>
          <w:p w14:paraId="57D0E166" w14:textId="77777777" w:rsidR="004346AE" w:rsidRPr="006E404E" w:rsidRDefault="004346AE" w:rsidP="004622EC">
            <w:pPr>
              <w:rPr>
                <w:rFonts w:cs="Calibri"/>
                <w:sz w:val="20"/>
                <w:szCs w:val="20"/>
              </w:rPr>
            </w:pPr>
            <w:r w:rsidRPr="006E404E">
              <w:rPr>
                <w:rFonts w:cs="Calibri"/>
                <w:sz w:val="20"/>
                <w:szCs w:val="20"/>
              </w:rPr>
              <w:t>To be determined.</w:t>
            </w:r>
          </w:p>
        </w:tc>
      </w:tr>
      <w:tr w:rsidR="004346AE" w:rsidRPr="006E404E" w14:paraId="44752354" w14:textId="77777777" w:rsidTr="00BA08CA">
        <w:trPr>
          <w:jc w:val="center"/>
        </w:trPr>
        <w:tc>
          <w:tcPr>
            <w:tcW w:w="0" w:type="auto"/>
          </w:tcPr>
          <w:p w14:paraId="2CE3FF96" w14:textId="77777777" w:rsidR="004346AE" w:rsidRPr="006E404E" w:rsidRDefault="004346AE" w:rsidP="00711DC9">
            <w:pPr>
              <w:rPr>
                <w:rFonts w:cs="Calibri"/>
                <w:b/>
                <w:sz w:val="20"/>
                <w:szCs w:val="20"/>
              </w:rPr>
            </w:pPr>
            <w:r w:rsidRPr="006E404E">
              <w:rPr>
                <w:rFonts w:cs="Calibri"/>
                <w:b/>
                <w:sz w:val="20"/>
                <w:szCs w:val="20"/>
              </w:rPr>
              <w:t xml:space="preserve">Mid-term GEF Tracking Tool to be updated </w:t>
            </w:r>
          </w:p>
        </w:tc>
        <w:tc>
          <w:tcPr>
            <w:tcW w:w="0" w:type="auto"/>
          </w:tcPr>
          <w:p w14:paraId="41D0D850" w14:textId="77777777" w:rsidR="004346AE" w:rsidRPr="006E404E" w:rsidRDefault="004346AE" w:rsidP="004622EC">
            <w:pPr>
              <w:rPr>
                <w:rFonts w:cs="Calibri"/>
                <w:sz w:val="20"/>
                <w:szCs w:val="20"/>
              </w:rPr>
            </w:pPr>
            <w:r w:rsidRPr="006E404E">
              <w:rPr>
                <w:rFonts w:cs="Calibri"/>
                <w:sz w:val="20"/>
                <w:szCs w:val="20"/>
              </w:rPr>
              <w:t>Project Manager</w:t>
            </w:r>
          </w:p>
        </w:tc>
        <w:tc>
          <w:tcPr>
            <w:tcW w:w="0" w:type="auto"/>
          </w:tcPr>
          <w:p w14:paraId="04073F18" w14:textId="77777777" w:rsidR="004346AE" w:rsidRPr="006E404E" w:rsidRDefault="004346AE" w:rsidP="004622EC">
            <w:pPr>
              <w:jc w:val="right"/>
              <w:rPr>
                <w:rFonts w:cs="Calibri"/>
                <w:sz w:val="20"/>
                <w:szCs w:val="20"/>
              </w:rPr>
            </w:pPr>
            <w:r w:rsidRPr="006E404E">
              <w:rPr>
                <w:rFonts w:cs="Calibri"/>
                <w:sz w:val="20"/>
                <w:szCs w:val="20"/>
              </w:rPr>
              <w:t xml:space="preserve">5,000 </w:t>
            </w:r>
          </w:p>
        </w:tc>
        <w:tc>
          <w:tcPr>
            <w:tcW w:w="0" w:type="auto"/>
          </w:tcPr>
          <w:p w14:paraId="250C40E1" w14:textId="77777777" w:rsidR="004346AE" w:rsidRPr="006E404E" w:rsidRDefault="004346AE" w:rsidP="004622EC">
            <w:pPr>
              <w:rPr>
                <w:rFonts w:cs="Calibri"/>
                <w:sz w:val="20"/>
                <w:szCs w:val="20"/>
              </w:rPr>
            </w:pPr>
          </w:p>
        </w:tc>
        <w:tc>
          <w:tcPr>
            <w:tcW w:w="0" w:type="auto"/>
          </w:tcPr>
          <w:p w14:paraId="6221C450" w14:textId="77777777" w:rsidR="004346AE" w:rsidRPr="006E404E" w:rsidRDefault="004346AE" w:rsidP="00BA08CA">
            <w:pPr>
              <w:rPr>
                <w:rFonts w:cs="Calibri"/>
                <w:sz w:val="20"/>
                <w:szCs w:val="20"/>
              </w:rPr>
            </w:pPr>
            <w:r w:rsidRPr="006E404E">
              <w:rPr>
                <w:rFonts w:cs="Calibri"/>
                <w:sz w:val="20"/>
                <w:szCs w:val="20"/>
              </w:rPr>
              <w:t>Before mid-term review mission</w:t>
            </w:r>
          </w:p>
        </w:tc>
      </w:tr>
      <w:tr w:rsidR="004346AE" w:rsidRPr="006E404E" w14:paraId="6E8C7B28" w14:textId="77777777" w:rsidTr="00BA08CA">
        <w:trPr>
          <w:jc w:val="center"/>
        </w:trPr>
        <w:tc>
          <w:tcPr>
            <w:tcW w:w="0" w:type="auto"/>
          </w:tcPr>
          <w:p w14:paraId="5CD9276E" w14:textId="77777777" w:rsidR="004346AE" w:rsidRPr="006E404E" w:rsidRDefault="004346AE" w:rsidP="004622EC">
            <w:pPr>
              <w:rPr>
                <w:rFonts w:cs="Calibri"/>
                <w:b/>
                <w:sz w:val="20"/>
                <w:szCs w:val="20"/>
              </w:rPr>
            </w:pPr>
            <w:r w:rsidRPr="006E404E">
              <w:rPr>
                <w:rFonts w:cs="Calibri"/>
                <w:b/>
                <w:sz w:val="20"/>
                <w:szCs w:val="20"/>
              </w:rPr>
              <w:t xml:space="preserve">Independent Mid-term Review (MTR) and management response  </w:t>
            </w:r>
          </w:p>
        </w:tc>
        <w:tc>
          <w:tcPr>
            <w:tcW w:w="0" w:type="auto"/>
          </w:tcPr>
          <w:p w14:paraId="11CA7F9B" w14:textId="77777777" w:rsidR="004346AE" w:rsidRPr="006E404E" w:rsidRDefault="004346AE" w:rsidP="004622EC">
            <w:pPr>
              <w:rPr>
                <w:rFonts w:cs="Calibri"/>
                <w:sz w:val="20"/>
                <w:szCs w:val="20"/>
              </w:rPr>
            </w:pPr>
            <w:r w:rsidRPr="006E404E">
              <w:rPr>
                <w:rFonts w:cs="Calibri"/>
                <w:sz w:val="20"/>
                <w:szCs w:val="20"/>
              </w:rPr>
              <w:t>UNDP Country Office and Project team and UNDP-GEF team</w:t>
            </w:r>
          </w:p>
        </w:tc>
        <w:tc>
          <w:tcPr>
            <w:tcW w:w="0" w:type="auto"/>
          </w:tcPr>
          <w:p w14:paraId="208E0C37" w14:textId="77777777" w:rsidR="004346AE" w:rsidRPr="006E404E" w:rsidRDefault="004346AE" w:rsidP="004622EC">
            <w:pPr>
              <w:jc w:val="right"/>
              <w:rPr>
                <w:rFonts w:cs="Calibri"/>
                <w:sz w:val="20"/>
                <w:szCs w:val="20"/>
              </w:rPr>
            </w:pPr>
            <w:r w:rsidRPr="006E404E">
              <w:rPr>
                <w:rFonts w:cs="Calibri"/>
                <w:sz w:val="20"/>
                <w:szCs w:val="20"/>
              </w:rPr>
              <w:t>25,000</w:t>
            </w:r>
          </w:p>
        </w:tc>
        <w:tc>
          <w:tcPr>
            <w:tcW w:w="0" w:type="auto"/>
          </w:tcPr>
          <w:p w14:paraId="04776896" w14:textId="77777777" w:rsidR="004346AE" w:rsidRPr="006E404E" w:rsidRDefault="004346AE" w:rsidP="004622EC">
            <w:pPr>
              <w:rPr>
                <w:rFonts w:cs="Calibri"/>
                <w:sz w:val="20"/>
                <w:szCs w:val="20"/>
                <w:highlight w:val="yellow"/>
              </w:rPr>
            </w:pPr>
          </w:p>
        </w:tc>
        <w:tc>
          <w:tcPr>
            <w:tcW w:w="0" w:type="auto"/>
          </w:tcPr>
          <w:p w14:paraId="73F3E45B" w14:textId="77777777" w:rsidR="004346AE" w:rsidRPr="006E404E" w:rsidRDefault="004346AE" w:rsidP="004622EC">
            <w:pPr>
              <w:rPr>
                <w:rFonts w:cs="Calibri"/>
                <w:sz w:val="20"/>
                <w:szCs w:val="20"/>
              </w:rPr>
            </w:pPr>
            <w:r w:rsidRPr="006E404E">
              <w:rPr>
                <w:rFonts w:cs="Calibri"/>
                <w:sz w:val="20"/>
                <w:szCs w:val="20"/>
              </w:rPr>
              <w:t>Between 2</w:t>
            </w:r>
            <w:r w:rsidRPr="006E404E">
              <w:rPr>
                <w:rFonts w:cs="Calibri"/>
                <w:sz w:val="20"/>
                <w:szCs w:val="20"/>
                <w:vertAlign w:val="superscript"/>
              </w:rPr>
              <w:t>nd</w:t>
            </w:r>
            <w:r w:rsidRPr="006E404E">
              <w:rPr>
                <w:rFonts w:cs="Calibri"/>
                <w:sz w:val="20"/>
                <w:szCs w:val="20"/>
              </w:rPr>
              <w:t xml:space="preserve"> and 3</w:t>
            </w:r>
            <w:r w:rsidRPr="006E404E">
              <w:rPr>
                <w:rFonts w:cs="Calibri"/>
                <w:sz w:val="20"/>
                <w:szCs w:val="20"/>
                <w:vertAlign w:val="superscript"/>
              </w:rPr>
              <w:t>rd</w:t>
            </w:r>
            <w:r w:rsidRPr="006E404E">
              <w:rPr>
                <w:rFonts w:cs="Calibri"/>
                <w:sz w:val="20"/>
                <w:szCs w:val="20"/>
              </w:rPr>
              <w:t xml:space="preserve"> PIR</w:t>
            </w:r>
          </w:p>
        </w:tc>
      </w:tr>
      <w:tr w:rsidR="004346AE" w:rsidRPr="006E404E" w14:paraId="417E4019" w14:textId="77777777" w:rsidTr="00BA08CA">
        <w:trPr>
          <w:jc w:val="center"/>
        </w:trPr>
        <w:tc>
          <w:tcPr>
            <w:tcW w:w="0" w:type="auto"/>
          </w:tcPr>
          <w:p w14:paraId="1E5D905D" w14:textId="77777777" w:rsidR="004346AE" w:rsidRPr="006E404E" w:rsidRDefault="004346AE" w:rsidP="00711DC9">
            <w:pPr>
              <w:rPr>
                <w:rFonts w:cs="Calibri"/>
                <w:b/>
                <w:sz w:val="20"/>
                <w:szCs w:val="20"/>
              </w:rPr>
            </w:pPr>
            <w:r w:rsidRPr="006E404E">
              <w:rPr>
                <w:rFonts w:cs="Calibri"/>
                <w:b/>
                <w:sz w:val="20"/>
                <w:szCs w:val="20"/>
              </w:rPr>
              <w:t xml:space="preserve">Terminal GEF Tracking Tool to be updated </w:t>
            </w:r>
          </w:p>
        </w:tc>
        <w:tc>
          <w:tcPr>
            <w:tcW w:w="0" w:type="auto"/>
          </w:tcPr>
          <w:p w14:paraId="067809BE" w14:textId="77777777" w:rsidR="004346AE" w:rsidRPr="006E404E" w:rsidRDefault="004346AE" w:rsidP="004622EC">
            <w:pPr>
              <w:rPr>
                <w:rFonts w:cs="Calibri"/>
                <w:sz w:val="20"/>
                <w:szCs w:val="20"/>
              </w:rPr>
            </w:pPr>
            <w:r w:rsidRPr="006E404E">
              <w:rPr>
                <w:rFonts w:cs="Calibri"/>
                <w:sz w:val="20"/>
                <w:szCs w:val="20"/>
              </w:rPr>
              <w:t xml:space="preserve">Project Manager </w:t>
            </w:r>
          </w:p>
        </w:tc>
        <w:tc>
          <w:tcPr>
            <w:tcW w:w="0" w:type="auto"/>
          </w:tcPr>
          <w:p w14:paraId="461A7C37" w14:textId="77777777" w:rsidR="004346AE" w:rsidRPr="006E404E" w:rsidRDefault="004346AE" w:rsidP="004622EC">
            <w:pPr>
              <w:jc w:val="right"/>
              <w:rPr>
                <w:rFonts w:cs="Calibri"/>
                <w:sz w:val="20"/>
                <w:szCs w:val="20"/>
              </w:rPr>
            </w:pPr>
            <w:r w:rsidRPr="006E404E">
              <w:rPr>
                <w:rFonts w:cs="Calibri"/>
                <w:sz w:val="20"/>
                <w:szCs w:val="20"/>
              </w:rPr>
              <w:t xml:space="preserve">10,000 </w:t>
            </w:r>
          </w:p>
        </w:tc>
        <w:tc>
          <w:tcPr>
            <w:tcW w:w="0" w:type="auto"/>
          </w:tcPr>
          <w:p w14:paraId="011C1AAF" w14:textId="77777777" w:rsidR="004346AE" w:rsidRPr="006E404E" w:rsidRDefault="004346AE" w:rsidP="004622EC">
            <w:pPr>
              <w:rPr>
                <w:rFonts w:cs="Calibri"/>
                <w:sz w:val="20"/>
                <w:szCs w:val="20"/>
              </w:rPr>
            </w:pPr>
          </w:p>
        </w:tc>
        <w:tc>
          <w:tcPr>
            <w:tcW w:w="0" w:type="auto"/>
          </w:tcPr>
          <w:p w14:paraId="2E3850BD" w14:textId="77777777" w:rsidR="004346AE" w:rsidRPr="006E404E" w:rsidRDefault="004346AE" w:rsidP="004622EC">
            <w:pPr>
              <w:rPr>
                <w:rFonts w:cs="Calibri"/>
                <w:sz w:val="20"/>
                <w:szCs w:val="20"/>
              </w:rPr>
            </w:pPr>
            <w:r w:rsidRPr="006E404E">
              <w:rPr>
                <w:rFonts w:cs="Calibri"/>
                <w:sz w:val="20"/>
                <w:szCs w:val="20"/>
              </w:rPr>
              <w:t>Before terminal evaluation mission takes place</w:t>
            </w:r>
          </w:p>
        </w:tc>
      </w:tr>
      <w:tr w:rsidR="004346AE" w:rsidRPr="006E404E" w14:paraId="0AB3AAB1" w14:textId="77777777" w:rsidTr="00BA08CA">
        <w:trPr>
          <w:jc w:val="center"/>
        </w:trPr>
        <w:tc>
          <w:tcPr>
            <w:tcW w:w="0" w:type="auto"/>
          </w:tcPr>
          <w:p w14:paraId="236DD178" w14:textId="77777777" w:rsidR="004346AE" w:rsidRPr="006E404E" w:rsidRDefault="004346AE" w:rsidP="004622EC">
            <w:pPr>
              <w:rPr>
                <w:rFonts w:cs="Calibri"/>
                <w:b/>
                <w:sz w:val="20"/>
                <w:szCs w:val="20"/>
              </w:rPr>
            </w:pPr>
            <w:r w:rsidRPr="006E404E">
              <w:rPr>
                <w:rFonts w:cs="Calibri"/>
                <w:b/>
                <w:sz w:val="20"/>
                <w:szCs w:val="20"/>
              </w:rPr>
              <w:t>Independent Terminal Evaluation (TE) included in UNDP evaluation plan, and management response</w:t>
            </w:r>
          </w:p>
        </w:tc>
        <w:tc>
          <w:tcPr>
            <w:tcW w:w="0" w:type="auto"/>
          </w:tcPr>
          <w:p w14:paraId="4709A43D" w14:textId="77777777" w:rsidR="004346AE" w:rsidRPr="006E404E" w:rsidRDefault="004346AE" w:rsidP="004622EC">
            <w:pPr>
              <w:rPr>
                <w:rFonts w:cs="Calibri"/>
                <w:sz w:val="20"/>
                <w:szCs w:val="20"/>
              </w:rPr>
            </w:pPr>
            <w:r w:rsidRPr="006E404E">
              <w:rPr>
                <w:rFonts w:cs="Calibri"/>
                <w:sz w:val="20"/>
                <w:szCs w:val="20"/>
              </w:rPr>
              <w:t>UNDP Country Office and Project team and UNDP-GEF team</w:t>
            </w:r>
          </w:p>
        </w:tc>
        <w:tc>
          <w:tcPr>
            <w:tcW w:w="0" w:type="auto"/>
          </w:tcPr>
          <w:p w14:paraId="57EE821D" w14:textId="77777777" w:rsidR="004346AE" w:rsidRPr="006E404E" w:rsidRDefault="004346AE" w:rsidP="004622EC">
            <w:pPr>
              <w:jc w:val="right"/>
              <w:rPr>
                <w:rFonts w:cs="Calibri"/>
                <w:sz w:val="20"/>
                <w:szCs w:val="20"/>
              </w:rPr>
            </w:pPr>
            <w:r w:rsidRPr="006E404E">
              <w:rPr>
                <w:rFonts w:cs="Calibri"/>
                <w:sz w:val="20"/>
                <w:szCs w:val="20"/>
              </w:rPr>
              <w:t>28,000</w:t>
            </w:r>
          </w:p>
        </w:tc>
        <w:tc>
          <w:tcPr>
            <w:tcW w:w="0" w:type="auto"/>
          </w:tcPr>
          <w:p w14:paraId="74027716" w14:textId="77777777" w:rsidR="004346AE" w:rsidRPr="006E404E" w:rsidRDefault="004346AE" w:rsidP="004622EC">
            <w:pPr>
              <w:tabs>
                <w:tab w:val="center" w:pos="1216"/>
              </w:tabs>
              <w:rPr>
                <w:rFonts w:cs="Calibri"/>
                <w:sz w:val="20"/>
                <w:szCs w:val="20"/>
              </w:rPr>
            </w:pPr>
          </w:p>
        </w:tc>
        <w:tc>
          <w:tcPr>
            <w:tcW w:w="0" w:type="auto"/>
          </w:tcPr>
          <w:p w14:paraId="1D9F7E0E" w14:textId="77777777" w:rsidR="004346AE" w:rsidRPr="006E404E" w:rsidRDefault="004346AE" w:rsidP="004622EC">
            <w:pPr>
              <w:rPr>
                <w:rFonts w:cs="Calibri"/>
                <w:sz w:val="20"/>
                <w:szCs w:val="20"/>
              </w:rPr>
            </w:pPr>
            <w:r w:rsidRPr="006E404E">
              <w:rPr>
                <w:rFonts w:cs="Calibri"/>
                <w:sz w:val="20"/>
                <w:szCs w:val="20"/>
              </w:rPr>
              <w:t>At least three months before operational closure</w:t>
            </w:r>
          </w:p>
        </w:tc>
      </w:tr>
      <w:tr w:rsidR="004346AE" w:rsidRPr="006E404E" w14:paraId="535B0A0B" w14:textId="77777777" w:rsidTr="00BA08CA">
        <w:trPr>
          <w:jc w:val="center"/>
        </w:trPr>
        <w:tc>
          <w:tcPr>
            <w:tcW w:w="0" w:type="auto"/>
          </w:tcPr>
          <w:p w14:paraId="29A80658" w14:textId="77777777" w:rsidR="004346AE" w:rsidRPr="006E404E" w:rsidRDefault="004346AE" w:rsidP="004622EC">
            <w:pPr>
              <w:rPr>
                <w:rFonts w:cs="Calibri"/>
                <w:b/>
                <w:sz w:val="20"/>
                <w:szCs w:val="20"/>
              </w:rPr>
            </w:pPr>
            <w:r w:rsidRPr="006E404E">
              <w:rPr>
                <w:rFonts w:cs="Calibri"/>
                <w:b/>
                <w:sz w:val="20"/>
                <w:szCs w:val="20"/>
              </w:rPr>
              <w:t>Translation of MTR and TE reports into English</w:t>
            </w:r>
          </w:p>
        </w:tc>
        <w:tc>
          <w:tcPr>
            <w:tcW w:w="0" w:type="auto"/>
          </w:tcPr>
          <w:p w14:paraId="2E0820BB" w14:textId="77777777" w:rsidR="004346AE" w:rsidRPr="006E404E" w:rsidRDefault="004346AE" w:rsidP="004622EC">
            <w:pPr>
              <w:rPr>
                <w:rFonts w:cs="Calibri"/>
                <w:sz w:val="20"/>
                <w:szCs w:val="20"/>
              </w:rPr>
            </w:pPr>
            <w:r w:rsidRPr="006E404E">
              <w:rPr>
                <w:rFonts w:cs="Calibri"/>
                <w:sz w:val="20"/>
                <w:szCs w:val="20"/>
              </w:rPr>
              <w:t>UNDP Country Office</w:t>
            </w:r>
          </w:p>
        </w:tc>
        <w:tc>
          <w:tcPr>
            <w:tcW w:w="0" w:type="auto"/>
          </w:tcPr>
          <w:p w14:paraId="08DC79B5" w14:textId="77777777" w:rsidR="004346AE" w:rsidRPr="006E404E" w:rsidRDefault="004346AE" w:rsidP="004622EC">
            <w:pPr>
              <w:jc w:val="right"/>
              <w:rPr>
                <w:rFonts w:cs="Calibri"/>
                <w:sz w:val="20"/>
                <w:szCs w:val="20"/>
              </w:rPr>
            </w:pPr>
            <w:r w:rsidRPr="006E404E">
              <w:rPr>
                <w:rFonts w:cs="Calibri"/>
                <w:sz w:val="20"/>
                <w:szCs w:val="20"/>
              </w:rPr>
              <w:t>5,000</w:t>
            </w:r>
          </w:p>
        </w:tc>
        <w:tc>
          <w:tcPr>
            <w:tcW w:w="0" w:type="auto"/>
          </w:tcPr>
          <w:p w14:paraId="0D35CB15" w14:textId="77777777" w:rsidR="004346AE" w:rsidRPr="006E404E" w:rsidRDefault="004346AE" w:rsidP="004622EC">
            <w:pPr>
              <w:rPr>
                <w:rFonts w:cs="Calibri"/>
                <w:sz w:val="20"/>
                <w:szCs w:val="20"/>
                <w:highlight w:val="yellow"/>
              </w:rPr>
            </w:pPr>
          </w:p>
        </w:tc>
        <w:tc>
          <w:tcPr>
            <w:tcW w:w="0" w:type="auto"/>
          </w:tcPr>
          <w:p w14:paraId="63BC8C30" w14:textId="77777777" w:rsidR="004346AE" w:rsidRPr="006E404E" w:rsidRDefault="004346AE" w:rsidP="004622EC">
            <w:pPr>
              <w:rPr>
                <w:rFonts w:cs="Calibri"/>
                <w:sz w:val="20"/>
                <w:szCs w:val="20"/>
              </w:rPr>
            </w:pPr>
            <w:r w:rsidRPr="006E404E">
              <w:rPr>
                <w:rFonts w:cs="Calibri"/>
                <w:sz w:val="20"/>
                <w:szCs w:val="20"/>
              </w:rPr>
              <w:t>2 months after MTR and TE</w:t>
            </w:r>
          </w:p>
        </w:tc>
      </w:tr>
      <w:tr w:rsidR="004346AE" w:rsidRPr="006E404E" w14:paraId="4CB33B4A" w14:textId="77777777" w:rsidTr="00BA08CA">
        <w:trPr>
          <w:cantSplit/>
          <w:trHeight w:val="710"/>
          <w:jc w:val="center"/>
        </w:trPr>
        <w:tc>
          <w:tcPr>
            <w:tcW w:w="0" w:type="auto"/>
            <w:gridSpan w:val="2"/>
            <w:shd w:val="clear" w:color="auto" w:fill="E6E6E6"/>
          </w:tcPr>
          <w:p w14:paraId="669D2475" w14:textId="77777777" w:rsidR="004346AE" w:rsidRPr="006E404E" w:rsidRDefault="004346AE" w:rsidP="004622EC">
            <w:pPr>
              <w:rPr>
                <w:rFonts w:cs="Calibri"/>
                <w:b/>
                <w:sz w:val="20"/>
                <w:szCs w:val="20"/>
              </w:rPr>
            </w:pPr>
            <w:r w:rsidRPr="006E404E">
              <w:rPr>
                <w:rFonts w:cs="Calibri"/>
                <w:b/>
                <w:sz w:val="20"/>
                <w:szCs w:val="20"/>
              </w:rPr>
              <w:t>TOTAL indicative cost</w:t>
            </w:r>
          </w:p>
          <w:p w14:paraId="358C7BE3" w14:textId="77777777" w:rsidR="004346AE" w:rsidRPr="006E404E" w:rsidRDefault="004346AE" w:rsidP="004622EC">
            <w:pPr>
              <w:rPr>
                <w:rFonts w:cs="Calibri"/>
                <w:sz w:val="20"/>
                <w:szCs w:val="20"/>
              </w:rPr>
            </w:pPr>
            <w:r w:rsidRPr="006E404E">
              <w:rPr>
                <w:rFonts w:cs="Calibri"/>
                <w:sz w:val="20"/>
                <w:szCs w:val="20"/>
              </w:rPr>
              <w:t xml:space="preserve">Excluding project team staff time, and UNDP staff / travel expenses </w:t>
            </w:r>
          </w:p>
        </w:tc>
        <w:tc>
          <w:tcPr>
            <w:tcW w:w="0" w:type="auto"/>
            <w:shd w:val="clear" w:color="auto" w:fill="E6E6E6"/>
          </w:tcPr>
          <w:p w14:paraId="69799611" w14:textId="77777777" w:rsidR="004346AE" w:rsidRPr="006E404E" w:rsidRDefault="004346AE" w:rsidP="004622EC">
            <w:pPr>
              <w:jc w:val="right"/>
              <w:rPr>
                <w:rFonts w:cs="Calibri"/>
                <w:sz w:val="20"/>
                <w:szCs w:val="20"/>
              </w:rPr>
            </w:pPr>
          </w:p>
          <w:p w14:paraId="787F0BE0" w14:textId="77777777" w:rsidR="004346AE" w:rsidRPr="006E404E" w:rsidRDefault="004346AE" w:rsidP="004622EC">
            <w:pPr>
              <w:jc w:val="right"/>
              <w:rPr>
                <w:rFonts w:cs="Calibri"/>
                <w:sz w:val="20"/>
                <w:szCs w:val="20"/>
              </w:rPr>
            </w:pPr>
            <w:r w:rsidRPr="006E404E">
              <w:rPr>
                <w:rFonts w:cs="Calibri"/>
                <w:sz w:val="20"/>
                <w:szCs w:val="20"/>
              </w:rPr>
              <w:t>173,000</w:t>
            </w:r>
          </w:p>
        </w:tc>
        <w:tc>
          <w:tcPr>
            <w:tcW w:w="0" w:type="auto"/>
            <w:shd w:val="clear" w:color="auto" w:fill="E6E6E6"/>
          </w:tcPr>
          <w:p w14:paraId="3CF77A53" w14:textId="77777777" w:rsidR="004346AE" w:rsidRPr="006E404E" w:rsidRDefault="004346AE" w:rsidP="004622EC">
            <w:pPr>
              <w:rPr>
                <w:rFonts w:cs="Calibri"/>
                <w:i/>
                <w:sz w:val="20"/>
                <w:szCs w:val="20"/>
              </w:rPr>
            </w:pPr>
          </w:p>
        </w:tc>
        <w:tc>
          <w:tcPr>
            <w:tcW w:w="0" w:type="auto"/>
            <w:shd w:val="clear" w:color="auto" w:fill="E6E6E6"/>
          </w:tcPr>
          <w:p w14:paraId="7D1C95FE" w14:textId="77777777" w:rsidR="004346AE" w:rsidRPr="006E404E" w:rsidRDefault="004346AE" w:rsidP="004622EC">
            <w:pPr>
              <w:rPr>
                <w:rFonts w:cs="Calibri"/>
                <w:sz w:val="20"/>
                <w:szCs w:val="20"/>
                <w:highlight w:val="yellow"/>
              </w:rPr>
            </w:pPr>
          </w:p>
        </w:tc>
      </w:tr>
    </w:tbl>
    <w:p w14:paraId="12F67634" w14:textId="77777777" w:rsidR="006B0FF4" w:rsidRPr="006004D1" w:rsidRDefault="006B0FF4" w:rsidP="003B2A79">
      <w:pPr>
        <w:rPr>
          <w:rFonts w:cs="Arial"/>
          <w:b/>
          <w:bCs/>
          <w:szCs w:val="20"/>
        </w:rPr>
      </w:pPr>
    </w:p>
    <w:p w14:paraId="14216716" w14:textId="77777777" w:rsidR="00CF18D8" w:rsidRDefault="003E3ABA" w:rsidP="004622EC">
      <w:pPr>
        <w:pStyle w:val="1"/>
        <w:pageBreakBefore/>
        <w:spacing w:before="0" w:after="0"/>
        <w:rPr>
          <w:rFonts w:ascii="Calibri" w:hAnsi="Calibri"/>
        </w:rPr>
      </w:pPr>
      <w:bookmarkStart w:id="91" w:name="_Toc479693886"/>
      <w:r w:rsidRPr="006004D1">
        <w:rPr>
          <w:rFonts w:ascii="Calibri" w:hAnsi="Calibri"/>
        </w:rPr>
        <w:t>Governance and Management Arrangements</w:t>
      </w:r>
      <w:bookmarkEnd w:id="91"/>
    </w:p>
    <w:p w14:paraId="607C6153" w14:textId="77777777" w:rsidR="003E3ABA" w:rsidRPr="006004D1" w:rsidRDefault="003E3ABA" w:rsidP="004622EC"/>
    <w:p w14:paraId="1EAE9F0C" w14:textId="77777777" w:rsidR="00B32FA2" w:rsidRDefault="003E3ABA" w:rsidP="0020322F">
      <w:pPr>
        <w:pStyle w:val="a7"/>
        <w:numPr>
          <w:ilvl w:val="0"/>
          <w:numId w:val="9"/>
        </w:numPr>
        <w:tabs>
          <w:tab w:val="clear" w:pos="4153"/>
          <w:tab w:val="clear" w:pos="8306"/>
          <w:tab w:val="left" w:pos="426"/>
        </w:tabs>
        <w:spacing w:after="120"/>
        <w:rPr>
          <w:rFonts w:cs="Calibri"/>
          <w:szCs w:val="22"/>
        </w:rPr>
      </w:pPr>
      <w:r w:rsidRPr="0073237B">
        <w:rPr>
          <w:rFonts w:cs="Calibri"/>
          <w:b/>
          <w:szCs w:val="22"/>
          <w:u w:val="single"/>
        </w:rPr>
        <w:t>Roles and responsibilities of the project’s governance mechanism:</w:t>
      </w:r>
      <w:r w:rsidRPr="004622EC">
        <w:rPr>
          <w:rFonts w:cs="Calibri"/>
          <w:szCs w:val="22"/>
        </w:rPr>
        <w:t xml:space="preserve"> The project will be implemented following UNDP’s national implementation modality, according to the Standard Basic Assistance Agreement between UNDP and the Government </w:t>
      </w:r>
      <w:r w:rsidR="00C953AA" w:rsidRPr="002B343A">
        <w:rPr>
          <w:rFonts w:cs="Calibri"/>
          <w:szCs w:val="22"/>
        </w:rPr>
        <w:t>of Kazakhstan</w:t>
      </w:r>
      <w:r w:rsidRPr="004622EC">
        <w:rPr>
          <w:rFonts w:cs="Calibri"/>
          <w:szCs w:val="22"/>
        </w:rPr>
        <w:t>, and the Country Program</w:t>
      </w:r>
      <w:r w:rsidR="0097619D" w:rsidRPr="004622EC">
        <w:rPr>
          <w:rFonts w:cs="Calibri"/>
          <w:szCs w:val="22"/>
        </w:rPr>
        <w:t>me</w:t>
      </w:r>
      <w:r w:rsidRPr="004622EC">
        <w:rPr>
          <w:rFonts w:cs="Calibri"/>
          <w:szCs w:val="22"/>
        </w:rPr>
        <w:t xml:space="preserve">. </w:t>
      </w:r>
    </w:p>
    <w:p w14:paraId="2C18466F" w14:textId="77777777" w:rsidR="00CF18D8" w:rsidRPr="004622EC" w:rsidRDefault="003E3ABA" w:rsidP="0020322F">
      <w:pPr>
        <w:pStyle w:val="a7"/>
        <w:numPr>
          <w:ilvl w:val="0"/>
          <w:numId w:val="9"/>
        </w:numPr>
        <w:tabs>
          <w:tab w:val="clear" w:pos="4153"/>
          <w:tab w:val="clear" w:pos="8306"/>
          <w:tab w:val="left" w:pos="426"/>
        </w:tabs>
        <w:spacing w:after="120"/>
        <w:rPr>
          <w:rFonts w:cs="Arial"/>
          <w:szCs w:val="22"/>
        </w:rPr>
      </w:pPr>
      <w:r w:rsidRPr="004622EC">
        <w:rPr>
          <w:rFonts w:cs="Arial"/>
          <w:noProof/>
          <w:szCs w:val="22"/>
          <w:lang w:eastAsia="zh-CN"/>
        </w:rPr>
        <w:t xml:space="preserve">The </w:t>
      </w:r>
      <w:r w:rsidRPr="004622EC">
        <w:rPr>
          <w:rFonts w:cs="Arial"/>
          <w:b/>
          <w:noProof/>
          <w:szCs w:val="22"/>
          <w:lang w:eastAsia="zh-CN"/>
        </w:rPr>
        <w:t>Implementing Partner</w:t>
      </w:r>
      <w:r w:rsidRPr="004622EC">
        <w:rPr>
          <w:rFonts w:cs="Arial"/>
          <w:noProof/>
          <w:szCs w:val="22"/>
          <w:lang w:eastAsia="zh-CN"/>
        </w:rPr>
        <w:t xml:space="preserve"> for this project is</w:t>
      </w:r>
      <w:r w:rsidR="00CD7018" w:rsidRPr="004622EC">
        <w:rPr>
          <w:rFonts w:cs="Arial"/>
          <w:noProof/>
          <w:szCs w:val="22"/>
          <w:lang w:eastAsia="zh-CN"/>
        </w:rPr>
        <w:t xml:space="preserve"> </w:t>
      </w:r>
      <w:r w:rsidR="00C00824" w:rsidRPr="004622EC">
        <w:rPr>
          <w:rFonts w:cs="Arial"/>
          <w:noProof/>
          <w:szCs w:val="22"/>
          <w:lang w:eastAsia="zh-CN"/>
        </w:rPr>
        <w:t>Ministry of Energy of the Republic of Kazakhstan</w:t>
      </w:r>
      <w:r w:rsidRPr="004622EC">
        <w:rPr>
          <w:rFonts w:cs="Arial"/>
          <w:i/>
          <w:noProof/>
          <w:szCs w:val="22"/>
          <w:lang w:eastAsia="zh-CN"/>
        </w:rPr>
        <w:t xml:space="preserve">. </w:t>
      </w:r>
      <w:r w:rsidRPr="004622EC">
        <w:rPr>
          <w:rFonts w:cs="Arial"/>
          <w:noProof/>
          <w:szCs w:val="22"/>
          <w:lang w:eastAsia="zh-CN"/>
        </w:rPr>
        <w:t xml:space="preserve">The Implementing Partner is responsible and accountable for managing this project, including the monitoring and evaluation of project interventions, achieving project outcomes, and for the effective use of UNDP resources. </w:t>
      </w:r>
    </w:p>
    <w:p w14:paraId="3A52D735" w14:textId="77777777" w:rsidR="00B32FA2" w:rsidRPr="004622EC" w:rsidRDefault="00B32FA2" w:rsidP="0020322F">
      <w:pPr>
        <w:pStyle w:val="a7"/>
        <w:numPr>
          <w:ilvl w:val="0"/>
          <w:numId w:val="9"/>
        </w:numPr>
        <w:tabs>
          <w:tab w:val="clear" w:pos="4153"/>
          <w:tab w:val="clear" w:pos="8306"/>
          <w:tab w:val="left" w:pos="426"/>
        </w:tabs>
        <w:spacing w:after="120"/>
        <w:rPr>
          <w:rFonts w:cs="Calibri"/>
          <w:szCs w:val="22"/>
        </w:rPr>
      </w:pPr>
      <w:r w:rsidRPr="004622EC">
        <w:rPr>
          <w:rFonts w:cs="Calibri"/>
          <w:szCs w:val="22"/>
        </w:rPr>
        <w:t>The project organisation</w:t>
      </w:r>
      <w:r w:rsidR="007E17D5">
        <w:rPr>
          <w:rFonts w:cs="Calibri"/>
          <w:szCs w:val="22"/>
        </w:rPr>
        <w:t>al</w:t>
      </w:r>
      <w:r w:rsidRPr="004622EC">
        <w:rPr>
          <w:rFonts w:cs="Calibri"/>
          <w:szCs w:val="22"/>
        </w:rPr>
        <w:t xml:space="preserve"> structure is presented </w:t>
      </w:r>
      <w:r w:rsidRPr="0039021E">
        <w:rPr>
          <w:rFonts w:cs="Calibri"/>
          <w:szCs w:val="22"/>
        </w:rPr>
        <w:t xml:space="preserve">in </w:t>
      </w:r>
      <w:r w:rsidRPr="0039021E">
        <w:rPr>
          <w:rFonts w:cs="Calibri"/>
          <w:szCs w:val="22"/>
        </w:rPr>
        <w:fldChar w:fldCharType="begin"/>
      </w:r>
      <w:r w:rsidRPr="0039021E">
        <w:rPr>
          <w:rFonts w:cs="Calibri"/>
          <w:szCs w:val="22"/>
        </w:rPr>
        <w:instrText xml:space="preserve"> REF _Ref464114287 \h </w:instrText>
      </w:r>
      <w:r>
        <w:rPr>
          <w:rFonts w:cs="Calibri"/>
          <w:szCs w:val="22"/>
        </w:rPr>
        <w:instrText xml:space="preserve"> \* MERGEFORMAT </w:instrText>
      </w:r>
      <w:r w:rsidRPr="0039021E">
        <w:rPr>
          <w:rFonts w:cs="Calibri"/>
          <w:szCs w:val="22"/>
        </w:rPr>
      </w:r>
      <w:r w:rsidRPr="0039021E">
        <w:rPr>
          <w:rFonts w:cs="Calibri"/>
          <w:szCs w:val="22"/>
        </w:rPr>
        <w:fldChar w:fldCharType="separate"/>
      </w:r>
      <w:r w:rsidR="00921873" w:rsidRPr="00921873">
        <w:rPr>
          <w:szCs w:val="22"/>
        </w:rPr>
        <w:t xml:space="preserve">Figure </w:t>
      </w:r>
      <w:r w:rsidR="00921873" w:rsidRPr="00921873">
        <w:rPr>
          <w:noProof/>
          <w:szCs w:val="22"/>
        </w:rPr>
        <w:t>11</w:t>
      </w:r>
      <w:r w:rsidRPr="0039021E">
        <w:rPr>
          <w:rFonts w:cs="Calibri"/>
          <w:szCs w:val="22"/>
        </w:rPr>
        <w:fldChar w:fldCharType="end"/>
      </w:r>
      <w:r>
        <w:rPr>
          <w:rFonts w:cs="Calibri"/>
          <w:szCs w:val="22"/>
        </w:rPr>
        <w:t>.</w:t>
      </w:r>
      <w:r w:rsidRPr="004622EC">
        <w:rPr>
          <w:rFonts w:cs="Calibri"/>
          <w:szCs w:val="22"/>
        </w:rPr>
        <w:t xml:space="preserve"> </w:t>
      </w:r>
    </w:p>
    <w:p w14:paraId="1716DFA7" w14:textId="0A4C6941" w:rsidR="00CF18D8" w:rsidRPr="000D7D05" w:rsidRDefault="00B27C54" w:rsidP="0020322F">
      <w:pPr>
        <w:pStyle w:val="a7"/>
        <w:numPr>
          <w:ilvl w:val="0"/>
          <w:numId w:val="9"/>
        </w:numPr>
        <w:tabs>
          <w:tab w:val="clear" w:pos="4153"/>
          <w:tab w:val="clear" w:pos="8306"/>
          <w:tab w:val="left" w:pos="426"/>
        </w:tabs>
        <w:spacing w:after="120"/>
        <w:rPr>
          <w:rFonts w:cs="Arial"/>
          <w:szCs w:val="22"/>
        </w:rPr>
      </w:pPr>
      <w:r w:rsidRPr="004622EC">
        <w:rPr>
          <w:rFonts w:cs="Arial"/>
          <w:noProof/>
          <w:szCs w:val="22"/>
          <w:lang w:eastAsia="zh-CN"/>
        </w:rPr>
        <w:t xml:space="preserve">The </w:t>
      </w:r>
      <w:r w:rsidRPr="004622EC">
        <w:rPr>
          <w:rFonts w:cs="Arial"/>
          <w:b/>
          <w:noProof/>
          <w:szCs w:val="22"/>
          <w:lang w:eastAsia="zh-CN"/>
        </w:rPr>
        <w:t>Project Steering Committee</w:t>
      </w:r>
      <w:r w:rsidRPr="004622EC">
        <w:rPr>
          <w:rFonts w:cs="Arial"/>
          <w:noProof/>
          <w:szCs w:val="22"/>
          <w:lang w:eastAsia="zh-CN"/>
        </w:rPr>
        <w:t xml:space="preserve"> </w:t>
      </w:r>
      <w:r w:rsidR="007A3BCE">
        <w:rPr>
          <w:rFonts w:cs="Arial"/>
          <w:noProof/>
          <w:szCs w:val="22"/>
          <w:lang w:eastAsia="zh-CN"/>
        </w:rPr>
        <w:t>(PSC</w:t>
      </w:r>
      <w:r w:rsidR="00B32FA2">
        <w:rPr>
          <w:rFonts w:cs="Arial"/>
          <w:noProof/>
          <w:szCs w:val="22"/>
          <w:lang w:eastAsia="zh-CN"/>
        </w:rPr>
        <w:t>, and also called Project Board</w:t>
      </w:r>
      <w:r w:rsidR="007A3BCE">
        <w:rPr>
          <w:rFonts w:cs="Arial"/>
          <w:noProof/>
          <w:szCs w:val="22"/>
          <w:lang w:eastAsia="zh-CN"/>
        </w:rPr>
        <w:t xml:space="preserve">) </w:t>
      </w:r>
      <w:r w:rsidRPr="004622EC">
        <w:rPr>
          <w:rFonts w:cs="Arial"/>
          <w:noProof/>
          <w:szCs w:val="22"/>
          <w:lang w:eastAsia="zh-CN"/>
        </w:rPr>
        <w:t>is responsible for making by consensus, management decisions when guidance is required by the Project Manager, including recommendation for UNDP/</w:t>
      </w:r>
      <w:r w:rsidR="00AA06AF" w:rsidRPr="004622EC">
        <w:rPr>
          <w:rFonts w:cs="Arial"/>
          <w:noProof/>
          <w:szCs w:val="22"/>
          <w:lang w:eastAsia="zh-CN"/>
        </w:rPr>
        <w:t>Ministry of Energy</w:t>
      </w:r>
      <w:r w:rsidRPr="004622EC">
        <w:rPr>
          <w:rFonts w:cs="Arial"/>
          <w:noProof/>
          <w:szCs w:val="22"/>
          <w:lang w:eastAsia="zh-CN"/>
        </w:rPr>
        <w:t xml:space="preserve"> approval of project plans and revisions. </w:t>
      </w:r>
      <w:r w:rsidR="00AE4393">
        <w:rPr>
          <w:rFonts w:cs="Arial"/>
          <w:noProof/>
          <w:szCs w:val="22"/>
          <w:lang w:eastAsia="zh-CN"/>
        </w:rPr>
        <w:t>T</w:t>
      </w:r>
      <w:r w:rsidRPr="004622EC">
        <w:rPr>
          <w:rFonts w:cs="Arial"/>
          <w:noProof/>
          <w:szCs w:val="22"/>
          <w:lang w:eastAsia="zh-CN"/>
        </w:rPr>
        <w:t>o ensure UNDP’s ultimat</w:t>
      </w:r>
      <w:r w:rsidR="00AA06AF" w:rsidRPr="004622EC">
        <w:rPr>
          <w:rFonts w:cs="Arial"/>
          <w:noProof/>
          <w:szCs w:val="22"/>
          <w:lang w:eastAsia="zh-CN"/>
        </w:rPr>
        <w:t>e accountability, Project Steering</w:t>
      </w:r>
      <w:r w:rsidR="00D81ED4" w:rsidRPr="004622EC">
        <w:rPr>
          <w:rFonts w:cs="Arial"/>
          <w:noProof/>
          <w:szCs w:val="22"/>
          <w:lang w:eastAsia="zh-CN"/>
        </w:rPr>
        <w:t xml:space="preserve"> </w:t>
      </w:r>
      <w:r w:rsidR="00AA06AF" w:rsidRPr="004622EC">
        <w:rPr>
          <w:rFonts w:cs="Arial"/>
          <w:noProof/>
          <w:szCs w:val="22"/>
          <w:lang w:eastAsia="zh-CN"/>
        </w:rPr>
        <w:t>C</w:t>
      </w:r>
      <w:r w:rsidR="00D81ED4" w:rsidRPr="004622EC">
        <w:rPr>
          <w:rFonts w:cs="Arial"/>
          <w:noProof/>
          <w:szCs w:val="22"/>
          <w:lang w:eastAsia="zh-CN"/>
        </w:rPr>
        <w:t>o</w:t>
      </w:r>
      <w:r w:rsidR="00AA06AF" w:rsidRPr="004622EC">
        <w:rPr>
          <w:rFonts w:cs="Arial"/>
          <w:noProof/>
          <w:szCs w:val="22"/>
          <w:lang w:eastAsia="zh-CN"/>
        </w:rPr>
        <w:t>m</w:t>
      </w:r>
      <w:r w:rsidR="00D81ED4" w:rsidRPr="004622EC">
        <w:rPr>
          <w:rFonts w:cs="Arial"/>
          <w:noProof/>
          <w:szCs w:val="22"/>
          <w:lang w:eastAsia="zh-CN"/>
        </w:rPr>
        <w:t>m</w:t>
      </w:r>
      <w:r w:rsidR="00AA06AF" w:rsidRPr="004622EC">
        <w:rPr>
          <w:rFonts w:cs="Arial"/>
          <w:noProof/>
          <w:szCs w:val="22"/>
          <w:lang w:eastAsia="zh-CN"/>
        </w:rPr>
        <w:t>it</w:t>
      </w:r>
      <w:r w:rsidR="00D81ED4" w:rsidRPr="004622EC">
        <w:rPr>
          <w:rFonts w:cs="Arial"/>
          <w:noProof/>
          <w:szCs w:val="22"/>
          <w:lang w:eastAsia="zh-CN"/>
        </w:rPr>
        <w:t>t</w:t>
      </w:r>
      <w:r w:rsidR="00AA06AF" w:rsidRPr="004622EC">
        <w:rPr>
          <w:rFonts w:cs="Arial"/>
          <w:noProof/>
          <w:szCs w:val="22"/>
          <w:lang w:eastAsia="zh-CN"/>
        </w:rPr>
        <w:t>ee</w:t>
      </w:r>
      <w:r w:rsidR="00D81ED4" w:rsidRPr="004622EC">
        <w:rPr>
          <w:rFonts w:cs="Arial"/>
          <w:noProof/>
          <w:szCs w:val="22"/>
          <w:lang w:eastAsia="zh-CN"/>
        </w:rPr>
        <w:t xml:space="preserve"> </w:t>
      </w:r>
      <w:r w:rsidRPr="004622EC">
        <w:rPr>
          <w:rFonts w:cs="Arial"/>
          <w:noProof/>
          <w:szCs w:val="22"/>
          <w:lang w:eastAsia="zh-CN"/>
        </w:rPr>
        <w:t xml:space="preserve">decisions should be made in accordance with standards that shall ensure management for development results, best value </w:t>
      </w:r>
      <w:r w:rsidR="00B32FA2">
        <w:rPr>
          <w:rFonts w:cs="Arial"/>
          <w:noProof/>
          <w:szCs w:val="22"/>
          <w:lang w:eastAsia="zh-CN"/>
        </w:rPr>
        <w:t xml:space="preserve">for </w:t>
      </w:r>
      <w:r w:rsidRPr="004622EC">
        <w:rPr>
          <w:rFonts w:cs="Arial"/>
          <w:noProof/>
          <w:szCs w:val="22"/>
          <w:lang w:eastAsia="zh-CN"/>
        </w:rPr>
        <w:t xml:space="preserve">money, fairness, integrity, transparency and effective international competition. In </w:t>
      </w:r>
      <w:r w:rsidR="00067F8E" w:rsidRPr="004622EC">
        <w:rPr>
          <w:rFonts w:cs="Arial"/>
          <w:noProof/>
          <w:szCs w:val="22"/>
          <w:lang w:eastAsia="zh-CN"/>
        </w:rPr>
        <w:t xml:space="preserve">the </w:t>
      </w:r>
      <w:r w:rsidRPr="004622EC">
        <w:rPr>
          <w:rFonts w:cs="Arial"/>
          <w:noProof/>
          <w:szCs w:val="22"/>
          <w:lang w:eastAsia="zh-CN"/>
        </w:rPr>
        <w:t xml:space="preserve">case </w:t>
      </w:r>
      <w:r w:rsidR="00067F8E" w:rsidRPr="004622EC">
        <w:rPr>
          <w:rFonts w:cs="Arial"/>
          <w:noProof/>
          <w:szCs w:val="22"/>
          <w:lang w:eastAsia="zh-CN"/>
        </w:rPr>
        <w:t xml:space="preserve">where </w:t>
      </w:r>
      <w:r w:rsidRPr="004622EC">
        <w:rPr>
          <w:rFonts w:cs="Arial"/>
          <w:noProof/>
          <w:szCs w:val="22"/>
          <w:lang w:eastAsia="zh-CN"/>
        </w:rPr>
        <w:t xml:space="preserve">a consensus cannot be reached within the </w:t>
      </w:r>
      <w:r w:rsidR="007A3BCE">
        <w:rPr>
          <w:rFonts w:cs="Arial"/>
          <w:noProof/>
          <w:szCs w:val="22"/>
          <w:lang w:eastAsia="zh-CN"/>
        </w:rPr>
        <w:t>PSC</w:t>
      </w:r>
      <w:r w:rsidRPr="004622EC">
        <w:rPr>
          <w:rFonts w:cs="Arial"/>
          <w:noProof/>
          <w:szCs w:val="22"/>
          <w:lang w:eastAsia="zh-CN"/>
        </w:rPr>
        <w:t xml:space="preserve">, final decision shall rest with the UNDP Programme Manager. The terms of reference for the </w:t>
      </w:r>
      <w:r w:rsidR="007A3BCE">
        <w:rPr>
          <w:rFonts w:cs="Arial"/>
          <w:noProof/>
          <w:szCs w:val="22"/>
          <w:lang w:eastAsia="zh-CN"/>
        </w:rPr>
        <w:t>PSC</w:t>
      </w:r>
      <w:r w:rsidR="00C00824" w:rsidRPr="004622EC">
        <w:rPr>
          <w:rFonts w:cs="Arial"/>
          <w:noProof/>
          <w:szCs w:val="22"/>
          <w:lang w:eastAsia="zh-CN"/>
        </w:rPr>
        <w:t xml:space="preserve"> is</w:t>
      </w:r>
      <w:r w:rsidRPr="004622EC">
        <w:rPr>
          <w:rFonts w:cs="Arial"/>
          <w:noProof/>
          <w:szCs w:val="22"/>
          <w:lang w:eastAsia="zh-CN"/>
        </w:rPr>
        <w:t xml:space="preserve"> </w:t>
      </w:r>
      <w:r w:rsidRPr="000D7D05">
        <w:rPr>
          <w:rFonts w:cs="Arial"/>
          <w:noProof/>
          <w:szCs w:val="22"/>
          <w:lang w:eastAsia="zh-CN"/>
        </w:rPr>
        <w:t>contained in</w:t>
      </w:r>
      <w:r w:rsidR="00A8609D">
        <w:rPr>
          <w:rFonts w:cs="Arial"/>
          <w:noProof/>
          <w:szCs w:val="22"/>
          <w:lang w:eastAsia="zh-CN"/>
        </w:rPr>
        <w:t xml:space="preserve"> Annex E</w:t>
      </w:r>
      <w:r w:rsidR="00E70737" w:rsidRPr="000D7D05">
        <w:rPr>
          <w:rFonts w:cs="Arial"/>
          <w:noProof/>
          <w:szCs w:val="22"/>
          <w:lang w:eastAsia="zh-CN"/>
        </w:rPr>
        <w:t>.</w:t>
      </w:r>
    </w:p>
    <w:p w14:paraId="638EC383" w14:textId="77777777" w:rsidR="00CF18D8" w:rsidRPr="004622EC" w:rsidRDefault="000C4641" w:rsidP="0020322F">
      <w:pPr>
        <w:pStyle w:val="a7"/>
        <w:numPr>
          <w:ilvl w:val="0"/>
          <w:numId w:val="9"/>
        </w:numPr>
        <w:tabs>
          <w:tab w:val="clear" w:pos="4153"/>
          <w:tab w:val="clear" w:pos="8306"/>
          <w:tab w:val="left" w:pos="426"/>
        </w:tabs>
        <w:spacing w:after="120"/>
        <w:rPr>
          <w:rFonts w:cs="Arial"/>
          <w:szCs w:val="22"/>
        </w:rPr>
      </w:pPr>
      <w:r w:rsidRPr="004622EC">
        <w:rPr>
          <w:szCs w:val="22"/>
        </w:rPr>
        <w:t xml:space="preserve">The </w:t>
      </w:r>
      <w:r w:rsidR="007A3BCE">
        <w:rPr>
          <w:szCs w:val="22"/>
        </w:rPr>
        <w:t>PSC</w:t>
      </w:r>
      <w:r w:rsidRPr="004622EC">
        <w:rPr>
          <w:szCs w:val="22"/>
        </w:rPr>
        <w:t xml:space="preserve"> will include representati</w:t>
      </w:r>
      <w:r w:rsidR="00942DEC" w:rsidRPr="004622EC">
        <w:rPr>
          <w:szCs w:val="22"/>
        </w:rPr>
        <w:t xml:space="preserve">ves of the Ministry of Energy </w:t>
      </w:r>
      <w:r w:rsidRPr="004622EC">
        <w:rPr>
          <w:szCs w:val="22"/>
        </w:rPr>
        <w:t xml:space="preserve">as the Executive and Senior Beneficiary and UNDP as the Senior Supplier.  It will also include key national governmental and non-governmental </w:t>
      </w:r>
      <w:r w:rsidR="00942DEC" w:rsidRPr="004622EC">
        <w:rPr>
          <w:szCs w:val="22"/>
        </w:rPr>
        <w:t xml:space="preserve">agencies </w:t>
      </w:r>
      <w:r w:rsidRPr="004622EC">
        <w:rPr>
          <w:szCs w:val="22"/>
        </w:rPr>
        <w:t xml:space="preserve">as appropriate. Independent third parties such as international organizations or national NGOs may attend augmented </w:t>
      </w:r>
      <w:r w:rsidR="00942DEC" w:rsidRPr="004622EC">
        <w:rPr>
          <w:szCs w:val="22"/>
        </w:rPr>
        <w:t>Project Steering Committee</w:t>
      </w:r>
      <w:r w:rsidRPr="004622EC">
        <w:rPr>
          <w:szCs w:val="22"/>
        </w:rPr>
        <w:t xml:space="preserve"> meetings as observers as well. The </w:t>
      </w:r>
      <w:r w:rsidR="00942DEC" w:rsidRPr="004622EC">
        <w:rPr>
          <w:szCs w:val="22"/>
        </w:rPr>
        <w:t>Project Steering Committee</w:t>
      </w:r>
      <w:r w:rsidRPr="004622EC">
        <w:rPr>
          <w:szCs w:val="22"/>
        </w:rPr>
        <w:t xml:space="preserve"> will be balanced in terms of gender. </w:t>
      </w:r>
      <w:r w:rsidR="00DA631E" w:rsidRPr="004622EC">
        <w:rPr>
          <w:szCs w:val="22"/>
        </w:rPr>
        <w:t xml:space="preserve">Potential members of the </w:t>
      </w:r>
      <w:r w:rsidR="00DA631E">
        <w:rPr>
          <w:szCs w:val="22"/>
        </w:rPr>
        <w:t>PSC</w:t>
      </w:r>
      <w:r w:rsidR="00DA631E" w:rsidRPr="004622EC">
        <w:rPr>
          <w:szCs w:val="22"/>
        </w:rPr>
        <w:t xml:space="preserve"> will be reviewed and recommended for approval during the Project Appraisal Committee (PAC) meeting.</w:t>
      </w:r>
    </w:p>
    <w:p w14:paraId="76EF5B1E" w14:textId="77777777" w:rsidR="00CF18D8" w:rsidRPr="004622EC" w:rsidRDefault="000C4641" w:rsidP="0020322F">
      <w:pPr>
        <w:pStyle w:val="a7"/>
        <w:numPr>
          <w:ilvl w:val="0"/>
          <w:numId w:val="9"/>
        </w:numPr>
        <w:tabs>
          <w:tab w:val="clear" w:pos="4153"/>
          <w:tab w:val="clear" w:pos="8306"/>
          <w:tab w:val="left" w:pos="426"/>
        </w:tabs>
        <w:spacing w:after="120"/>
        <w:rPr>
          <w:rFonts w:asciiTheme="majorHAnsi" w:hAnsiTheme="majorHAnsi"/>
          <w:szCs w:val="22"/>
        </w:rPr>
      </w:pPr>
      <w:r w:rsidRPr="004622EC">
        <w:rPr>
          <w:szCs w:val="22"/>
        </w:rPr>
        <w:t xml:space="preserve">The </w:t>
      </w:r>
      <w:r w:rsidR="007A3BCE">
        <w:rPr>
          <w:szCs w:val="22"/>
        </w:rPr>
        <w:t>PSC</w:t>
      </w:r>
      <w:r w:rsidR="00942DEC" w:rsidRPr="004622EC">
        <w:rPr>
          <w:szCs w:val="22"/>
        </w:rPr>
        <w:t xml:space="preserve"> </w:t>
      </w:r>
      <w:r w:rsidRPr="004622EC">
        <w:rPr>
          <w:szCs w:val="22"/>
        </w:rPr>
        <w:t xml:space="preserve">will be responsible for making management decisions for the project, in particular when guidance is required by the Project Manager (PM). </w:t>
      </w:r>
      <w:r w:rsidR="004003AE">
        <w:rPr>
          <w:szCs w:val="22"/>
        </w:rPr>
        <w:t>The PSC</w:t>
      </w:r>
      <w:r w:rsidR="004003AE" w:rsidRPr="004622EC">
        <w:rPr>
          <w:szCs w:val="22"/>
        </w:rPr>
        <w:t xml:space="preserve"> </w:t>
      </w:r>
      <w:r w:rsidRPr="004622EC">
        <w:rPr>
          <w:szCs w:val="22"/>
        </w:rPr>
        <w:t xml:space="preserve">will play a critical role in project monitoring and evaluations by assuring the quality of these processes and associated products, and by using evaluations for improving performance, accountability and learning. The </w:t>
      </w:r>
      <w:r w:rsidR="007A3BCE">
        <w:rPr>
          <w:szCs w:val="22"/>
        </w:rPr>
        <w:t>PSC</w:t>
      </w:r>
      <w:r w:rsidRPr="004622EC">
        <w:rPr>
          <w:szCs w:val="22"/>
        </w:rPr>
        <w:t xml:space="preserve"> will ensure that required resources are committed. It will also arbitrate on any conflicts within the project and negotiate solutions to any problems with external bodies</w:t>
      </w:r>
      <w:r w:rsidR="00DA631E">
        <w:rPr>
          <w:szCs w:val="22"/>
        </w:rPr>
        <w:t xml:space="preserve">. </w:t>
      </w:r>
      <w:r w:rsidRPr="004622EC">
        <w:rPr>
          <w:szCs w:val="22"/>
        </w:rPr>
        <w:t xml:space="preserve">Project reviews by </w:t>
      </w:r>
      <w:r w:rsidR="00DA631E">
        <w:rPr>
          <w:szCs w:val="22"/>
        </w:rPr>
        <w:t>the PSC</w:t>
      </w:r>
      <w:r w:rsidRPr="004622EC">
        <w:rPr>
          <w:szCs w:val="22"/>
        </w:rPr>
        <w:t xml:space="preserve"> are made at designated decision points during the running of a project (at least once a year), or as necessary when raised by the PM. In addition, it will approve the appointment and responsibilities of the PM and any delegation of its Project Assurance responsibilities. Based on the approved Annual Work Plan, the </w:t>
      </w:r>
      <w:r w:rsidR="007A3BCE">
        <w:rPr>
          <w:szCs w:val="22"/>
        </w:rPr>
        <w:t>PSC</w:t>
      </w:r>
      <w:r w:rsidRPr="004622EC">
        <w:rPr>
          <w:szCs w:val="22"/>
        </w:rPr>
        <w:t xml:space="preserve"> can also consider and approve the annual plan and also approve modifications of the original plans.</w:t>
      </w:r>
      <w:r w:rsidR="00942DEC" w:rsidRPr="004622EC">
        <w:rPr>
          <w:rFonts w:cs="Arial"/>
          <w:szCs w:val="22"/>
        </w:rPr>
        <w:t xml:space="preserve"> </w:t>
      </w:r>
      <w:r w:rsidR="00DA631E">
        <w:rPr>
          <w:rFonts w:cs="Arial"/>
          <w:szCs w:val="22"/>
        </w:rPr>
        <w:t>As noted above, i</w:t>
      </w:r>
      <w:r w:rsidR="00DA631E" w:rsidRPr="004622EC">
        <w:rPr>
          <w:szCs w:val="22"/>
        </w:rPr>
        <w:t xml:space="preserve">n </w:t>
      </w:r>
      <w:r w:rsidRPr="004622EC">
        <w:rPr>
          <w:szCs w:val="22"/>
        </w:rPr>
        <w:t xml:space="preserve">order to ensure UNDP’s ultimate accountability, </w:t>
      </w:r>
      <w:r w:rsidR="007A3BCE">
        <w:rPr>
          <w:szCs w:val="22"/>
        </w:rPr>
        <w:t>PSC</w:t>
      </w:r>
      <w:r w:rsidRPr="004622EC">
        <w:rPr>
          <w:szCs w:val="22"/>
        </w:rPr>
        <w:t xml:space="preserve"> decisions should be made in accordance </w:t>
      </w:r>
      <w:r w:rsidR="00C8233D">
        <w:rPr>
          <w:szCs w:val="22"/>
        </w:rPr>
        <w:t>with</w:t>
      </w:r>
      <w:r w:rsidRPr="004622EC">
        <w:rPr>
          <w:szCs w:val="22"/>
        </w:rPr>
        <w:t xml:space="preserve"> standards</w:t>
      </w:r>
      <w:r w:rsidRPr="004622EC">
        <w:rPr>
          <w:szCs w:val="22"/>
          <w:vertAlign w:val="superscript"/>
        </w:rPr>
        <w:footnoteReference w:id="17"/>
      </w:r>
      <w:r w:rsidRPr="004622EC">
        <w:rPr>
          <w:szCs w:val="22"/>
        </w:rPr>
        <w:t xml:space="preserve"> that shall ensure best value </w:t>
      </w:r>
      <w:r w:rsidR="00DA631E">
        <w:rPr>
          <w:szCs w:val="22"/>
        </w:rPr>
        <w:t>for</w:t>
      </w:r>
      <w:r w:rsidRPr="004622EC">
        <w:rPr>
          <w:szCs w:val="22"/>
        </w:rPr>
        <w:t xml:space="preserve"> money, fairness, integrity, transparency and effective international competition.</w:t>
      </w:r>
      <w:r w:rsidR="00942DEC" w:rsidRPr="004622EC">
        <w:rPr>
          <w:rFonts w:cs="Arial"/>
          <w:szCs w:val="22"/>
        </w:rPr>
        <w:t xml:space="preserve"> </w:t>
      </w:r>
    </w:p>
    <w:p w14:paraId="578788A1" w14:textId="77777777" w:rsidR="00CF18D8" w:rsidRPr="004622EC" w:rsidRDefault="00067F8E" w:rsidP="0020322F">
      <w:pPr>
        <w:pStyle w:val="a7"/>
        <w:numPr>
          <w:ilvl w:val="0"/>
          <w:numId w:val="9"/>
        </w:numPr>
        <w:tabs>
          <w:tab w:val="clear" w:pos="4153"/>
          <w:tab w:val="clear" w:pos="8306"/>
          <w:tab w:val="left" w:pos="426"/>
        </w:tabs>
        <w:spacing w:after="120"/>
        <w:rPr>
          <w:szCs w:val="22"/>
        </w:rPr>
      </w:pPr>
      <w:r w:rsidRPr="004622EC">
        <w:rPr>
          <w:szCs w:val="22"/>
        </w:rPr>
        <w:t xml:space="preserve">The </w:t>
      </w:r>
      <w:r w:rsidR="00673DB9" w:rsidRPr="004622EC">
        <w:rPr>
          <w:szCs w:val="22"/>
        </w:rPr>
        <w:t>Ministry of Agriculture</w:t>
      </w:r>
      <w:r w:rsidR="000C4641" w:rsidRPr="004622EC">
        <w:rPr>
          <w:szCs w:val="22"/>
        </w:rPr>
        <w:t xml:space="preserve">, Ministry of </w:t>
      </w:r>
      <w:r w:rsidR="00673DB9" w:rsidRPr="004622EC">
        <w:rPr>
          <w:szCs w:val="22"/>
        </w:rPr>
        <w:t xml:space="preserve">Industry and </w:t>
      </w:r>
      <w:r w:rsidR="0048344B">
        <w:rPr>
          <w:szCs w:val="22"/>
        </w:rPr>
        <w:t>New Technologies</w:t>
      </w:r>
      <w:r w:rsidR="000C4641" w:rsidRPr="004622EC">
        <w:rPr>
          <w:szCs w:val="22"/>
        </w:rPr>
        <w:t xml:space="preserve">, </w:t>
      </w:r>
      <w:r w:rsidR="00673DB9" w:rsidRPr="004622EC">
        <w:rPr>
          <w:szCs w:val="22"/>
        </w:rPr>
        <w:t>KEGOC</w:t>
      </w:r>
      <w:r w:rsidR="000C4641" w:rsidRPr="004622EC">
        <w:rPr>
          <w:szCs w:val="22"/>
        </w:rPr>
        <w:t xml:space="preserve">, central and local authorities in rural regions, and local communities will benefit from project results through development of their capacity to participate in the decision-making and progress-monitoring processes. In addition, all stakeholders will be covered by the corresponding training, education, and outreach activities, and will also benefit from an improved environment at the central, regional and local levels. </w:t>
      </w:r>
    </w:p>
    <w:p w14:paraId="059176B6" w14:textId="77777777" w:rsidR="00DA631E" w:rsidRDefault="00DA631E" w:rsidP="0020322F">
      <w:pPr>
        <w:pStyle w:val="afb"/>
        <w:numPr>
          <w:ilvl w:val="0"/>
          <w:numId w:val="9"/>
        </w:numPr>
        <w:shd w:val="clear" w:color="auto" w:fill="FFFFFF"/>
        <w:spacing w:before="120" w:after="120"/>
        <w:jc w:val="both"/>
        <w:rPr>
          <w:rFonts w:ascii="Calibri" w:hAnsi="Calibri"/>
          <w:szCs w:val="22"/>
        </w:rPr>
      </w:pPr>
      <w:r w:rsidRPr="00DA631E">
        <w:rPr>
          <w:rFonts w:ascii="Calibri" w:hAnsi="Calibri"/>
          <w:szCs w:val="22"/>
        </w:rPr>
        <w:t xml:space="preserve">The </w:t>
      </w:r>
      <w:r w:rsidRPr="00DA631E">
        <w:rPr>
          <w:rFonts w:ascii="Calibri" w:hAnsi="Calibri"/>
          <w:b/>
          <w:szCs w:val="22"/>
        </w:rPr>
        <w:t>Project Manager</w:t>
      </w:r>
      <w:r w:rsidRPr="00DA631E">
        <w:rPr>
          <w:rFonts w:ascii="Calibri" w:hAnsi="Calibri"/>
          <w:szCs w:val="22"/>
        </w:rPr>
        <w:t xml:space="preserve"> will run the project on a day-to-day basis on behalf of the Implementing Partner within the constraints laid down by the </w:t>
      </w:r>
      <w:r>
        <w:rPr>
          <w:rFonts w:ascii="Calibri" w:hAnsi="Calibri"/>
          <w:szCs w:val="22"/>
        </w:rPr>
        <w:t>PSC</w:t>
      </w:r>
      <w:r w:rsidRPr="00DA631E">
        <w:rPr>
          <w:rFonts w:ascii="Calibri" w:hAnsi="Calibri"/>
          <w:szCs w:val="22"/>
        </w:rPr>
        <w:t xml:space="preserve">. The Project Manager function will end when the final project terminal evaluation report and corresponding management response, and other documentation required by the GEF and UNDP, has been completed and submitted to UNDP (including operational closure of the project). </w:t>
      </w:r>
    </w:p>
    <w:p w14:paraId="3883DF03" w14:textId="77777777" w:rsidR="00011E77" w:rsidRDefault="000C4641" w:rsidP="0020322F">
      <w:pPr>
        <w:pStyle w:val="a7"/>
        <w:numPr>
          <w:ilvl w:val="0"/>
          <w:numId w:val="9"/>
        </w:numPr>
        <w:tabs>
          <w:tab w:val="clear" w:pos="4153"/>
          <w:tab w:val="clear" w:pos="8306"/>
          <w:tab w:val="left" w:pos="426"/>
        </w:tabs>
        <w:spacing w:before="120" w:after="120"/>
        <w:rPr>
          <w:szCs w:val="22"/>
        </w:rPr>
      </w:pPr>
      <w:r w:rsidRPr="00B624CA">
        <w:rPr>
          <w:b/>
          <w:szCs w:val="22"/>
          <w:u w:val="single"/>
        </w:rPr>
        <w:t>Project Assurance</w:t>
      </w:r>
      <w:r w:rsidRPr="00B624CA">
        <w:rPr>
          <w:szCs w:val="22"/>
          <w:u w:val="single"/>
        </w:rPr>
        <w:t>:</w:t>
      </w:r>
      <w:r w:rsidRPr="004622EC">
        <w:rPr>
          <w:szCs w:val="22"/>
        </w:rPr>
        <w:t xml:space="preserve"> The Project Assurance </w:t>
      </w:r>
      <w:r w:rsidR="007A3BCE">
        <w:rPr>
          <w:szCs w:val="22"/>
        </w:rPr>
        <w:t>role</w:t>
      </w:r>
      <w:r w:rsidR="00DA631E">
        <w:rPr>
          <w:szCs w:val="22"/>
        </w:rPr>
        <w:t xml:space="preserve"> </w:t>
      </w:r>
      <w:r w:rsidR="00DA631E" w:rsidRPr="004622EC">
        <w:rPr>
          <w:szCs w:val="22"/>
        </w:rPr>
        <w:t>at the country level</w:t>
      </w:r>
      <w:r w:rsidR="007A3BCE">
        <w:rPr>
          <w:szCs w:val="22"/>
        </w:rPr>
        <w:t xml:space="preserve"> </w:t>
      </w:r>
      <w:r w:rsidR="00DA631E">
        <w:rPr>
          <w:szCs w:val="22"/>
        </w:rPr>
        <w:t xml:space="preserve">will be provided by the UNDP County Office, and </w:t>
      </w:r>
      <w:r w:rsidR="007A3BCE">
        <w:rPr>
          <w:szCs w:val="22"/>
        </w:rPr>
        <w:t xml:space="preserve">supports the Project Steering Committee </w:t>
      </w:r>
      <w:r w:rsidRPr="004622EC">
        <w:rPr>
          <w:szCs w:val="22"/>
        </w:rPr>
        <w:t xml:space="preserve">by carrying out objective and independent project oversight and monitoring functions. </w:t>
      </w:r>
      <w:r w:rsidR="00DA631E">
        <w:rPr>
          <w:szCs w:val="22"/>
        </w:rPr>
        <w:t xml:space="preserve">Additional quality assurance will be provided by the UNDP Regional Technical Advisor as needed. </w:t>
      </w:r>
    </w:p>
    <w:p w14:paraId="360F4717" w14:textId="77777777" w:rsidR="00E25491" w:rsidRPr="00E25491" w:rsidRDefault="00E25491" w:rsidP="00E25491">
      <w:pPr>
        <w:pStyle w:val="afb"/>
        <w:numPr>
          <w:ilvl w:val="0"/>
          <w:numId w:val="9"/>
        </w:numPr>
        <w:jc w:val="both"/>
        <w:rPr>
          <w:rFonts w:ascii="Calibri" w:hAnsi="Calibri"/>
          <w:b/>
          <w:szCs w:val="22"/>
          <w:u w:val="single"/>
        </w:rPr>
      </w:pPr>
      <w:r w:rsidRPr="00E25491">
        <w:rPr>
          <w:rFonts w:ascii="Calibri" w:hAnsi="Calibri"/>
          <w:b/>
          <w:szCs w:val="22"/>
          <w:u w:val="single"/>
        </w:rPr>
        <w:t xml:space="preserve">UNDP Direct Project Services as requested by Government: </w:t>
      </w:r>
      <w:r w:rsidRPr="00E25491">
        <w:rPr>
          <w:rFonts w:ascii="Calibri" w:hAnsi="Calibri"/>
          <w:szCs w:val="22"/>
        </w:rPr>
        <w:t>The UNDP, as GEF Agency for this project, will provide project management cycle services for the project as defined by the GEF Council.  In addition, the Government of Kazakhstan may request UNDP direct services for specific projects, according to its policies and convenience.  The UNDP and Government of Kazakhstan acknowledge and agree that those services are not mandatory, and will be provided only upon Government request. If requested the services would follow the UNDP policies on the recovery of direct costs. These services (and their costs) are specified in the Letter of Agreement (Annex K). As is determined by the GEF Council requirements, these service costs will be assigned as Project Management Cost, duly identified in the project budget as Direct Project Costs. Eligible Direct Project Costs should not be charged as a flat percentage.   They should be calculated on the basis of estimated actual or transaction based costs and should be charged to the direct project costs account codes: “64397- Services to projects – CO staff” and “74596 - Services to projects GOE for CO”.</w:t>
      </w:r>
    </w:p>
    <w:p w14:paraId="09FA35A5" w14:textId="77777777" w:rsidR="00011E77" w:rsidRPr="00B64193" w:rsidRDefault="00011E77" w:rsidP="0020322F">
      <w:pPr>
        <w:pStyle w:val="afb"/>
        <w:numPr>
          <w:ilvl w:val="0"/>
          <w:numId w:val="9"/>
        </w:numPr>
        <w:shd w:val="clear" w:color="auto" w:fill="FFFFFF"/>
        <w:spacing w:before="120" w:after="120"/>
        <w:jc w:val="both"/>
        <w:rPr>
          <w:rFonts w:ascii="Calibri" w:hAnsi="Calibri"/>
          <w:szCs w:val="22"/>
        </w:rPr>
      </w:pPr>
      <w:r w:rsidRPr="00B64193">
        <w:rPr>
          <w:rFonts w:ascii="Calibri" w:hAnsi="Calibri"/>
          <w:b/>
          <w:szCs w:val="22"/>
          <w:u w:val="single"/>
        </w:rPr>
        <w:t>Agreement on intellectual property rights and use of logo on the project’s deliverables and disclosure of information</w:t>
      </w:r>
      <w:r w:rsidRPr="00B64193">
        <w:rPr>
          <w:rFonts w:ascii="Calibri" w:hAnsi="Calibri"/>
          <w:szCs w:val="22"/>
        </w:rPr>
        <w:t>:  In order 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w:t>
      </w:r>
      <w:r w:rsidRPr="00B64193">
        <w:rPr>
          <w:rFonts w:ascii="Calibri" w:hAnsi="Calibri"/>
          <w:szCs w:val="22"/>
          <w:vertAlign w:val="superscript"/>
        </w:rPr>
        <w:footnoteReference w:id="18"/>
      </w:r>
      <w:r w:rsidRPr="00B64193">
        <w:rPr>
          <w:rFonts w:ascii="Calibri" w:hAnsi="Calibri"/>
          <w:szCs w:val="22"/>
        </w:rPr>
        <w:t xml:space="preserve"> and the GEF policy on public involvement</w:t>
      </w:r>
      <w:r w:rsidRPr="00B64193">
        <w:rPr>
          <w:rFonts w:ascii="Calibri" w:hAnsi="Calibri"/>
          <w:szCs w:val="22"/>
          <w:vertAlign w:val="superscript"/>
        </w:rPr>
        <w:footnoteReference w:id="19"/>
      </w:r>
      <w:r w:rsidRPr="00B64193">
        <w:rPr>
          <w:rFonts w:ascii="Calibri" w:hAnsi="Calibri"/>
          <w:szCs w:val="22"/>
        </w:rPr>
        <w:t xml:space="preserve">. </w:t>
      </w:r>
    </w:p>
    <w:p w14:paraId="5EE8C353" w14:textId="77777777" w:rsidR="000C4641" w:rsidRPr="00D20A7C" w:rsidRDefault="00011E77" w:rsidP="0020322F">
      <w:pPr>
        <w:pStyle w:val="afb"/>
        <w:numPr>
          <w:ilvl w:val="0"/>
          <w:numId w:val="9"/>
        </w:numPr>
        <w:shd w:val="clear" w:color="auto" w:fill="FFFFFF"/>
        <w:tabs>
          <w:tab w:val="left" w:pos="426"/>
        </w:tabs>
        <w:spacing w:before="120" w:after="120"/>
        <w:jc w:val="both"/>
        <w:rPr>
          <w:rFonts w:ascii="Calibri" w:hAnsi="Calibri"/>
          <w:szCs w:val="22"/>
        </w:rPr>
      </w:pPr>
      <w:r w:rsidRPr="00D20A7C">
        <w:rPr>
          <w:rFonts w:ascii="Calibri" w:hAnsi="Calibri"/>
          <w:b/>
          <w:szCs w:val="22"/>
          <w:u w:val="single"/>
        </w:rPr>
        <w:t xml:space="preserve">Project management: </w:t>
      </w:r>
      <w:r w:rsidR="00D20A7C" w:rsidRPr="00D20A7C">
        <w:rPr>
          <w:rFonts w:ascii="Calibri" w:hAnsi="Calibri"/>
          <w:b/>
          <w:szCs w:val="22"/>
        </w:rPr>
        <w:t xml:space="preserve"> </w:t>
      </w:r>
      <w:r w:rsidR="002C1567" w:rsidRPr="00D20A7C">
        <w:rPr>
          <w:rFonts w:ascii="Calibri" w:hAnsi="Calibri"/>
          <w:szCs w:val="22"/>
        </w:rPr>
        <w:t xml:space="preserve">The </w:t>
      </w:r>
      <w:r w:rsidR="000C4641" w:rsidRPr="00D20A7C">
        <w:rPr>
          <w:rFonts w:ascii="Calibri" w:hAnsi="Calibri"/>
          <w:b/>
          <w:szCs w:val="22"/>
        </w:rPr>
        <w:t>Project Team (PT)</w:t>
      </w:r>
      <w:r w:rsidR="000C4641" w:rsidRPr="00D20A7C">
        <w:rPr>
          <w:rFonts w:ascii="Calibri" w:hAnsi="Calibri"/>
          <w:szCs w:val="22"/>
        </w:rPr>
        <w:t xml:space="preserve"> will be comprised of core staff including the Project Manager (PM), and Project Administrative and Financial Assistant. The PM will be recruited in accordance with UNDP’s regulations to manage actual implementation of the project and will be based in </w:t>
      </w:r>
      <w:r w:rsidR="003F500C" w:rsidRPr="00D20A7C">
        <w:rPr>
          <w:rFonts w:ascii="Calibri" w:hAnsi="Calibri"/>
          <w:szCs w:val="22"/>
        </w:rPr>
        <w:t>Astana</w:t>
      </w:r>
      <w:r w:rsidR="000C4641" w:rsidRPr="00D20A7C">
        <w:rPr>
          <w:rFonts w:ascii="Calibri" w:hAnsi="Calibri"/>
          <w:szCs w:val="22"/>
        </w:rPr>
        <w:t>. The PM will be responsible for overall project coordination and implementation, consolidation of work plans and project papers, preparation of quarterly progress reports, reporting to the project supervisory bodies, and supervising the work of the project experts and other project staff. The PM will also closely coordinate project activities with relevant government institutions and hold regular consultations with other project stakeholders and partners. Under the direct supervision of the PM</w:t>
      </w:r>
      <w:r w:rsidR="002C1567" w:rsidRPr="00D20A7C">
        <w:rPr>
          <w:rFonts w:ascii="Calibri" w:hAnsi="Calibri"/>
          <w:szCs w:val="22"/>
        </w:rPr>
        <w:t xml:space="preserve">, the </w:t>
      </w:r>
      <w:r w:rsidR="000C4641" w:rsidRPr="00D20A7C">
        <w:rPr>
          <w:rFonts w:ascii="Calibri" w:hAnsi="Calibri"/>
          <w:szCs w:val="22"/>
        </w:rPr>
        <w:t xml:space="preserve">Administrative Assistant will be responsible for administrative and financial issues, and will get support from UNDP administration. </w:t>
      </w:r>
      <w:r w:rsidR="004F5ED2" w:rsidRPr="00D20A7C">
        <w:rPr>
          <w:rFonts w:ascii="Calibri" w:hAnsi="Calibri"/>
          <w:szCs w:val="22"/>
        </w:rPr>
        <w:t xml:space="preserve">Legal, financial, engineering and capacity building experts, as required, will support the PM in implementation of relevant thematic project activities based on their sound professional expertise </w:t>
      </w:r>
      <w:r w:rsidR="000C4641" w:rsidRPr="00D20A7C">
        <w:rPr>
          <w:rFonts w:ascii="Calibri" w:hAnsi="Calibri"/>
          <w:szCs w:val="22"/>
        </w:rPr>
        <w:t>(provisional TORs for the key project staff are provided in</w:t>
      </w:r>
      <w:r w:rsidR="00431539" w:rsidRPr="00D20A7C">
        <w:rPr>
          <w:rFonts w:ascii="Calibri" w:hAnsi="Calibri"/>
          <w:szCs w:val="22"/>
        </w:rPr>
        <w:t xml:space="preserve"> Annex E</w:t>
      </w:r>
      <w:r w:rsidR="002C1567" w:rsidRPr="00D20A7C">
        <w:rPr>
          <w:rFonts w:ascii="Calibri" w:hAnsi="Calibri"/>
          <w:szCs w:val="22"/>
        </w:rPr>
        <w:t>)</w:t>
      </w:r>
      <w:r w:rsidR="00EC6158" w:rsidRPr="00D20A7C">
        <w:rPr>
          <w:rFonts w:ascii="Calibri" w:hAnsi="Calibri"/>
          <w:szCs w:val="22"/>
        </w:rPr>
        <w:t xml:space="preserve">. </w:t>
      </w:r>
      <w:r w:rsidR="000C4641" w:rsidRPr="00D20A7C">
        <w:rPr>
          <w:rFonts w:ascii="Calibri" w:hAnsi="Calibri"/>
          <w:szCs w:val="22"/>
        </w:rPr>
        <w:t>The PM will be responsible for the consultants’ timely deliverables and their contributions to the overall project outputs.</w:t>
      </w:r>
    </w:p>
    <w:p w14:paraId="229A2375" w14:textId="77777777" w:rsidR="00D20A7C" w:rsidRPr="00D20A7C" w:rsidRDefault="00D20A7C" w:rsidP="0020322F">
      <w:pPr>
        <w:pStyle w:val="afb"/>
        <w:numPr>
          <w:ilvl w:val="0"/>
          <w:numId w:val="9"/>
        </w:numPr>
        <w:shd w:val="clear" w:color="auto" w:fill="FFFFFF"/>
        <w:spacing w:before="120" w:after="120"/>
        <w:jc w:val="both"/>
        <w:rPr>
          <w:rFonts w:ascii="Calibri" w:hAnsi="Calibri"/>
          <w:szCs w:val="22"/>
        </w:rPr>
      </w:pPr>
      <w:r w:rsidRPr="00D20A7C">
        <w:rPr>
          <w:rFonts w:ascii="Calibri" w:hAnsi="Calibri" w:cs="Segoe UI"/>
          <w:szCs w:val="22"/>
        </w:rPr>
        <w:t>It is expected that the project office will be in Astana. There will be no other project office, but project staff will travel as needed. Consultants and national partners will also help to maintain the project’s presence outside of Astana.</w:t>
      </w:r>
    </w:p>
    <w:p w14:paraId="0E4F01AB" w14:textId="77777777" w:rsidR="00B7350C" w:rsidRDefault="004F5ED2" w:rsidP="00D32A30">
      <w:pPr>
        <w:keepNext/>
        <w:shd w:val="clear" w:color="auto" w:fill="FFFFFF"/>
        <w:jc w:val="center"/>
      </w:pPr>
      <w:r>
        <w:rPr>
          <w:noProof/>
        </w:rPr>
        <w:drawing>
          <wp:inline distT="0" distB="0" distL="0" distR="0" wp14:anchorId="53276B23" wp14:editId="2A4608A4">
            <wp:extent cx="4942702" cy="27817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47020" cy="2784161"/>
                    </a:xfrm>
                    <a:prstGeom prst="rect">
                      <a:avLst/>
                    </a:prstGeom>
                    <a:noFill/>
                  </pic:spPr>
                </pic:pic>
              </a:graphicData>
            </a:graphic>
          </wp:inline>
        </w:drawing>
      </w:r>
    </w:p>
    <w:p w14:paraId="07FFBF83" w14:textId="77777777" w:rsidR="004F5ED2" w:rsidRDefault="004F5ED2" w:rsidP="00BA08CA">
      <w:bookmarkStart w:id="92" w:name="_Ref459060657"/>
      <w:bookmarkStart w:id="93" w:name="_Ref332980749"/>
    </w:p>
    <w:p w14:paraId="7962B584" w14:textId="77777777" w:rsidR="00CD7018" w:rsidRPr="006004D1" w:rsidRDefault="00B7350C" w:rsidP="00863DD5">
      <w:pPr>
        <w:pStyle w:val="aff3"/>
        <w:rPr>
          <w:noProof/>
        </w:rPr>
      </w:pPr>
      <w:bookmarkStart w:id="94" w:name="_Ref464114287"/>
      <w:bookmarkStart w:id="95" w:name="_Toc479693931"/>
      <w:r>
        <w:t xml:space="preserve">Figure </w:t>
      </w:r>
      <w:r w:rsidR="00AA15A7">
        <w:fldChar w:fldCharType="begin"/>
      </w:r>
      <w:r w:rsidR="00AA15A7">
        <w:instrText xml:space="preserve"> SEQ Figure \* ARABIC </w:instrText>
      </w:r>
      <w:r w:rsidR="00AA15A7">
        <w:fldChar w:fldCharType="separate"/>
      </w:r>
      <w:r w:rsidR="00921873">
        <w:rPr>
          <w:noProof/>
        </w:rPr>
        <w:t>11</w:t>
      </w:r>
      <w:r w:rsidR="00AA15A7">
        <w:rPr>
          <w:noProof/>
        </w:rPr>
        <w:fldChar w:fldCharType="end"/>
      </w:r>
      <w:bookmarkEnd w:id="92"/>
      <w:bookmarkEnd w:id="94"/>
      <w:r>
        <w:t xml:space="preserve">: </w:t>
      </w:r>
      <w:r w:rsidRPr="00046B72">
        <w:t>Project organisation</w:t>
      </w:r>
      <w:r w:rsidR="006F08BE">
        <w:t>al</w:t>
      </w:r>
      <w:r w:rsidRPr="00046B72">
        <w:t xml:space="preserve"> chart</w:t>
      </w:r>
      <w:bookmarkEnd w:id="93"/>
      <w:bookmarkEnd w:id="95"/>
    </w:p>
    <w:p w14:paraId="5ADA7A3E" w14:textId="77777777" w:rsidR="003E3ABA" w:rsidRPr="006004D1" w:rsidRDefault="003E3ABA" w:rsidP="004622EC">
      <w:pPr>
        <w:pStyle w:val="1"/>
        <w:pageBreakBefore/>
        <w:spacing w:before="0" w:after="0"/>
        <w:rPr>
          <w:rFonts w:ascii="Calibri" w:hAnsi="Calibri"/>
        </w:rPr>
      </w:pPr>
      <w:bookmarkStart w:id="96" w:name="_Toc479693887"/>
      <w:r w:rsidRPr="006004D1">
        <w:rPr>
          <w:rFonts w:ascii="Calibri" w:hAnsi="Calibri"/>
        </w:rPr>
        <w:t>Financial Planning and Management</w:t>
      </w:r>
      <w:bookmarkEnd w:id="96"/>
    </w:p>
    <w:p w14:paraId="0A908EF1" w14:textId="77777777" w:rsidR="00CD7018" w:rsidRPr="006004D1" w:rsidRDefault="00CD7018" w:rsidP="006674A2">
      <w:pPr>
        <w:autoSpaceDE w:val="0"/>
        <w:autoSpaceDN w:val="0"/>
        <w:adjustRightInd w:val="0"/>
        <w:rPr>
          <w:color w:val="000000"/>
          <w:szCs w:val="20"/>
        </w:rPr>
      </w:pPr>
    </w:p>
    <w:p w14:paraId="66C87509" w14:textId="3D4CB2FB" w:rsidR="003E3ABA" w:rsidRPr="004622EC" w:rsidRDefault="003E3ABA" w:rsidP="008F43CB">
      <w:pPr>
        <w:pStyle w:val="a7"/>
        <w:numPr>
          <w:ilvl w:val="0"/>
          <w:numId w:val="9"/>
        </w:numPr>
        <w:tabs>
          <w:tab w:val="clear" w:pos="4153"/>
          <w:tab w:val="clear" w:pos="8306"/>
          <w:tab w:val="left" w:pos="426"/>
        </w:tabs>
        <w:spacing w:after="120"/>
        <w:rPr>
          <w:szCs w:val="22"/>
        </w:rPr>
      </w:pPr>
      <w:r w:rsidRPr="004622EC">
        <w:rPr>
          <w:szCs w:val="22"/>
        </w:rPr>
        <w:t>The total cost of the project is</w:t>
      </w:r>
      <w:r w:rsidR="008F43CB">
        <w:rPr>
          <w:szCs w:val="22"/>
        </w:rPr>
        <w:t xml:space="preserve"> US$ </w:t>
      </w:r>
      <w:r w:rsidR="008F43CB" w:rsidRPr="008F43CB">
        <w:rPr>
          <w:szCs w:val="22"/>
        </w:rPr>
        <w:t>55,520,000</w:t>
      </w:r>
      <w:r w:rsidR="008F43CB">
        <w:rPr>
          <w:szCs w:val="22"/>
        </w:rPr>
        <w:t>.</w:t>
      </w:r>
      <w:r w:rsidR="00FD0348">
        <w:rPr>
          <w:rFonts w:ascii="Times New Roman" w:hAnsi="Times New Roman"/>
          <w:sz w:val="18"/>
          <w:szCs w:val="18"/>
        </w:rPr>
        <w:t xml:space="preserve"> </w:t>
      </w:r>
      <w:r w:rsidRPr="004622EC">
        <w:rPr>
          <w:szCs w:val="22"/>
        </w:rPr>
        <w:t>This is financed through a GEF grant of US</w:t>
      </w:r>
      <w:r w:rsidR="00A70EB4">
        <w:rPr>
          <w:szCs w:val="22"/>
        </w:rPr>
        <w:t>$</w:t>
      </w:r>
      <w:r w:rsidR="00C65036" w:rsidRPr="004622EC">
        <w:rPr>
          <w:szCs w:val="22"/>
        </w:rPr>
        <w:t>4,510,000</w:t>
      </w:r>
      <w:r w:rsidRPr="004622EC">
        <w:rPr>
          <w:szCs w:val="22"/>
        </w:rPr>
        <w:t xml:space="preserve">, </w:t>
      </w:r>
      <w:r w:rsidR="00A8609D">
        <w:rPr>
          <w:szCs w:val="22"/>
        </w:rPr>
        <w:t xml:space="preserve">with </w:t>
      </w:r>
      <w:r w:rsidRPr="008F43CB">
        <w:rPr>
          <w:szCs w:val="22"/>
        </w:rPr>
        <w:t>US</w:t>
      </w:r>
      <w:r w:rsidR="00A70EB4" w:rsidRPr="008F43CB">
        <w:rPr>
          <w:szCs w:val="22"/>
        </w:rPr>
        <w:t>$</w:t>
      </w:r>
      <w:r w:rsidR="00C65036" w:rsidRPr="008F43CB">
        <w:rPr>
          <w:szCs w:val="22"/>
        </w:rPr>
        <w:t>100,000</w:t>
      </w:r>
      <w:r w:rsidRPr="004622EC">
        <w:rPr>
          <w:szCs w:val="22"/>
        </w:rPr>
        <w:t xml:space="preserve"> in co-financing to be administered by UNDP and</w:t>
      </w:r>
      <w:r w:rsidR="008F43CB">
        <w:rPr>
          <w:szCs w:val="22"/>
        </w:rPr>
        <w:t xml:space="preserve"> US$ </w:t>
      </w:r>
      <w:r w:rsidR="008F43CB" w:rsidRPr="008F43CB">
        <w:rPr>
          <w:szCs w:val="22"/>
        </w:rPr>
        <w:t>50,910,000</w:t>
      </w:r>
      <w:r w:rsidR="00FD0348">
        <w:rPr>
          <w:szCs w:val="22"/>
        </w:rPr>
        <w:t xml:space="preserve"> </w:t>
      </w:r>
      <w:r w:rsidRPr="004622EC">
        <w:rPr>
          <w:szCs w:val="22"/>
        </w:rPr>
        <w:t>in parallel co-financing. UNDP, as the GEF Implementing Agency, is responsible for the execution of the GEF resources and the cash co-financing transferred to UNDP bank account only.</w:t>
      </w:r>
    </w:p>
    <w:p w14:paraId="333ED108" w14:textId="77777777" w:rsidR="003E3ABA" w:rsidRPr="004622EC" w:rsidRDefault="003E3ABA" w:rsidP="0020322F">
      <w:pPr>
        <w:pStyle w:val="a7"/>
        <w:numPr>
          <w:ilvl w:val="0"/>
          <w:numId w:val="9"/>
        </w:numPr>
        <w:tabs>
          <w:tab w:val="clear" w:pos="4153"/>
          <w:tab w:val="clear" w:pos="8306"/>
          <w:tab w:val="left" w:pos="426"/>
        </w:tabs>
        <w:spacing w:after="120"/>
        <w:rPr>
          <w:szCs w:val="22"/>
        </w:rPr>
      </w:pPr>
      <w:r w:rsidRPr="00C40AA8">
        <w:rPr>
          <w:szCs w:val="22"/>
          <w:u w:val="single"/>
        </w:rPr>
        <w:t>Parallel co-financing:</w:t>
      </w:r>
      <w:r w:rsidRPr="004622EC">
        <w:rPr>
          <w:szCs w:val="22"/>
        </w:rPr>
        <w:t xml:space="preserve">  </w:t>
      </w:r>
      <w:r w:rsidR="00CA1DCA" w:rsidRPr="004622EC">
        <w:rPr>
          <w:szCs w:val="22"/>
        </w:rPr>
        <w:t xml:space="preserve">The actual realization of project co-financing will be monitored during the </w:t>
      </w:r>
      <w:r w:rsidR="00A70EB4">
        <w:rPr>
          <w:szCs w:val="22"/>
        </w:rPr>
        <w:t>MTR</w:t>
      </w:r>
      <w:r w:rsidR="00CA1DCA" w:rsidRPr="004622EC">
        <w:rPr>
          <w:szCs w:val="22"/>
        </w:rPr>
        <w:t xml:space="preserve"> and </w:t>
      </w:r>
      <w:r w:rsidR="00A70EB4">
        <w:rPr>
          <w:szCs w:val="22"/>
        </w:rPr>
        <w:t>TE</w:t>
      </w:r>
      <w:r w:rsidR="00CA1DCA" w:rsidRPr="004622EC">
        <w:rPr>
          <w:szCs w:val="22"/>
        </w:rPr>
        <w:t xml:space="preserve"> process</w:t>
      </w:r>
      <w:r w:rsidR="00A70EB4">
        <w:rPr>
          <w:szCs w:val="22"/>
        </w:rPr>
        <w:t>,</w:t>
      </w:r>
      <w:r w:rsidR="00CA1DCA" w:rsidRPr="004622EC">
        <w:rPr>
          <w:szCs w:val="22"/>
        </w:rPr>
        <w:t xml:space="preserve"> and will be reported to the GEF. </w:t>
      </w:r>
      <w:r w:rsidRPr="004622EC">
        <w:rPr>
          <w:szCs w:val="22"/>
        </w:rPr>
        <w:t xml:space="preserve">The </w:t>
      </w:r>
      <w:r w:rsidR="004679C3">
        <w:rPr>
          <w:szCs w:val="22"/>
        </w:rPr>
        <w:t>confirmed</w:t>
      </w:r>
      <w:r w:rsidR="004679C3" w:rsidRPr="004622EC">
        <w:rPr>
          <w:szCs w:val="22"/>
        </w:rPr>
        <w:t xml:space="preserve"> </w:t>
      </w:r>
      <w:r w:rsidRPr="004622EC">
        <w:rPr>
          <w:szCs w:val="22"/>
        </w:rPr>
        <w:t xml:space="preserve">co-financing </w:t>
      </w:r>
      <w:r w:rsidR="004679C3">
        <w:rPr>
          <w:szCs w:val="22"/>
        </w:rPr>
        <w:t>is</w:t>
      </w:r>
      <w:r w:rsidR="00C40AA8">
        <w:rPr>
          <w:szCs w:val="22"/>
        </w:rPr>
        <w:t xml:space="preserve"> outlined in the following table</w:t>
      </w:r>
      <w:r w:rsidR="00A70EB4">
        <w:rPr>
          <w:szCs w:val="22"/>
        </w:rPr>
        <w:t>.</w:t>
      </w:r>
      <w:r w:rsidR="00181B1A">
        <w:rPr>
          <w:szCs w:val="22"/>
        </w:rPr>
        <w:t xml:space="preserve"> Co-financing letters are provided in Annex P.</w:t>
      </w:r>
    </w:p>
    <w:p w14:paraId="0BE5F5ED" w14:textId="77777777" w:rsidR="003E3ABA" w:rsidRPr="004622EC" w:rsidRDefault="002B343A" w:rsidP="00863DD5">
      <w:pPr>
        <w:pStyle w:val="aff3"/>
      </w:pPr>
      <w:bookmarkStart w:id="97" w:name="_Ref464121681"/>
      <w:bookmarkStart w:id="98" w:name="_Toc464138783"/>
      <w:bookmarkStart w:id="99" w:name="_Toc479693916"/>
      <w:r>
        <w:t xml:space="preserve">Table </w:t>
      </w:r>
      <w:r w:rsidR="00AA15A7">
        <w:fldChar w:fldCharType="begin"/>
      </w:r>
      <w:r w:rsidR="00AA15A7">
        <w:instrText xml:space="preserve"> SEQ Table \* ARABIC </w:instrText>
      </w:r>
      <w:r w:rsidR="00AA15A7">
        <w:fldChar w:fldCharType="separate"/>
      </w:r>
      <w:r w:rsidR="00921873">
        <w:rPr>
          <w:noProof/>
        </w:rPr>
        <w:t>9</w:t>
      </w:r>
      <w:r w:rsidR="00AA15A7">
        <w:rPr>
          <w:noProof/>
        </w:rPr>
        <w:fldChar w:fldCharType="end"/>
      </w:r>
      <w:r w:rsidR="00C314E7">
        <w:t>:</w:t>
      </w:r>
      <w:r>
        <w:t xml:space="preserve"> </w:t>
      </w:r>
      <w:bookmarkEnd w:id="97"/>
      <w:r w:rsidR="00A70EB4">
        <w:t>Co-financing sources and applications</w:t>
      </w:r>
      <w:bookmarkEnd w:id="98"/>
      <w:bookmarkEnd w:id="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008"/>
        <w:gridCol w:w="1185"/>
        <w:gridCol w:w="2031"/>
        <w:gridCol w:w="1506"/>
        <w:gridCol w:w="1791"/>
      </w:tblGrid>
      <w:tr w:rsidR="003E3ABA" w:rsidRPr="00A70EB4" w14:paraId="4E4027FF" w14:textId="77777777" w:rsidTr="00327DFE">
        <w:trPr>
          <w:trHeight w:val="755"/>
          <w:tblHeader/>
        </w:trPr>
        <w:tc>
          <w:tcPr>
            <w:tcW w:w="0" w:type="auto"/>
            <w:shd w:val="clear" w:color="auto" w:fill="D9D9D9" w:themeFill="background1" w:themeFillShade="D9"/>
          </w:tcPr>
          <w:p w14:paraId="10184CA8" w14:textId="77777777" w:rsidR="003E3ABA" w:rsidRPr="004622EC" w:rsidRDefault="003E3ABA" w:rsidP="00A70EB4">
            <w:pPr>
              <w:autoSpaceDE w:val="0"/>
              <w:autoSpaceDN w:val="0"/>
              <w:adjustRightInd w:val="0"/>
              <w:jc w:val="center"/>
              <w:rPr>
                <w:rFonts w:asciiTheme="majorHAnsi" w:hAnsiTheme="majorHAnsi"/>
                <w:b/>
                <w:color w:val="000000"/>
                <w:sz w:val="20"/>
                <w:szCs w:val="20"/>
              </w:rPr>
            </w:pPr>
            <w:r w:rsidRPr="004622EC">
              <w:rPr>
                <w:rFonts w:asciiTheme="majorHAnsi" w:hAnsiTheme="majorHAnsi"/>
                <w:b/>
                <w:color w:val="000000"/>
                <w:sz w:val="20"/>
                <w:szCs w:val="20"/>
              </w:rPr>
              <w:t>Co-financing source</w:t>
            </w:r>
          </w:p>
        </w:tc>
        <w:tc>
          <w:tcPr>
            <w:tcW w:w="0" w:type="auto"/>
            <w:shd w:val="clear" w:color="auto" w:fill="D9D9D9" w:themeFill="background1" w:themeFillShade="D9"/>
          </w:tcPr>
          <w:p w14:paraId="0F418E6B" w14:textId="77777777" w:rsidR="003E3ABA" w:rsidRPr="004622EC" w:rsidRDefault="003E3ABA" w:rsidP="00A70EB4">
            <w:pPr>
              <w:autoSpaceDE w:val="0"/>
              <w:autoSpaceDN w:val="0"/>
              <w:adjustRightInd w:val="0"/>
              <w:jc w:val="center"/>
              <w:rPr>
                <w:rFonts w:asciiTheme="majorHAnsi" w:hAnsiTheme="majorHAnsi"/>
                <w:b/>
                <w:color w:val="000000"/>
                <w:sz w:val="20"/>
                <w:szCs w:val="20"/>
              </w:rPr>
            </w:pPr>
            <w:r w:rsidRPr="004622EC">
              <w:rPr>
                <w:rFonts w:asciiTheme="majorHAnsi" w:hAnsiTheme="majorHAnsi"/>
                <w:b/>
                <w:color w:val="000000"/>
                <w:sz w:val="20"/>
                <w:szCs w:val="20"/>
              </w:rPr>
              <w:t>Co-financing type</w:t>
            </w:r>
          </w:p>
        </w:tc>
        <w:tc>
          <w:tcPr>
            <w:tcW w:w="1185" w:type="dxa"/>
            <w:shd w:val="clear" w:color="auto" w:fill="D9D9D9" w:themeFill="background1" w:themeFillShade="D9"/>
          </w:tcPr>
          <w:p w14:paraId="610159FD" w14:textId="77777777" w:rsidR="003E3ABA" w:rsidRPr="004622EC" w:rsidRDefault="003E3ABA" w:rsidP="00A70EB4">
            <w:pPr>
              <w:autoSpaceDE w:val="0"/>
              <w:autoSpaceDN w:val="0"/>
              <w:adjustRightInd w:val="0"/>
              <w:jc w:val="center"/>
              <w:rPr>
                <w:rFonts w:asciiTheme="majorHAnsi" w:hAnsiTheme="majorHAnsi"/>
                <w:b/>
                <w:color w:val="000000"/>
                <w:sz w:val="20"/>
                <w:szCs w:val="20"/>
              </w:rPr>
            </w:pPr>
            <w:r w:rsidRPr="004622EC">
              <w:rPr>
                <w:rFonts w:asciiTheme="majorHAnsi" w:hAnsiTheme="majorHAnsi"/>
                <w:b/>
                <w:color w:val="000000"/>
                <w:sz w:val="20"/>
                <w:szCs w:val="20"/>
              </w:rPr>
              <w:t>Co-financing amount</w:t>
            </w:r>
            <w:r w:rsidR="00A70EB4">
              <w:rPr>
                <w:rFonts w:asciiTheme="majorHAnsi" w:hAnsiTheme="majorHAnsi"/>
                <w:b/>
                <w:color w:val="000000"/>
                <w:sz w:val="20"/>
                <w:szCs w:val="20"/>
              </w:rPr>
              <w:t xml:space="preserve"> (US$)</w:t>
            </w:r>
          </w:p>
        </w:tc>
        <w:tc>
          <w:tcPr>
            <w:tcW w:w="2031" w:type="dxa"/>
            <w:shd w:val="clear" w:color="auto" w:fill="D9D9D9" w:themeFill="background1" w:themeFillShade="D9"/>
          </w:tcPr>
          <w:p w14:paraId="0BE624D1" w14:textId="77777777" w:rsidR="003E3ABA" w:rsidRPr="004622EC" w:rsidRDefault="003E3ABA" w:rsidP="00A70EB4">
            <w:pPr>
              <w:autoSpaceDE w:val="0"/>
              <w:autoSpaceDN w:val="0"/>
              <w:adjustRightInd w:val="0"/>
              <w:jc w:val="center"/>
              <w:rPr>
                <w:rFonts w:asciiTheme="majorHAnsi" w:hAnsiTheme="majorHAnsi"/>
                <w:b/>
                <w:color w:val="000000"/>
                <w:sz w:val="20"/>
                <w:szCs w:val="20"/>
              </w:rPr>
            </w:pPr>
            <w:r w:rsidRPr="004622EC">
              <w:rPr>
                <w:rFonts w:asciiTheme="majorHAnsi" w:hAnsiTheme="majorHAnsi"/>
                <w:b/>
                <w:color w:val="000000"/>
                <w:sz w:val="20"/>
                <w:szCs w:val="20"/>
              </w:rPr>
              <w:t>Planned Activities/Outputs</w:t>
            </w:r>
          </w:p>
        </w:tc>
        <w:tc>
          <w:tcPr>
            <w:tcW w:w="0" w:type="auto"/>
            <w:shd w:val="clear" w:color="auto" w:fill="D9D9D9" w:themeFill="background1" w:themeFillShade="D9"/>
          </w:tcPr>
          <w:p w14:paraId="171F1A9A" w14:textId="77777777" w:rsidR="003E3ABA" w:rsidRPr="004622EC" w:rsidRDefault="003E3ABA" w:rsidP="00A70EB4">
            <w:pPr>
              <w:autoSpaceDE w:val="0"/>
              <w:autoSpaceDN w:val="0"/>
              <w:adjustRightInd w:val="0"/>
              <w:jc w:val="center"/>
              <w:rPr>
                <w:rFonts w:asciiTheme="majorHAnsi" w:hAnsiTheme="majorHAnsi"/>
                <w:b/>
                <w:color w:val="000000"/>
                <w:sz w:val="20"/>
                <w:szCs w:val="20"/>
              </w:rPr>
            </w:pPr>
            <w:r w:rsidRPr="004622EC">
              <w:rPr>
                <w:rFonts w:asciiTheme="majorHAnsi" w:hAnsiTheme="majorHAnsi"/>
                <w:b/>
                <w:color w:val="000000"/>
                <w:sz w:val="20"/>
                <w:szCs w:val="20"/>
              </w:rPr>
              <w:t>Risks</w:t>
            </w:r>
          </w:p>
        </w:tc>
        <w:tc>
          <w:tcPr>
            <w:tcW w:w="0" w:type="auto"/>
            <w:shd w:val="clear" w:color="auto" w:fill="D9D9D9" w:themeFill="background1" w:themeFillShade="D9"/>
          </w:tcPr>
          <w:p w14:paraId="1F4C5406" w14:textId="77777777" w:rsidR="003E3ABA" w:rsidRPr="004622EC" w:rsidRDefault="003E3ABA" w:rsidP="00F56772">
            <w:pPr>
              <w:autoSpaceDE w:val="0"/>
              <w:autoSpaceDN w:val="0"/>
              <w:adjustRightInd w:val="0"/>
              <w:jc w:val="center"/>
              <w:rPr>
                <w:rFonts w:asciiTheme="majorHAnsi" w:hAnsiTheme="majorHAnsi"/>
                <w:b/>
                <w:color w:val="000000"/>
                <w:sz w:val="20"/>
                <w:szCs w:val="20"/>
              </w:rPr>
            </w:pPr>
            <w:r w:rsidRPr="004622EC">
              <w:rPr>
                <w:rFonts w:asciiTheme="majorHAnsi" w:hAnsiTheme="majorHAnsi"/>
                <w:b/>
                <w:color w:val="000000"/>
                <w:sz w:val="20"/>
                <w:szCs w:val="20"/>
              </w:rPr>
              <w:t>Risk Mitigation Measures</w:t>
            </w:r>
          </w:p>
        </w:tc>
      </w:tr>
      <w:tr w:rsidR="00B4351D" w:rsidRPr="00A70EB4" w14:paraId="47654BFB" w14:textId="77777777" w:rsidTr="00327DFE">
        <w:tc>
          <w:tcPr>
            <w:tcW w:w="0" w:type="auto"/>
            <w:shd w:val="clear" w:color="auto" w:fill="auto"/>
          </w:tcPr>
          <w:p w14:paraId="0E4B35DC" w14:textId="77777777" w:rsidR="00B4351D" w:rsidRPr="004622EC" w:rsidRDefault="00B4351D" w:rsidP="00A70EB4">
            <w:pPr>
              <w:autoSpaceDE w:val="0"/>
              <w:autoSpaceDN w:val="0"/>
              <w:adjustRightInd w:val="0"/>
              <w:rPr>
                <w:rFonts w:asciiTheme="majorHAnsi" w:hAnsiTheme="majorHAnsi"/>
                <w:color w:val="000000"/>
                <w:sz w:val="20"/>
                <w:szCs w:val="20"/>
              </w:rPr>
            </w:pPr>
            <w:r w:rsidRPr="004622EC">
              <w:rPr>
                <w:rFonts w:asciiTheme="majorHAnsi" w:hAnsiTheme="majorHAnsi"/>
                <w:color w:val="000000"/>
                <w:sz w:val="20"/>
                <w:szCs w:val="20"/>
              </w:rPr>
              <w:t>Ministry of Energy</w:t>
            </w:r>
          </w:p>
        </w:tc>
        <w:tc>
          <w:tcPr>
            <w:tcW w:w="0" w:type="auto"/>
            <w:shd w:val="clear" w:color="auto" w:fill="auto"/>
          </w:tcPr>
          <w:p w14:paraId="765DF2B0" w14:textId="77777777" w:rsidR="00B4351D" w:rsidRPr="004622EC" w:rsidRDefault="00B4351D" w:rsidP="00A70EB4">
            <w:pPr>
              <w:autoSpaceDE w:val="0"/>
              <w:autoSpaceDN w:val="0"/>
              <w:adjustRightInd w:val="0"/>
              <w:rPr>
                <w:rFonts w:asciiTheme="majorHAnsi" w:hAnsiTheme="majorHAnsi"/>
                <w:color w:val="000000"/>
                <w:sz w:val="20"/>
                <w:szCs w:val="20"/>
              </w:rPr>
            </w:pPr>
            <w:r w:rsidRPr="004622EC">
              <w:rPr>
                <w:rFonts w:asciiTheme="majorHAnsi" w:hAnsiTheme="majorHAnsi"/>
                <w:color w:val="000000"/>
                <w:sz w:val="20"/>
                <w:szCs w:val="20"/>
              </w:rPr>
              <w:t>In kind</w:t>
            </w:r>
          </w:p>
        </w:tc>
        <w:tc>
          <w:tcPr>
            <w:tcW w:w="1185" w:type="dxa"/>
            <w:shd w:val="clear" w:color="auto" w:fill="auto"/>
          </w:tcPr>
          <w:p w14:paraId="0D344BDE" w14:textId="77777777" w:rsidR="00B4351D" w:rsidRPr="004622EC" w:rsidRDefault="00B4351D" w:rsidP="00A70EB4">
            <w:pPr>
              <w:autoSpaceDE w:val="0"/>
              <w:autoSpaceDN w:val="0"/>
              <w:adjustRightInd w:val="0"/>
              <w:jc w:val="right"/>
              <w:rPr>
                <w:rFonts w:asciiTheme="majorHAnsi" w:hAnsiTheme="majorHAnsi"/>
                <w:color w:val="000000"/>
                <w:sz w:val="20"/>
                <w:szCs w:val="20"/>
              </w:rPr>
            </w:pPr>
            <w:r w:rsidRPr="004622EC">
              <w:rPr>
                <w:rFonts w:asciiTheme="majorHAnsi" w:hAnsiTheme="majorHAnsi"/>
                <w:color w:val="000000"/>
                <w:sz w:val="20"/>
                <w:szCs w:val="20"/>
              </w:rPr>
              <w:t>250,000</w:t>
            </w:r>
          </w:p>
        </w:tc>
        <w:tc>
          <w:tcPr>
            <w:tcW w:w="2031" w:type="dxa"/>
            <w:shd w:val="clear" w:color="auto" w:fill="auto"/>
          </w:tcPr>
          <w:p w14:paraId="2A4F35ED" w14:textId="77777777" w:rsidR="00B4351D" w:rsidRPr="0039021E" w:rsidRDefault="00B4351D" w:rsidP="00A70EB4">
            <w:pPr>
              <w:autoSpaceDE w:val="0"/>
              <w:autoSpaceDN w:val="0"/>
              <w:adjustRightInd w:val="0"/>
              <w:rPr>
                <w:rFonts w:asciiTheme="majorHAnsi" w:hAnsiTheme="majorHAnsi"/>
                <w:color w:val="000000"/>
                <w:sz w:val="20"/>
                <w:szCs w:val="20"/>
                <w:lang w:val="en-GB"/>
              </w:rPr>
            </w:pPr>
            <w:r w:rsidRPr="0039021E">
              <w:rPr>
                <w:rFonts w:asciiTheme="majorHAnsi" w:hAnsiTheme="majorHAnsi"/>
                <w:color w:val="000000"/>
                <w:sz w:val="20"/>
                <w:szCs w:val="20"/>
                <w:lang w:val="en-GB"/>
              </w:rPr>
              <w:t>Development of legislation for large-scale and policies</w:t>
            </w:r>
          </w:p>
        </w:tc>
        <w:tc>
          <w:tcPr>
            <w:tcW w:w="0" w:type="auto"/>
            <w:shd w:val="clear" w:color="auto" w:fill="auto"/>
          </w:tcPr>
          <w:p w14:paraId="3BD49A5E" w14:textId="77777777" w:rsidR="00B4351D" w:rsidRPr="004622EC" w:rsidRDefault="00B4351D" w:rsidP="00F56772">
            <w:pPr>
              <w:autoSpaceDE w:val="0"/>
              <w:autoSpaceDN w:val="0"/>
              <w:adjustRightInd w:val="0"/>
              <w:rPr>
                <w:rFonts w:asciiTheme="majorHAnsi" w:hAnsiTheme="majorHAnsi"/>
                <w:color w:val="000000"/>
                <w:sz w:val="20"/>
                <w:szCs w:val="20"/>
              </w:rPr>
            </w:pPr>
            <w:r w:rsidRPr="004622EC">
              <w:rPr>
                <w:rFonts w:asciiTheme="majorHAnsi" w:eastAsia="Times New Roman" w:hAnsiTheme="majorHAnsi" w:cs="Arial"/>
                <w:color w:val="000000"/>
                <w:sz w:val="20"/>
                <w:szCs w:val="20"/>
                <w:lang w:val="en-GB"/>
              </w:rPr>
              <w:t>Shift in government priorities to other technologies</w:t>
            </w:r>
          </w:p>
        </w:tc>
        <w:tc>
          <w:tcPr>
            <w:tcW w:w="0" w:type="auto"/>
            <w:shd w:val="clear" w:color="auto" w:fill="auto"/>
          </w:tcPr>
          <w:p w14:paraId="6632D6BF" w14:textId="77777777" w:rsidR="00B4351D" w:rsidRPr="004622EC" w:rsidRDefault="00B4351D" w:rsidP="00F136DA">
            <w:pPr>
              <w:autoSpaceDE w:val="0"/>
              <w:autoSpaceDN w:val="0"/>
              <w:adjustRightInd w:val="0"/>
              <w:rPr>
                <w:rFonts w:asciiTheme="majorHAnsi" w:hAnsiTheme="majorHAnsi"/>
                <w:color w:val="000000"/>
                <w:sz w:val="20"/>
                <w:szCs w:val="20"/>
              </w:rPr>
            </w:pPr>
            <w:r w:rsidRPr="004622EC">
              <w:rPr>
                <w:rFonts w:asciiTheme="majorHAnsi" w:eastAsia="Times New Roman" w:hAnsiTheme="majorHAnsi" w:cs="Arial"/>
                <w:color w:val="000000"/>
                <w:sz w:val="20"/>
                <w:szCs w:val="20"/>
                <w:lang w:val="en-GB"/>
              </w:rPr>
              <w:t>On-going dialogue and partnership with authorities</w:t>
            </w:r>
          </w:p>
        </w:tc>
      </w:tr>
      <w:tr w:rsidR="00B4351D" w:rsidRPr="00A70EB4" w14:paraId="103EB6DE" w14:textId="77777777" w:rsidTr="00327DFE">
        <w:tc>
          <w:tcPr>
            <w:tcW w:w="0" w:type="auto"/>
            <w:shd w:val="clear" w:color="auto" w:fill="auto"/>
          </w:tcPr>
          <w:p w14:paraId="1420B9EC" w14:textId="77777777" w:rsidR="00B4351D" w:rsidRPr="004622EC" w:rsidRDefault="00B4351D" w:rsidP="00A70EB4">
            <w:pPr>
              <w:autoSpaceDE w:val="0"/>
              <w:autoSpaceDN w:val="0"/>
              <w:adjustRightInd w:val="0"/>
              <w:rPr>
                <w:rFonts w:asciiTheme="majorHAnsi" w:hAnsiTheme="majorHAnsi"/>
                <w:color w:val="000000"/>
                <w:sz w:val="20"/>
                <w:szCs w:val="20"/>
              </w:rPr>
            </w:pPr>
            <w:r w:rsidRPr="004622EC">
              <w:rPr>
                <w:rFonts w:asciiTheme="majorHAnsi" w:hAnsiTheme="majorHAnsi"/>
                <w:color w:val="000000"/>
                <w:sz w:val="20"/>
                <w:szCs w:val="20"/>
              </w:rPr>
              <w:t>Ministry of Energy</w:t>
            </w:r>
          </w:p>
        </w:tc>
        <w:tc>
          <w:tcPr>
            <w:tcW w:w="0" w:type="auto"/>
            <w:shd w:val="clear" w:color="auto" w:fill="auto"/>
          </w:tcPr>
          <w:p w14:paraId="46894F20" w14:textId="77777777" w:rsidR="00B4351D" w:rsidRPr="004622EC" w:rsidRDefault="00B4351D" w:rsidP="00A70EB4">
            <w:pPr>
              <w:autoSpaceDE w:val="0"/>
              <w:autoSpaceDN w:val="0"/>
              <w:adjustRightInd w:val="0"/>
              <w:rPr>
                <w:rFonts w:asciiTheme="majorHAnsi" w:hAnsiTheme="majorHAnsi"/>
                <w:color w:val="000000"/>
                <w:sz w:val="20"/>
                <w:szCs w:val="20"/>
              </w:rPr>
            </w:pPr>
            <w:r w:rsidRPr="004622EC">
              <w:rPr>
                <w:rFonts w:asciiTheme="majorHAnsi" w:hAnsiTheme="majorHAnsi"/>
                <w:color w:val="000000"/>
                <w:sz w:val="20"/>
                <w:szCs w:val="20"/>
              </w:rPr>
              <w:t>Grants</w:t>
            </w:r>
          </w:p>
        </w:tc>
        <w:tc>
          <w:tcPr>
            <w:tcW w:w="1185" w:type="dxa"/>
            <w:shd w:val="clear" w:color="auto" w:fill="auto"/>
          </w:tcPr>
          <w:p w14:paraId="1CAD67E7" w14:textId="77777777" w:rsidR="00B4351D" w:rsidRPr="004622EC" w:rsidRDefault="00B4351D" w:rsidP="00A70EB4">
            <w:pPr>
              <w:autoSpaceDE w:val="0"/>
              <w:autoSpaceDN w:val="0"/>
              <w:adjustRightInd w:val="0"/>
              <w:jc w:val="right"/>
              <w:rPr>
                <w:rFonts w:asciiTheme="majorHAnsi" w:hAnsiTheme="majorHAnsi"/>
                <w:color w:val="000000"/>
                <w:sz w:val="20"/>
                <w:szCs w:val="20"/>
              </w:rPr>
            </w:pPr>
            <w:r w:rsidRPr="004622EC">
              <w:rPr>
                <w:rFonts w:asciiTheme="majorHAnsi" w:hAnsiTheme="majorHAnsi"/>
                <w:color w:val="000000"/>
                <w:sz w:val="20"/>
                <w:szCs w:val="20"/>
              </w:rPr>
              <w:t>3,000,000</w:t>
            </w:r>
          </w:p>
        </w:tc>
        <w:tc>
          <w:tcPr>
            <w:tcW w:w="2031" w:type="dxa"/>
            <w:shd w:val="clear" w:color="auto" w:fill="auto"/>
          </w:tcPr>
          <w:p w14:paraId="4377C443" w14:textId="77777777" w:rsidR="00B4351D" w:rsidRPr="004622EC" w:rsidRDefault="00B4351D" w:rsidP="00A70EB4">
            <w:pPr>
              <w:autoSpaceDE w:val="0"/>
              <w:autoSpaceDN w:val="0"/>
              <w:adjustRightInd w:val="0"/>
              <w:rPr>
                <w:rFonts w:asciiTheme="majorHAnsi" w:hAnsiTheme="majorHAnsi"/>
                <w:color w:val="000000"/>
                <w:sz w:val="20"/>
                <w:szCs w:val="20"/>
              </w:rPr>
            </w:pPr>
            <w:r w:rsidRPr="004622EC">
              <w:rPr>
                <w:rFonts w:asciiTheme="majorHAnsi" w:hAnsiTheme="majorHAnsi"/>
                <w:color w:val="000000"/>
                <w:sz w:val="20"/>
                <w:szCs w:val="20"/>
              </w:rPr>
              <w:t>Support to small-scale renewable energy projects, via the Renewable Energy Transfers Programme</w:t>
            </w:r>
          </w:p>
        </w:tc>
        <w:tc>
          <w:tcPr>
            <w:tcW w:w="0" w:type="auto"/>
            <w:shd w:val="clear" w:color="auto" w:fill="auto"/>
          </w:tcPr>
          <w:p w14:paraId="64B112C8" w14:textId="77777777" w:rsidR="00B4351D" w:rsidRPr="004622EC" w:rsidRDefault="00B4351D" w:rsidP="00F56772">
            <w:pPr>
              <w:autoSpaceDE w:val="0"/>
              <w:autoSpaceDN w:val="0"/>
              <w:adjustRightInd w:val="0"/>
              <w:rPr>
                <w:rFonts w:asciiTheme="majorHAnsi" w:hAnsiTheme="majorHAnsi"/>
                <w:color w:val="000000"/>
                <w:sz w:val="20"/>
                <w:szCs w:val="20"/>
              </w:rPr>
            </w:pPr>
            <w:r w:rsidRPr="004622EC">
              <w:rPr>
                <w:rFonts w:asciiTheme="majorHAnsi" w:eastAsia="Times New Roman" w:hAnsiTheme="majorHAnsi" w:cs="Arial"/>
                <w:color w:val="000000"/>
                <w:sz w:val="20"/>
                <w:szCs w:val="20"/>
                <w:lang w:val="en-GB"/>
              </w:rPr>
              <w:t>Shift in government priorities to other technologies</w:t>
            </w:r>
          </w:p>
        </w:tc>
        <w:tc>
          <w:tcPr>
            <w:tcW w:w="0" w:type="auto"/>
            <w:shd w:val="clear" w:color="auto" w:fill="auto"/>
          </w:tcPr>
          <w:p w14:paraId="782A77B1" w14:textId="77777777" w:rsidR="00B4351D" w:rsidRPr="004622EC" w:rsidRDefault="00B4351D" w:rsidP="00F136DA">
            <w:pPr>
              <w:autoSpaceDE w:val="0"/>
              <w:autoSpaceDN w:val="0"/>
              <w:adjustRightInd w:val="0"/>
              <w:rPr>
                <w:rFonts w:asciiTheme="majorHAnsi" w:hAnsiTheme="majorHAnsi"/>
                <w:color w:val="000000"/>
                <w:sz w:val="20"/>
                <w:szCs w:val="20"/>
              </w:rPr>
            </w:pPr>
            <w:r w:rsidRPr="004622EC">
              <w:rPr>
                <w:rFonts w:asciiTheme="majorHAnsi" w:eastAsia="Times New Roman" w:hAnsiTheme="majorHAnsi" w:cs="Arial"/>
                <w:color w:val="000000"/>
                <w:sz w:val="20"/>
                <w:szCs w:val="20"/>
                <w:lang w:val="en-GB"/>
              </w:rPr>
              <w:t>On-going dialogue and partnership with authorities</w:t>
            </w:r>
          </w:p>
        </w:tc>
      </w:tr>
      <w:tr w:rsidR="0043085A" w:rsidRPr="00A70EB4" w14:paraId="4EAFC810" w14:textId="77777777" w:rsidTr="00327DFE">
        <w:tc>
          <w:tcPr>
            <w:tcW w:w="0" w:type="auto"/>
            <w:shd w:val="clear" w:color="auto" w:fill="auto"/>
          </w:tcPr>
          <w:p w14:paraId="50FA15F9" w14:textId="77777777" w:rsidR="0043085A" w:rsidRPr="004622EC" w:rsidRDefault="0043085A" w:rsidP="00A70EB4">
            <w:pPr>
              <w:autoSpaceDE w:val="0"/>
              <w:autoSpaceDN w:val="0"/>
              <w:adjustRightInd w:val="0"/>
              <w:rPr>
                <w:rFonts w:asciiTheme="majorHAnsi" w:hAnsiTheme="majorHAnsi"/>
                <w:color w:val="000000"/>
                <w:sz w:val="20"/>
                <w:szCs w:val="20"/>
              </w:rPr>
            </w:pPr>
            <w:r>
              <w:rPr>
                <w:rFonts w:asciiTheme="majorHAnsi" w:hAnsiTheme="majorHAnsi"/>
                <w:color w:val="000000"/>
                <w:sz w:val="20"/>
                <w:szCs w:val="20"/>
              </w:rPr>
              <w:t>Eurasian Development Bank</w:t>
            </w:r>
          </w:p>
        </w:tc>
        <w:tc>
          <w:tcPr>
            <w:tcW w:w="0" w:type="auto"/>
            <w:shd w:val="clear" w:color="auto" w:fill="auto"/>
          </w:tcPr>
          <w:p w14:paraId="2529DB8F" w14:textId="77777777" w:rsidR="0043085A" w:rsidRPr="004622EC" w:rsidRDefault="0043085A" w:rsidP="00A70EB4">
            <w:pPr>
              <w:autoSpaceDE w:val="0"/>
              <w:autoSpaceDN w:val="0"/>
              <w:adjustRightInd w:val="0"/>
              <w:rPr>
                <w:rFonts w:asciiTheme="majorHAnsi" w:hAnsiTheme="majorHAnsi"/>
                <w:color w:val="000000"/>
                <w:sz w:val="20"/>
                <w:szCs w:val="20"/>
              </w:rPr>
            </w:pPr>
            <w:r>
              <w:rPr>
                <w:rFonts w:asciiTheme="majorHAnsi" w:hAnsiTheme="majorHAnsi"/>
                <w:color w:val="000000"/>
                <w:sz w:val="20"/>
                <w:szCs w:val="20"/>
              </w:rPr>
              <w:t>Loans</w:t>
            </w:r>
          </w:p>
        </w:tc>
        <w:tc>
          <w:tcPr>
            <w:tcW w:w="1185" w:type="dxa"/>
            <w:shd w:val="clear" w:color="auto" w:fill="auto"/>
          </w:tcPr>
          <w:p w14:paraId="51D8B837" w14:textId="77777777" w:rsidR="0043085A" w:rsidRDefault="0043085A" w:rsidP="00251C74">
            <w:pPr>
              <w:autoSpaceDE w:val="0"/>
              <w:autoSpaceDN w:val="0"/>
              <w:adjustRightInd w:val="0"/>
              <w:jc w:val="right"/>
              <w:rPr>
                <w:rFonts w:asciiTheme="majorHAnsi" w:hAnsiTheme="majorHAnsi"/>
                <w:color w:val="000000"/>
                <w:sz w:val="20"/>
                <w:szCs w:val="20"/>
              </w:rPr>
            </w:pPr>
            <w:r>
              <w:rPr>
                <w:rFonts w:asciiTheme="majorHAnsi" w:hAnsiTheme="majorHAnsi"/>
                <w:color w:val="000000"/>
                <w:sz w:val="20"/>
                <w:szCs w:val="20"/>
              </w:rPr>
              <w:t>30,000,000</w:t>
            </w:r>
          </w:p>
        </w:tc>
        <w:tc>
          <w:tcPr>
            <w:tcW w:w="2031" w:type="dxa"/>
            <w:shd w:val="clear" w:color="auto" w:fill="auto"/>
          </w:tcPr>
          <w:p w14:paraId="022009D3" w14:textId="77777777" w:rsidR="0043085A" w:rsidRPr="004622EC" w:rsidRDefault="0043085A" w:rsidP="00A70EB4">
            <w:pPr>
              <w:autoSpaceDE w:val="0"/>
              <w:autoSpaceDN w:val="0"/>
              <w:adjustRightInd w:val="0"/>
              <w:rPr>
                <w:rFonts w:asciiTheme="majorHAnsi" w:hAnsiTheme="majorHAnsi"/>
                <w:color w:val="000000"/>
                <w:sz w:val="20"/>
                <w:szCs w:val="20"/>
              </w:rPr>
            </w:pPr>
            <w:r>
              <w:rPr>
                <w:rFonts w:asciiTheme="majorHAnsi" w:hAnsiTheme="majorHAnsi"/>
                <w:color w:val="000000"/>
                <w:sz w:val="20"/>
                <w:szCs w:val="20"/>
              </w:rPr>
              <w:t>Credit line for investment in renewable energy</w:t>
            </w:r>
          </w:p>
        </w:tc>
        <w:tc>
          <w:tcPr>
            <w:tcW w:w="0" w:type="auto"/>
            <w:shd w:val="clear" w:color="auto" w:fill="auto"/>
          </w:tcPr>
          <w:p w14:paraId="22259016" w14:textId="77777777" w:rsidR="0043085A" w:rsidRPr="004622EC" w:rsidRDefault="0043085A" w:rsidP="00F56772">
            <w:pPr>
              <w:autoSpaceDE w:val="0"/>
              <w:autoSpaceDN w:val="0"/>
              <w:adjustRightInd w:val="0"/>
              <w:rPr>
                <w:rFonts w:asciiTheme="majorHAnsi" w:eastAsia="Times New Roman" w:hAnsiTheme="majorHAnsi" w:cs="Arial"/>
                <w:color w:val="000000"/>
                <w:sz w:val="20"/>
                <w:szCs w:val="20"/>
                <w:lang w:val="en-GB"/>
              </w:rPr>
            </w:pPr>
            <w:r>
              <w:rPr>
                <w:rFonts w:asciiTheme="majorHAnsi" w:eastAsia="Times New Roman" w:hAnsiTheme="majorHAnsi" w:cs="Arial"/>
                <w:color w:val="000000"/>
                <w:sz w:val="20"/>
                <w:szCs w:val="20"/>
                <w:lang w:val="en-GB"/>
              </w:rPr>
              <w:t>Failure to identify bankable projects</w:t>
            </w:r>
          </w:p>
        </w:tc>
        <w:tc>
          <w:tcPr>
            <w:tcW w:w="0" w:type="auto"/>
            <w:shd w:val="clear" w:color="auto" w:fill="auto"/>
          </w:tcPr>
          <w:p w14:paraId="16156AD2" w14:textId="77777777" w:rsidR="0043085A" w:rsidRPr="004622EC" w:rsidRDefault="0043085A" w:rsidP="00F136DA">
            <w:pPr>
              <w:autoSpaceDE w:val="0"/>
              <w:autoSpaceDN w:val="0"/>
              <w:adjustRightInd w:val="0"/>
              <w:rPr>
                <w:rFonts w:asciiTheme="majorHAnsi" w:eastAsia="Times New Roman" w:hAnsiTheme="majorHAnsi" w:cs="Arial"/>
                <w:color w:val="000000"/>
                <w:sz w:val="20"/>
                <w:szCs w:val="20"/>
                <w:lang w:val="en-GB"/>
              </w:rPr>
            </w:pPr>
            <w:r>
              <w:rPr>
                <w:rFonts w:asciiTheme="majorHAnsi" w:eastAsia="Times New Roman" w:hAnsiTheme="majorHAnsi" w:cs="Arial"/>
                <w:color w:val="000000"/>
                <w:sz w:val="20"/>
                <w:szCs w:val="20"/>
                <w:lang w:val="en-GB"/>
              </w:rPr>
              <w:t>Technical assistance provided for project development, with limited concessional finance for first movers.</w:t>
            </w:r>
          </w:p>
        </w:tc>
      </w:tr>
      <w:tr w:rsidR="00B4351D" w:rsidRPr="00A70EB4" w14:paraId="38C352B2" w14:textId="77777777" w:rsidTr="00327DFE">
        <w:tc>
          <w:tcPr>
            <w:tcW w:w="0" w:type="auto"/>
            <w:shd w:val="clear" w:color="auto" w:fill="auto"/>
          </w:tcPr>
          <w:p w14:paraId="489AFC7B" w14:textId="77777777" w:rsidR="00B4351D" w:rsidRPr="004622EC" w:rsidRDefault="00B4351D" w:rsidP="00A70EB4">
            <w:pPr>
              <w:autoSpaceDE w:val="0"/>
              <w:autoSpaceDN w:val="0"/>
              <w:adjustRightInd w:val="0"/>
              <w:rPr>
                <w:rFonts w:asciiTheme="majorHAnsi" w:hAnsiTheme="majorHAnsi"/>
                <w:color w:val="000000"/>
                <w:sz w:val="20"/>
                <w:szCs w:val="20"/>
              </w:rPr>
            </w:pPr>
            <w:r w:rsidRPr="004622EC">
              <w:rPr>
                <w:rFonts w:asciiTheme="majorHAnsi" w:hAnsiTheme="majorHAnsi"/>
                <w:color w:val="000000"/>
                <w:sz w:val="20"/>
                <w:szCs w:val="20"/>
              </w:rPr>
              <w:t>Ergonomika Ltd</w:t>
            </w:r>
          </w:p>
        </w:tc>
        <w:tc>
          <w:tcPr>
            <w:tcW w:w="0" w:type="auto"/>
            <w:shd w:val="clear" w:color="auto" w:fill="auto"/>
          </w:tcPr>
          <w:p w14:paraId="7CD4DF62" w14:textId="77777777" w:rsidR="00B4351D" w:rsidRPr="004622EC" w:rsidRDefault="00B4351D" w:rsidP="00A70EB4">
            <w:pPr>
              <w:autoSpaceDE w:val="0"/>
              <w:autoSpaceDN w:val="0"/>
              <w:adjustRightInd w:val="0"/>
              <w:rPr>
                <w:rFonts w:asciiTheme="majorHAnsi" w:hAnsiTheme="majorHAnsi"/>
                <w:color w:val="000000"/>
                <w:sz w:val="20"/>
                <w:szCs w:val="20"/>
              </w:rPr>
            </w:pPr>
            <w:r w:rsidRPr="004622EC">
              <w:rPr>
                <w:rFonts w:asciiTheme="majorHAnsi" w:hAnsiTheme="majorHAnsi"/>
                <w:color w:val="000000"/>
                <w:sz w:val="20"/>
                <w:szCs w:val="20"/>
              </w:rPr>
              <w:t>Equity</w:t>
            </w:r>
          </w:p>
        </w:tc>
        <w:tc>
          <w:tcPr>
            <w:tcW w:w="1185" w:type="dxa"/>
            <w:shd w:val="clear" w:color="auto" w:fill="auto"/>
          </w:tcPr>
          <w:p w14:paraId="0D8AB79A" w14:textId="77777777" w:rsidR="00B4351D" w:rsidRPr="004622EC" w:rsidRDefault="00251C74" w:rsidP="00251C74">
            <w:pPr>
              <w:autoSpaceDE w:val="0"/>
              <w:autoSpaceDN w:val="0"/>
              <w:adjustRightInd w:val="0"/>
              <w:jc w:val="right"/>
              <w:rPr>
                <w:rFonts w:asciiTheme="majorHAnsi" w:hAnsiTheme="majorHAnsi"/>
                <w:color w:val="000000"/>
                <w:sz w:val="20"/>
                <w:szCs w:val="20"/>
              </w:rPr>
            </w:pPr>
            <w:r>
              <w:rPr>
                <w:rFonts w:asciiTheme="majorHAnsi" w:hAnsiTheme="majorHAnsi"/>
                <w:color w:val="000000"/>
                <w:sz w:val="20"/>
                <w:szCs w:val="20"/>
              </w:rPr>
              <w:t>1</w:t>
            </w:r>
            <w:r w:rsidR="00B4351D" w:rsidRPr="004622EC">
              <w:rPr>
                <w:rFonts w:asciiTheme="majorHAnsi" w:hAnsiTheme="majorHAnsi"/>
                <w:color w:val="000000"/>
                <w:sz w:val="20"/>
                <w:szCs w:val="20"/>
              </w:rPr>
              <w:t>,</w:t>
            </w:r>
            <w:r>
              <w:rPr>
                <w:rFonts w:asciiTheme="majorHAnsi" w:hAnsiTheme="majorHAnsi"/>
                <w:color w:val="000000"/>
                <w:sz w:val="20"/>
                <w:szCs w:val="20"/>
              </w:rPr>
              <w:t>5</w:t>
            </w:r>
            <w:r w:rsidRPr="004622EC">
              <w:rPr>
                <w:rFonts w:asciiTheme="majorHAnsi" w:hAnsiTheme="majorHAnsi"/>
                <w:color w:val="000000"/>
                <w:sz w:val="20"/>
                <w:szCs w:val="20"/>
              </w:rPr>
              <w:t>00</w:t>
            </w:r>
            <w:r w:rsidR="00B4351D" w:rsidRPr="004622EC">
              <w:rPr>
                <w:rFonts w:asciiTheme="majorHAnsi" w:hAnsiTheme="majorHAnsi"/>
                <w:color w:val="000000"/>
                <w:sz w:val="20"/>
                <w:szCs w:val="20"/>
              </w:rPr>
              <w:t>,000</w:t>
            </w:r>
          </w:p>
        </w:tc>
        <w:tc>
          <w:tcPr>
            <w:tcW w:w="2031" w:type="dxa"/>
            <w:shd w:val="clear" w:color="auto" w:fill="auto"/>
          </w:tcPr>
          <w:p w14:paraId="1DB2524F" w14:textId="77777777" w:rsidR="00B4351D" w:rsidRPr="004622EC" w:rsidRDefault="00B4351D" w:rsidP="00A70EB4">
            <w:pPr>
              <w:autoSpaceDE w:val="0"/>
              <w:autoSpaceDN w:val="0"/>
              <w:adjustRightInd w:val="0"/>
              <w:rPr>
                <w:rFonts w:asciiTheme="majorHAnsi" w:hAnsiTheme="majorHAnsi"/>
                <w:color w:val="000000"/>
                <w:sz w:val="20"/>
                <w:szCs w:val="20"/>
              </w:rPr>
            </w:pPr>
            <w:r w:rsidRPr="004622EC">
              <w:rPr>
                <w:rFonts w:asciiTheme="majorHAnsi" w:hAnsiTheme="majorHAnsi"/>
                <w:color w:val="000000"/>
                <w:sz w:val="20"/>
                <w:szCs w:val="20"/>
              </w:rPr>
              <w:t>Investment in small-scale renewable energy</w:t>
            </w:r>
          </w:p>
        </w:tc>
        <w:tc>
          <w:tcPr>
            <w:tcW w:w="0" w:type="auto"/>
            <w:shd w:val="clear" w:color="auto" w:fill="auto"/>
          </w:tcPr>
          <w:p w14:paraId="5D0C5F7D" w14:textId="77777777" w:rsidR="00B4351D" w:rsidRPr="004622EC" w:rsidRDefault="00B4351D" w:rsidP="00F56772">
            <w:pPr>
              <w:autoSpaceDE w:val="0"/>
              <w:autoSpaceDN w:val="0"/>
              <w:adjustRightInd w:val="0"/>
              <w:rPr>
                <w:rFonts w:asciiTheme="majorHAnsi" w:hAnsiTheme="majorHAnsi"/>
                <w:color w:val="000000"/>
                <w:sz w:val="20"/>
                <w:szCs w:val="20"/>
              </w:rPr>
            </w:pPr>
            <w:r w:rsidRPr="004622EC">
              <w:rPr>
                <w:rFonts w:asciiTheme="majorHAnsi" w:eastAsia="Times New Roman" w:hAnsiTheme="majorHAnsi" w:cs="Arial"/>
                <w:color w:val="000000"/>
                <w:sz w:val="20"/>
                <w:szCs w:val="20"/>
                <w:lang w:val="en-GB"/>
              </w:rPr>
              <w:t>- Failure to obtain finance</w:t>
            </w:r>
            <w:r w:rsidRPr="004622EC">
              <w:rPr>
                <w:rFonts w:asciiTheme="majorHAnsi" w:eastAsia="Times New Roman" w:hAnsiTheme="majorHAnsi" w:cs="Arial"/>
                <w:color w:val="000000"/>
                <w:sz w:val="20"/>
                <w:szCs w:val="20"/>
                <w:lang w:val="en-GB"/>
              </w:rPr>
              <w:br/>
              <w:t>- Shift in investment priorities</w:t>
            </w:r>
            <w:r w:rsidRPr="004622EC">
              <w:rPr>
                <w:rFonts w:asciiTheme="majorHAnsi" w:eastAsia="Times New Roman" w:hAnsiTheme="majorHAnsi" w:cs="Arial"/>
                <w:color w:val="000000"/>
                <w:sz w:val="20"/>
                <w:szCs w:val="20"/>
                <w:lang w:val="en-GB"/>
              </w:rPr>
              <w:br/>
              <w:t>- Technical risks of plant operation</w:t>
            </w:r>
          </w:p>
        </w:tc>
        <w:tc>
          <w:tcPr>
            <w:tcW w:w="0" w:type="auto"/>
            <w:shd w:val="clear" w:color="auto" w:fill="auto"/>
          </w:tcPr>
          <w:p w14:paraId="3EB8207E" w14:textId="77777777" w:rsidR="00B4351D" w:rsidRPr="004622EC" w:rsidRDefault="00B4351D" w:rsidP="00F136DA">
            <w:pPr>
              <w:autoSpaceDE w:val="0"/>
              <w:autoSpaceDN w:val="0"/>
              <w:adjustRightInd w:val="0"/>
              <w:rPr>
                <w:rFonts w:asciiTheme="majorHAnsi" w:hAnsiTheme="majorHAnsi"/>
                <w:color w:val="000000"/>
                <w:sz w:val="20"/>
                <w:szCs w:val="20"/>
              </w:rPr>
            </w:pPr>
            <w:r w:rsidRPr="004622EC">
              <w:rPr>
                <w:rFonts w:asciiTheme="majorHAnsi" w:eastAsia="Times New Roman" w:hAnsiTheme="majorHAnsi" w:cs="Arial"/>
                <w:color w:val="000000"/>
                <w:sz w:val="20"/>
                <w:szCs w:val="20"/>
                <w:lang w:val="en-GB"/>
              </w:rPr>
              <w:t>Technical assistance provided for project development and to facilitate financing. Concessional finance provided to improve profitability.</w:t>
            </w:r>
          </w:p>
        </w:tc>
      </w:tr>
      <w:tr w:rsidR="00B4351D" w:rsidRPr="00A70EB4" w14:paraId="5A75A24E" w14:textId="77777777" w:rsidTr="00327DFE">
        <w:tc>
          <w:tcPr>
            <w:tcW w:w="0" w:type="auto"/>
            <w:shd w:val="clear" w:color="auto" w:fill="auto"/>
          </w:tcPr>
          <w:p w14:paraId="38485719" w14:textId="77777777" w:rsidR="00B4351D" w:rsidRPr="004622EC" w:rsidRDefault="00B4351D" w:rsidP="00A70EB4">
            <w:pPr>
              <w:autoSpaceDE w:val="0"/>
              <w:autoSpaceDN w:val="0"/>
              <w:adjustRightInd w:val="0"/>
              <w:rPr>
                <w:rFonts w:asciiTheme="majorHAnsi" w:hAnsiTheme="majorHAnsi"/>
                <w:color w:val="000000"/>
                <w:sz w:val="20"/>
                <w:szCs w:val="20"/>
              </w:rPr>
            </w:pPr>
            <w:r w:rsidRPr="004622EC">
              <w:rPr>
                <w:rFonts w:asciiTheme="majorHAnsi" w:hAnsiTheme="majorHAnsi"/>
                <w:sz w:val="20"/>
                <w:szCs w:val="20"/>
              </w:rPr>
              <w:t xml:space="preserve">JSC International Center for Energy </w:t>
            </w:r>
            <w:r w:rsidR="00C953AA" w:rsidRPr="002B343A">
              <w:rPr>
                <w:rFonts w:asciiTheme="majorHAnsi" w:hAnsiTheme="majorHAnsi"/>
                <w:sz w:val="20"/>
                <w:szCs w:val="20"/>
              </w:rPr>
              <w:t>Equity Efficiency</w:t>
            </w:r>
            <w:r w:rsidRPr="004622EC">
              <w:rPr>
                <w:rFonts w:asciiTheme="majorHAnsi" w:hAnsiTheme="majorHAnsi"/>
                <w:sz w:val="20"/>
                <w:szCs w:val="20"/>
              </w:rPr>
              <w:t xml:space="preserve"> “ProEco”</w:t>
            </w:r>
          </w:p>
        </w:tc>
        <w:tc>
          <w:tcPr>
            <w:tcW w:w="0" w:type="auto"/>
            <w:shd w:val="clear" w:color="auto" w:fill="auto"/>
          </w:tcPr>
          <w:p w14:paraId="4A422B27" w14:textId="77777777" w:rsidR="00B4351D" w:rsidRPr="004622EC" w:rsidRDefault="00B4351D" w:rsidP="00A70EB4">
            <w:pPr>
              <w:autoSpaceDE w:val="0"/>
              <w:autoSpaceDN w:val="0"/>
              <w:adjustRightInd w:val="0"/>
              <w:rPr>
                <w:rFonts w:asciiTheme="majorHAnsi" w:hAnsiTheme="majorHAnsi"/>
                <w:color w:val="000000"/>
                <w:sz w:val="20"/>
                <w:szCs w:val="20"/>
              </w:rPr>
            </w:pPr>
            <w:r w:rsidRPr="004622EC">
              <w:rPr>
                <w:rFonts w:asciiTheme="majorHAnsi" w:hAnsiTheme="majorHAnsi"/>
                <w:color w:val="000000"/>
                <w:sz w:val="20"/>
                <w:szCs w:val="20"/>
              </w:rPr>
              <w:t>Equity</w:t>
            </w:r>
          </w:p>
        </w:tc>
        <w:tc>
          <w:tcPr>
            <w:tcW w:w="1185" w:type="dxa"/>
            <w:shd w:val="clear" w:color="auto" w:fill="auto"/>
          </w:tcPr>
          <w:p w14:paraId="677E6589" w14:textId="77777777" w:rsidR="00B4351D" w:rsidRPr="004622EC" w:rsidRDefault="00B4351D" w:rsidP="00A70EB4">
            <w:pPr>
              <w:autoSpaceDE w:val="0"/>
              <w:autoSpaceDN w:val="0"/>
              <w:adjustRightInd w:val="0"/>
              <w:jc w:val="right"/>
              <w:rPr>
                <w:rFonts w:asciiTheme="majorHAnsi" w:hAnsiTheme="majorHAnsi"/>
                <w:color w:val="000000"/>
                <w:sz w:val="20"/>
                <w:szCs w:val="20"/>
              </w:rPr>
            </w:pPr>
            <w:r w:rsidRPr="004622EC">
              <w:rPr>
                <w:rFonts w:asciiTheme="majorHAnsi" w:hAnsiTheme="majorHAnsi"/>
                <w:color w:val="000000"/>
                <w:sz w:val="20"/>
                <w:szCs w:val="20"/>
              </w:rPr>
              <w:t>800,000</w:t>
            </w:r>
          </w:p>
        </w:tc>
        <w:tc>
          <w:tcPr>
            <w:tcW w:w="2031" w:type="dxa"/>
            <w:shd w:val="clear" w:color="auto" w:fill="auto"/>
          </w:tcPr>
          <w:p w14:paraId="770A27F6" w14:textId="77777777" w:rsidR="00B4351D" w:rsidRPr="004622EC" w:rsidRDefault="00B4351D" w:rsidP="00A70EB4">
            <w:pPr>
              <w:autoSpaceDE w:val="0"/>
              <w:autoSpaceDN w:val="0"/>
              <w:adjustRightInd w:val="0"/>
              <w:rPr>
                <w:rFonts w:asciiTheme="majorHAnsi" w:hAnsiTheme="majorHAnsi"/>
                <w:color w:val="000000"/>
                <w:sz w:val="20"/>
                <w:szCs w:val="20"/>
              </w:rPr>
            </w:pPr>
            <w:r w:rsidRPr="004622EC">
              <w:rPr>
                <w:rFonts w:asciiTheme="majorHAnsi" w:hAnsiTheme="majorHAnsi"/>
                <w:color w:val="000000"/>
                <w:sz w:val="20"/>
                <w:szCs w:val="20"/>
              </w:rPr>
              <w:t>Investment in small-scale renewable energy</w:t>
            </w:r>
          </w:p>
        </w:tc>
        <w:tc>
          <w:tcPr>
            <w:tcW w:w="0" w:type="auto"/>
            <w:shd w:val="clear" w:color="auto" w:fill="auto"/>
          </w:tcPr>
          <w:p w14:paraId="5BABF77C" w14:textId="77777777" w:rsidR="00B4351D" w:rsidRPr="004622EC" w:rsidRDefault="00B4351D" w:rsidP="00F56772">
            <w:pPr>
              <w:autoSpaceDE w:val="0"/>
              <w:autoSpaceDN w:val="0"/>
              <w:adjustRightInd w:val="0"/>
              <w:rPr>
                <w:rFonts w:asciiTheme="majorHAnsi" w:hAnsiTheme="majorHAnsi"/>
                <w:color w:val="000000"/>
                <w:sz w:val="20"/>
                <w:szCs w:val="20"/>
              </w:rPr>
            </w:pPr>
            <w:r w:rsidRPr="004622EC">
              <w:rPr>
                <w:rFonts w:asciiTheme="majorHAnsi" w:eastAsia="Times New Roman" w:hAnsiTheme="majorHAnsi" w:cs="Arial"/>
                <w:color w:val="000000"/>
                <w:sz w:val="20"/>
                <w:szCs w:val="20"/>
                <w:lang w:val="en-GB"/>
              </w:rPr>
              <w:t>- Failure to obtain finance</w:t>
            </w:r>
            <w:r w:rsidRPr="004622EC">
              <w:rPr>
                <w:rFonts w:asciiTheme="majorHAnsi" w:eastAsia="Times New Roman" w:hAnsiTheme="majorHAnsi" w:cs="Arial"/>
                <w:color w:val="000000"/>
                <w:sz w:val="20"/>
                <w:szCs w:val="20"/>
                <w:lang w:val="en-GB"/>
              </w:rPr>
              <w:br/>
              <w:t>- Shift in investment priorities</w:t>
            </w:r>
            <w:r w:rsidRPr="004622EC">
              <w:rPr>
                <w:rFonts w:asciiTheme="majorHAnsi" w:eastAsia="Times New Roman" w:hAnsiTheme="majorHAnsi" w:cs="Arial"/>
                <w:color w:val="000000"/>
                <w:sz w:val="20"/>
                <w:szCs w:val="20"/>
                <w:lang w:val="en-GB"/>
              </w:rPr>
              <w:br/>
              <w:t>- Technical risks of plant operation</w:t>
            </w:r>
          </w:p>
        </w:tc>
        <w:tc>
          <w:tcPr>
            <w:tcW w:w="0" w:type="auto"/>
            <w:shd w:val="clear" w:color="auto" w:fill="auto"/>
          </w:tcPr>
          <w:p w14:paraId="6F423845" w14:textId="77777777" w:rsidR="00B4351D" w:rsidRPr="004622EC" w:rsidRDefault="00B4351D" w:rsidP="00F136DA">
            <w:pPr>
              <w:autoSpaceDE w:val="0"/>
              <w:autoSpaceDN w:val="0"/>
              <w:adjustRightInd w:val="0"/>
              <w:rPr>
                <w:rFonts w:asciiTheme="majorHAnsi" w:hAnsiTheme="majorHAnsi"/>
                <w:color w:val="000000"/>
                <w:sz w:val="20"/>
                <w:szCs w:val="20"/>
              </w:rPr>
            </w:pPr>
            <w:r w:rsidRPr="004622EC">
              <w:rPr>
                <w:rFonts w:asciiTheme="majorHAnsi" w:eastAsia="Times New Roman" w:hAnsiTheme="majorHAnsi" w:cs="Arial"/>
                <w:color w:val="000000"/>
                <w:sz w:val="20"/>
                <w:szCs w:val="20"/>
                <w:lang w:val="en-GB"/>
              </w:rPr>
              <w:t>Technical assistance provided for project development and to facilitate financing. Concessional finance provided to improve profitability.</w:t>
            </w:r>
          </w:p>
        </w:tc>
      </w:tr>
      <w:tr w:rsidR="00B4351D" w:rsidRPr="00A70EB4" w14:paraId="10012C6B" w14:textId="77777777" w:rsidTr="00327DFE">
        <w:tc>
          <w:tcPr>
            <w:tcW w:w="0" w:type="auto"/>
            <w:shd w:val="clear" w:color="auto" w:fill="auto"/>
          </w:tcPr>
          <w:p w14:paraId="6DE07242" w14:textId="77777777" w:rsidR="00B4351D" w:rsidRPr="004622EC" w:rsidRDefault="00B4351D" w:rsidP="00A70EB4">
            <w:pPr>
              <w:autoSpaceDE w:val="0"/>
              <w:autoSpaceDN w:val="0"/>
              <w:adjustRightInd w:val="0"/>
              <w:rPr>
                <w:rFonts w:asciiTheme="majorHAnsi" w:hAnsiTheme="majorHAnsi"/>
                <w:color w:val="000000"/>
                <w:sz w:val="20"/>
                <w:szCs w:val="20"/>
              </w:rPr>
            </w:pPr>
            <w:r w:rsidRPr="004622EC">
              <w:rPr>
                <w:rFonts w:asciiTheme="majorHAnsi" w:hAnsiTheme="majorHAnsi"/>
                <w:sz w:val="20"/>
                <w:szCs w:val="20"/>
              </w:rPr>
              <w:t>JSC Astana Solar</w:t>
            </w:r>
          </w:p>
        </w:tc>
        <w:tc>
          <w:tcPr>
            <w:tcW w:w="0" w:type="auto"/>
            <w:shd w:val="clear" w:color="auto" w:fill="auto"/>
          </w:tcPr>
          <w:p w14:paraId="568C4BB5" w14:textId="77777777" w:rsidR="00B4351D" w:rsidRPr="004622EC" w:rsidRDefault="00B4351D" w:rsidP="00A70EB4">
            <w:pPr>
              <w:autoSpaceDE w:val="0"/>
              <w:autoSpaceDN w:val="0"/>
              <w:adjustRightInd w:val="0"/>
              <w:rPr>
                <w:rFonts w:asciiTheme="majorHAnsi" w:hAnsiTheme="majorHAnsi"/>
                <w:color w:val="000000"/>
                <w:sz w:val="20"/>
                <w:szCs w:val="20"/>
              </w:rPr>
            </w:pPr>
            <w:r w:rsidRPr="004622EC">
              <w:rPr>
                <w:rFonts w:asciiTheme="majorHAnsi" w:hAnsiTheme="majorHAnsi"/>
                <w:color w:val="000000"/>
                <w:sz w:val="20"/>
                <w:szCs w:val="20"/>
              </w:rPr>
              <w:t>Equity</w:t>
            </w:r>
          </w:p>
        </w:tc>
        <w:tc>
          <w:tcPr>
            <w:tcW w:w="1185" w:type="dxa"/>
            <w:shd w:val="clear" w:color="auto" w:fill="auto"/>
          </w:tcPr>
          <w:p w14:paraId="5F4130CC" w14:textId="77777777" w:rsidR="00B4351D" w:rsidRPr="004622EC" w:rsidRDefault="002B2227" w:rsidP="00A2748F">
            <w:pPr>
              <w:autoSpaceDE w:val="0"/>
              <w:autoSpaceDN w:val="0"/>
              <w:adjustRightInd w:val="0"/>
              <w:jc w:val="right"/>
              <w:rPr>
                <w:rFonts w:asciiTheme="majorHAnsi" w:hAnsiTheme="majorHAnsi"/>
                <w:color w:val="000000"/>
                <w:sz w:val="20"/>
                <w:szCs w:val="20"/>
              </w:rPr>
            </w:pPr>
            <w:r>
              <w:rPr>
                <w:rFonts w:asciiTheme="majorHAnsi" w:hAnsiTheme="majorHAnsi"/>
                <w:color w:val="000000"/>
                <w:sz w:val="20"/>
                <w:szCs w:val="20"/>
              </w:rPr>
              <w:t>1</w:t>
            </w:r>
            <w:r w:rsidR="00B4351D" w:rsidRPr="004622EC">
              <w:rPr>
                <w:rFonts w:asciiTheme="majorHAnsi" w:hAnsiTheme="majorHAnsi"/>
                <w:color w:val="000000"/>
                <w:sz w:val="20"/>
                <w:szCs w:val="20"/>
              </w:rPr>
              <w:t>3,</w:t>
            </w:r>
            <w:r w:rsidR="00A2748F">
              <w:rPr>
                <w:rFonts w:asciiTheme="majorHAnsi" w:hAnsiTheme="majorHAnsi"/>
                <w:color w:val="000000"/>
                <w:sz w:val="20"/>
                <w:szCs w:val="20"/>
              </w:rPr>
              <w:t>96</w:t>
            </w:r>
            <w:r w:rsidRPr="004622EC">
              <w:rPr>
                <w:rFonts w:asciiTheme="majorHAnsi" w:hAnsiTheme="majorHAnsi"/>
                <w:color w:val="000000"/>
                <w:sz w:val="20"/>
                <w:szCs w:val="20"/>
              </w:rPr>
              <w:t>0</w:t>
            </w:r>
            <w:r w:rsidR="00B4351D" w:rsidRPr="004622EC">
              <w:rPr>
                <w:rFonts w:asciiTheme="majorHAnsi" w:hAnsiTheme="majorHAnsi"/>
                <w:color w:val="000000"/>
                <w:sz w:val="20"/>
                <w:szCs w:val="20"/>
              </w:rPr>
              <w:t>,000</w:t>
            </w:r>
          </w:p>
        </w:tc>
        <w:tc>
          <w:tcPr>
            <w:tcW w:w="2031" w:type="dxa"/>
            <w:shd w:val="clear" w:color="auto" w:fill="auto"/>
          </w:tcPr>
          <w:p w14:paraId="62F9FE57" w14:textId="77777777" w:rsidR="00B4351D" w:rsidRPr="004622EC" w:rsidRDefault="00B4351D" w:rsidP="00A70EB4">
            <w:pPr>
              <w:autoSpaceDE w:val="0"/>
              <w:autoSpaceDN w:val="0"/>
              <w:adjustRightInd w:val="0"/>
              <w:rPr>
                <w:rFonts w:asciiTheme="majorHAnsi" w:hAnsiTheme="majorHAnsi"/>
                <w:color w:val="000000"/>
                <w:sz w:val="20"/>
                <w:szCs w:val="20"/>
              </w:rPr>
            </w:pPr>
            <w:r w:rsidRPr="004622EC">
              <w:rPr>
                <w:rFonts w:asciiTheme="majorHAnsi" w:hAnsiTheme="majorHAnsi"/>
                <w:color w:val="000000"/>
                <w:sz w:val="20"/>
                <w:szCs w:val="20"/>
              </w:rPr>
              <w:t>Investment in large and small-scale renewable energy</w:t>
            </w:r>
          </w:p>
        </w:tc>
        <w:tc>
          <w:tcPr>
            <w:tcW w:w="0" w:type="auto"/>
            <w:shd w:val="clear" w:color="auto" w:fill="auto"/>
          </w:tcPr>
          <w:p w14:paraId="2B9F2F97" w14:textId="77777777" w:rsidR="00B4351D" w:rsidRPr="004622EC" w:rsidRDefault="00B4351D" w:rsidP="00F56772">
            <w:pPr>
              <w:autoSpaceDE w:val="0"/>
              <w:autoSpaceDN w:val="0"/>
              <w:adjustRightInd w:val="0"/>
              <w:rPr>
                <w:rFonts w:asciiTheme="majorHAnsi" w:hAnsiTheme="majorHAnsi"/>
                <w:color w:val="000000"/>
                <w:sz w:val="20"/>
                <w:szCs w:val="20"/>
              </w:rPr>
            </w:pPr>
            <w:r w:rsidRPr="004622EC">
              <w:rPr>
                <w:rFonts w:asciiTheme="majorHAnsi" w:eastAsia="Times New Roman" w:hAnsiTheme="majorHAnsi" w:cs="Arial"/>
                <w:color w:val="000000"/>
                <w:sz w:val="20"/>
                <w:szCs w:val="20"/>
                <w:lang w:val="en-GB"/>
              </w:rPr>
              <w:t>- Shift in investment priorities</w:t>
            </w:r>
            <w:r w:rsidRPr="004622EC">
              <w:rPr>
                <w:rFonts w:asciiTheme="majorHAnsi" w:eastAsia="Times New Roman" w:hAnsiTheme="majorHAnsi" w:cs="Arial"/>
                <w:color w:val="000000"/>
                <w:sz w:val="20"/>
                <w:szCs w:val="20"/>
                <w:lang w:val="en-GB"/>
              </w:rPr>
              <w:br/>
              <w:t>- Technical risks of plant operation</w:t>
            </w:r>
          </w:p>
        </w:tc>
        <w:tc>
          <w:tcPr>
            <w:tcW w:w="0" w:type="auto"/>
            <w:shd w:val="clear" w:color="auto" w:fill="auto"/>
          </w:tcPr>
          <w:p w14:paraId="14F1817C" w14:textId="77777777" w:rsidR="00B4351D" w:rsidRPr="004622EC" w:rsidRDefault="00B4351D" w:rsidP="00F136DA">
            <w:pPr>
              <w:autoSpaceDE w:val="0"/>
              <w:autoSpaceDN w:val="0"/>
              <w:adjustRightInd w:val="0"/>
              <w:rPr>
                <w:rFonts w:asciiTheme="majorHAnsi" w:hAnsiTheme="majorHAnsi"/>
                <w:color w:val="000000"/>
                <w:sz w:val="20"/>
                <w:szCs w:val="20"/>
              </w:rPr>
            </w:pPr>
            <w:r w:rsidRPr="004622EC">
              <w:rPr>
                <w:rFonts w:asciiTheme="majorHAnsi" w:eastAsia="Times New Roman" w:hAnsiTheme="majorHAnsi" w:cs="Arial"/>
                <w:color w:val="000000"/>
                <w:sz w:val="20"/>
                <w:szCs w:val="20"/>
                <w:lang w:val="en-GB"/>
              </w:rPr>
              <w:t>Technical assistance provided for project development and to facilitate financing. Concessional finance provided to improve profitability.</w:t>
            </w:r>
          </w:p>
        </w:tc>
      </w:tr>
      <w:tr w:rsidR="00B5242E" w:rsidRPr="00A70EB4" w14:paraId="25852A37" w14:textId="77777777" w:rsidTr="00327DFE">
        <w:tc>
          <w:tcPr>
            <w:tcW w:w="0" w:type="auto"/>
            <w:shd w:val="clear" w:color="auto" w:fill="auto"/>
          </w:tcPr>
          <w:p w14:paraId="1811CB75" w14:textId="77777777" w:rsidR="00B5242E" w:rsidRPr="004622EC" w:rsidRDefault="00B5242E" w:rsidP="00A70EB4">
            <w:pPr>
              <w:autoSpaceDE w:val="0"/>
              <w:autoSpaceDN w:val="0"/>
              <w:adjustRightInd w:val="0"/>
              <w:rPr>
                <w:rFonts w:asciiTheme="majorHAnsi" w:hAnsiTheme="majorHAnsi"/>
                <w:color w:val="000000"/>
                <w:sz w:val="20"/>
                <w:szCs w:val="20"/>
              </w:rPr>
            </w:pPr>
            <w:r w:rsidRPr="00B5242E">
              <w:rPr>
                <w:rFonts w:asciiTheme="majorHAnsi" w:hAnsiTheme="majorHAnsi"/>
                <w:sz w:val="20"/>
                <w:szCs w:val="20"/>
              </w:rPr>
              <w:t>Enkom ST LL</w:t>
            </w:r>
          </w:p>
        </w:tc>
        <w:tc>
          <w:tcPr>
            <w:tcW w:w="0" w:type="auto"/>
            <w:shd w:val="clear" w:color="auto" w:fill="auto"/>
          </w:tcPr>
          <w:p w14:paraId="7DB6FF06" w14:textId="77777777" w:rsidR="00B5242E" w:rsidRPr="004622EC" w:rsidRDefault="00B5242E" w:rsidP="00A70EB4">
            <w:pPr>
              <w:autoSpaceDE w:val="0"/>
              <w:autoSpaceDN w:val="0"/>
              <w:adjustRightInd w:val="0"/>
              <w:rPr>
                <w:rFonts w:asciiTheme="majorHAnsi" w:hAnsiTheme="majorHAnsi"/>
                <w:color w:val="000000"/>
                <w:sz w:val="20"/>
                <w:szCs w:val="20"/>
              </w:rPr>
            </w:pPr>
            <w:r w:rsidRPr="004622EC">
              <w:rPr>
                <w:rFonts w:asciiTheme="majorHAnsi" w:hAnsiTheme="majorHAnsi"/>
                <w:color w:val="000000"/>
                <w:sz w:val="20"/>
                <w:szCs w:val="20"/>
              </w:rPr>
              <w:t>Equity</w:t>
            </w:r>
          </w:p>
        </w:tc>
        <w:tc>
          <w:tcPr>
            <w:tcW w:w="1185" w:type="dxa"/>
            <w:shd w:val="clear" w:color="auto" w:fill="auto"/>
          </w:tcPr>
          <w:p w14:paraId="706279DF" w14:textId="77777777" w:rsidR="00B5242E" w:rsidRPr="004622EC" w:rsidRDefault="00B5242E" w:rsidP="00A70EB4">
            <w:pPr>
              <w:autoSpaceDE w:val="0"/>
              <w:autoSpaceDN w:val="0"/>
              <w:adjustRightInd w:val="0"/>
              <w:jc w:val="right"/>
              <w:rPr>
                <w:rFonts w:asciiTheme="majorHAnsi" w:hAnsiTheme="majorHAnsi"/>
                <w:color w:val="000000"/>
                <w:sz w:val="20"/>
                <w:szCs w:val="20"/>
              </w:rPr>
            </w:pPr>
            <w:r w:rsidRPr="00B5242E">
              <w:rPr>
                <w:rFonts w:asciiTheme="majorHAnsi" w:hAnsiTheme="majorHAnsi"/>
                <w:color w:val="000000"/>
                <w:sz w:val="20"/>
                <w:szCs w:val="20"/>
              </w:rPr>
              <w:t>800,000</w:t>
            </w:r>
          </w:p>
        </w:tc>
        <w:tc>
          <w:tcPr>
            <w:tcW w:w="2031" w:type="dxa"/>
            <w:shd w:val="clear" w:color="auto" w:fill="auto"/>
          </w:tcPr>
          <w:p w14:paraId="0CEA410C" w14:textId="77777777" w:rsidR="00B5242E" w:rsidRPr="004622EC" w:rsidRDefault="00B5242E" w:rsidP="00A70EB4">
            <w:pPr>
              <w:autoSpaceDE w:val="0"/>
              <w:autoSpaceDN w:val="0"/>
              <w:adjustRightInd w:val="0"/>
              <w:rPr>
                <w:rFonts w:asciiTheme="majorHAnsi" w:hAnsiTheme="majorHAnsi"/>
                <w:color w:val="000000"/>
                <w:sz w:val="20"/>
                <w:szCs w:val="20"/>
              </w:rPr>
            </w:pPr>
            <w:r w:rsidRPr="004622EC">
              <w:rPr>
                <w:rFonts w:asciiTheme="majorHAnsi" w:hAnsiTheme="majorHAnsi"/>
                <w:color w:val="000000"/>
                <w:sz w:val="20"/>
                <w:szCs w:val="20"/>
              </w:rPr>
              <w:t>Investment in small-scale renewable energy</w:t>
            </w:r>
          </w:p>
        </w:tc>
        <w:tc>
          <w:tcPr>
            <w:tcW w:w="0" w:type="auto"/>
            <w:shd w:val="clear" w:color="auto" w:fill="auto"/>
          </w:tcPr>
          <w:p w14:paraId="11CE2588" w14:textId="77777777" w:rsidR="00B5242E" w:rsidRPr="004622EC" w:rsidRDefault="00B5242E" w:rsidP="00F56772">
            <w:pPr>
              <w:autoSpaceDE w:val="0"/>
              <w:autoSpaceDN w:val="0"/>
              <w:adjustRightInd w:val="0"/>
              <w:rPr>
                <w:rFonts w:asciiTheme="majorHAnsi" w:hAnsiTheme="majorHAnsi"/>
                <w:color w:val="000000"/>
                <w:sz w:val="20"/>
                <w:szCs w:val="20"/>
              </w:rPr>
            </w:pPr>
            <w:r w:rsidRPr="004622EC">
              <w:rPr>
                <w:rFonts w:asciiTheme="majorHAnsi" w:eastAsia="Times New Roman" w:hAnsiTheme="majorHAnsi" w:cs="Arial"/>
                <w:color w:val="000000"/>
                <w:sz w:val="20"/>
                <w:szCs w:val="20"/>
                <w:lang w:val="en-GB"/>
              </w:rPr>
              <w:t>- Failure to obtain finance</w:t>
            </w:r>
            <w:r w:rsidRPr="004622EC">
              <w:rPr>
                <w:rFonts w:asciiTheme="majorHAnsi" w:eastAsia="Times New Roman" w:hAnsiTheme="majorHAnsi" w:cs="Arial"/>
                <w:color w:val="000000"/>
                <w:sz w:val="20"/>
                <w:szCs w:val="20"/>
                <w:lang w:val="en-GB"/>
              </w:rPr>
              <w:br/>
              <w:t>- Shift in investment priorities</w:t>
            </w:r>
            <w:r w:rsidRPr="004622EC">
              <w:rPr>
                <w:rFonts w:asciiTheme="majorHAnsi" w:eastAsia="Times New Roman" w:hAnsiTheme="majorHAnsi" w:cs="Arial"/>
                <w:color w:val="000000"/>
                <w:sz w:val="20"/>
                <w:szCs w:val="20"/>
                <w:lang w:val="en-GB"/>
              </w:rPr>
              <w:br/>
              <w:t>- Technical risks of plant operation</w:t>
            </w:r>
          </w:p>
        </w:tc>
        <w:tc>
          <w:tcPr>
            <w:tcW w:w="0" w:type="auto"/>
            <w:shd w:val="clear" w:color="auto" w:fill="auto"/>
          </w:tcPr>
          <w:p w14:paraId="2C82806A" w14:textId="77777777" w:rsidR="00B5242E" w:rsidRPr="004622EC" w:rsidRDefault="00B5242E" w:rsidP="00F136DA">
            <w:pPr>
              <w:autoSpaceDE w:val="0"/>
              <w:autoSpaceDN w:val="0"/>
              <w:adjustRightInd w:val="0"/>
              <w:rPr>
                <w:rFonts w:asciiTheme="majorHAnsi" w:hAnsiTheme="majorHAnsi"/>
                <w:color w:val="000000"/>
                <w:sz w:val="20"/>
                <w:szCs w:val="20"/>
              </w:rPr>
            </w:pPr>
            <w:r w:rsidRPr="004622EC">
              <w:rPr>
                <w:rFonts w:asciiTheme="majorHAnsi" w:eastAsia="Times New Roman" w:hAnsiTheme="majorHAnsi" w:cs="Arial"/>
                <w:color w:val="000000"/>
                <w:sz w:val="20"/>
                <w:szCs w:val="20"/>
                <w:lang w:val="en-GB"/>
              </w:rPr>
              <w:t>Technical assistance provided for project development and to facilitate financing. Concessional finance provided to improve profitability.</w:t>
            </w:r>
          </w:p>
        </w:tc>
      </w:tr>
      <w:tr w:rsidR="00B4351D" w:rsidRPr="00A70EB4" w14:paraId="63D7D646" w14:textId="77777777" w:rsidTr="00327DFE">
        <w:tc>
          <w:tcPr>
            <w:tcW w:w="0" w:type="auto"/>
            <w:shd w:val="clear" w:color="auto" w:fill="auto"/>
          </w:tcPr>
          <w:p w14:paraId="00B1534E" w14:textId="77777777" w:rsidR="00B4351D" w:rsidRPr="004622EC" w:rsidRDefault="00B4351D" w:rsidP="00A70EB4">
            <w:pPr>
              <w:autoSpaceDE w:val="0"/>
              <w:autoSpaceDN w:val="0"/>
              <w:adjustRightInd w:val="0"/>
              <w:rPr>
                <w:rFonts w:asciiTheme="majorHAnsi" w:hAnsiTheme="majorHAnsi"/>
                <w:color w:val="000000"/>
                <w:sz w:val="20"/>
                <w:szCs w:val="20"/>
              </w:rPr>
            </w:pPr>
            <w:r w:rsidRPr="004622EC">
              <w:rPr>
                <w:rFonts w:asciiTheme="majorHAnsi" w:hAnsiTheme="majorHAnsi"/>
                <w:sz w:val="20"/>
                <w:szCs w:val="20"/>
              </w:rPr>
              <w:t>Nazarbaev University</w:t>
            </w:r>
          </w:p>
        </w:tc>
        <w:tc>
          <w:tcPr>
            <w:tcW w:w="0" w:type="auto"/>
            <w:shd w:val="clear" w:color="auto" w:fill="auto"/>
          </w:tcPr>
          <w:p w14:paraId="2DD58A37" w14:textId="77777777" w:rsidR="00B4351D" w:rsidRPr="004622EC" w:rsidRDefault="00B4351D" w:rsidP="00A70EB4">
            <w:pPr>
              <w:autoSpaceDE w:val="0"/>
              <w:autoSpaceDN w:val="0"/>
              <w:adjustRightInd w:val="0"/>
              <w:rPr>
                <w:rFonts w:asciiTheme="majorHAnsi" w:hAnsiTheme="majorHAnsi"/>
                <w:color w:val="000000"/>
                <w:sz w:val="20"/>
                <w:szCs w:val="20"/>
              </w:rPr>
            </w:pPr>
            <w:r w:rsidRPr="004622EC">
              <w:rPr>
                <w:rFonts w:asciiTheme="majorHAnsi" w:hAnsiTheme="majorHAnsi"/>
                <w:color w:val="000000"/>
                <w:sz w:val="20"/>
                <w:szCs w:val="20"/>
              </w:rPr>
              <w:t>In kind</w:t>
            </w:r>
          </w:p>
        </w:tc>
        <w:tc>
          <w:tcPr>
            <w:tcW w:w="1185" w:type="dxa"/>
            <w:shd w:val="clear" w:color="auto" w:fill="auto"/>
          </w:tcPr>
          <w:p w14:paraId="74242044" w14:textId="77777777" w:rsidR="00B4351D" w:rsidRPr="004622EC" w:rsidRDefault="00B4351D" w:rsidP="00A70EB4">
            <w:pPr>
              <w:autoSpaceDE w:val="0"/>
              <w:autoSpaceDN w:val="0"/>
              <w:adjustRightInd w:val="0"/>
              <w:jc w:val="right"/>
              <w:rPr>
                <w:rFonts w:asciiTheme="majorHAnsi" w:hAnsiTheme="majorHAnsi"/>
                <w:color w:val="000000"/>
                <w:sz w:val="20"/>
                <w:szCs w:val="20"/>
              </w:rPr>
            </w:pPr>
            <w:r w:rsidRPr="004622EC">
              <w:rPr>
                <w:rFonts w:asciiTheme="majorHAnsi" w:hAnsiTheme="majorHAnsi"/>
                <w:color w:val="000000"/>
                <w:sz w:val="20"/>
                <w:szCs w:val="20"/>
              </w:rPr>
              <w:t>300,000</w:t>
            </w:r>
          </w:p>
        </w:tc>
        <w:tc>
          <w:tcPr>
            <w:tcW w:w="2031" w:type="dxa"/>
            <w:shd w:val="clear" w:color="auto" w:fill="auto"/>
          </w:tcPr>
          <w:p w14:paraId="28F6D690" w14:textId="77777777" w:rsidR="00B4351D" w:rsidRPr="004622EC" w:rsidRDefault="00B4351D" w:rsidP="00A70EB4">
            <w:pPr>
              <w:autoSpaceDE w:val="0"/>
              <w:autoSpaceDN w:val="0"/>
              <w:adjustRightInd w:val="0"/>
              <w:rPr>
                <w:rFonts w:asciiTheme="majorHAnsi" w:hAnsiTheme="majorHAnsi"/>
                <w:color w:val="000000"/>
                <w:sz w:val="20"/>
                <w:szCs w:val="20"/>
              </w:rPr>
            </w:pPr>
            <w:r w:rsidRPr="004622EC">
              <w:rPr>
                <w:rFonts w:asciiTheme="majorHAnsi" w:hAnsiTheme="majorHAnsi"/>
                <w:color w:val="000000"/>
                <w:sz w:val="20"/>
                <w:szCs w:val="20"/>
              </w:rPr>
              <w:t>Research related to renewable energy standards</w:t>
            </w:r>
          </w:p>
        </w:tc>
        <w:tc>
          <w:tcPr>
            <w:tcW w:w="0" w:type="auto"/>
            <w:shd w:val="clear" w:color="auto" w:fill="auto"/>
          </w:tcPr>
          <w:p w14:paraId="20922C4E" w14:textId="77777777" w:rsidR="00B4351D" w:rsidRPr="004622EC" w:rsidRDefault="00B4351D" w:rsidP="00F56772">
            <w:pPr>
              <w:autoSpaceDE w:val="0"/>
              <w:autoSpaceDN w:val="0"/>
              <w:adjustRightInd w:val="0"/>
              <w:rPr>
                <w:rFonts w:asciiTheme="majorHAnsi" w:hAnsiTheme="majorHAnsi"/>
                <w:color w:val="000000"/>
                <w:sz w:val="20"/>
                <w:szCs w:val="20"/>
              </w:rPr>
            </w:pPr>
            <w:r w:rsidRPr="004622EC">
              <w:rPr>
                <w:rFonts w:asciiTheme="majorHAnsi" w:eastAsia="Times New Roman" w:hAnsiTheme="majorHAnsi" w:cs="Arial"/>
                <w:color w:val="000000"/>
                <w:sz w:val="20"/>
                <w:szCs w:val="20"/>
                <w:lang w:val="en-GB"/>
              </w:rPr>
              <w:t>- Shift in organisational priorities</w:t>
            </w:r>
          </w:p>
        </w:tc>
        <w:tc>
          <w:tcPr>
            <w:tcW w:w="0" w:type="auto"/>
            <w:shd w:val="clear" w:color="auto" w:fill="auto"/>
          </w:tcPr>
          <w:p w14:paraId="22BA6595" w14:textId="77777777" w:rsidR="00B4351D" w:rsidRPr="004622EC" w:rsidRDefault="00B4351D" w:rsidP="00F136DA">
            <w:pPr>
              <w:autoSpaceDE w:val="0"/>
              <w:autoSpaceDN w:val="0"/>
              <w:adjustRightInd w:val="0"/>
              <w:rPr>
                <w:rFonts w:asciiTheme="majorHAnsi" w:hAnsiTheme="majorHAnsi"/>
                <w:color w:val="000000"/>
                <w:sz w:val="20"/>
                <w:szCs w:val="20"/>
              </w:rPr>
            </w:pPr>
            <w:r w:rsidRPr="004622EC">
              <w:rPr>
                <w:rFonts w:asciiTheme="majorHAnsi" w:eastAsia="Times New Roman" w:hAnsiTheme="majorHAnsi" w:cs="Arial"/>
                <w:color w:val="000000"/>
                <w:sz w:val="20"/>
                <w:szCs w:val="20"/>
                <w:lang w:val="en-GB"/>
              </w:rPr>
              <w:t>Ongoing dialogue and partnership</w:t>
            </w:r>
          </w:p>
        </w:tc>
      </w:tr>
      <w:tr w:rsidR="00B4351D" w:rsidRPr="00A70EB4" w14:paraId="5959A4AB" w14:textId="77777777" w:rsidTr="00327DFE">
        <w:tc>
          <w:tcPr>
            <w:tcW w:w="0" w:type="auto"/>
            <w:shd w:val="clear" w:color="auto" w:fill="auto"/>
          </w:tcPr>
          <w:p w14:paraId="6A4430C4" w14:textId="77777777" w:rsidR="00B4351D" w:rsidRPr="004622EC" w:rsidRDefault="001815E2" w:rsidP="00A70EB4">
            <w:pPr>
              <w:autoSpaceDE w:val="0"/>
              <w:autoSpaceDN w:val="0"/>
              <w:adjustRightInd w:val="0"/>
              <w:rPr>
                <w:rFonts w:asciiTheme="majorHAnsi" w:hAnsiTheme="majorHAnsi"/>
                <w:color w:val="000000"/>
                <w:sz w:val="20"/>
                <w:szCs w:val="20"/>
              </w:rPr>
            </w:pPr>
            <w:r w:rsidRPr="001815E2">
              <w:rPr>
                <w:rFonts w:asciiTheme="majorHAnsi" w:hAnsiTheme="majorHAnsi"/>
                <w:sz w:val="20"/>
                <w:szCs w:val="20"/>
              </w:rPr>
              <w:t>KazGBC</w:t>
            </w:r>
          </w:p>
        </w:tc>
        <w:tc>
          <w:tcPr>
            <w:tcW w:w="0" w:type="auto"/>
            <w:shd w:val="clear" w:color="auto" w:fill="auto"/>
          </w:tcPr>
          <w:p w14:paraId="550FBA46" w14:textId="77777777" w:rsidR="00B4351D" w:rsidRPr="004622EC" w:rsidRDefault="00B4351D" w:rsidP="00A70EB4">
            <w:pPr>
              <w:autoSpaceDE w:val="0"/>
              <w:autoSpaceDN w:val="0"/>
              <w:adjustRightInd w:val="0"/>
              <w:rPr>
                <w:rFonts w:asciiTheme="majorHAnsi" w:hAnsiTheme="majorHAnsi"/>
                <w:color w:val="000000"/>
                <w:sz w:val="20"/>
                <w:szCs w:val="20"/>
              </w:rPr>
            </w:pPr>
            <w:r w:rsidRPr="004622EC">
              <w:rPr>
                <w:rFonts w:asciiTheme="majorHAnsi" w:hAnsiTheme="majorHAnsi"/>
                <w:color w:val="000000"/>
                <w:sz w:val="20"/>
                <w:szCs w:val="20"/>
              </w:rPr>
              <w:t>In kind</w:t>
            </w:r>
          </w:p>
        </w:tc>
        <w:tc>
          <w:tcPr>
            <w:tcW w:w="1185" w:type="dxa"/>
            <w:shd w:val="clear" w:color="auto" w:fill="auto"/>
          </w:tcPr>
          <w:p w14:paraId="5769FEEC" w14:textId="77777777" w:rsidR="00B4351D" w:rsidRPr="004622EC" w:rsidRDefault="001815E2" w:rsidP="00A70EB4">
            <w:pPr>
              <w:autoSpaceDE w:val="0"/>
              <w:autoSpaceDN w:val="0"/>
              <w:adjustRightInd w:val="0"/>
              <w:jc w:val="right"/>
              <w:rPr>
                <w:rFonts w:asciiTheme="majorHAnsi" w:hAnsiTheme="majorHAnsi"/>
                <w:color w:val="000000"/>
                <w:sz w:val="20"/>
                <w:szCs w:val="20"/>
              </w:rPr>
            </w:pPr>
            <w:r>
              <w:rPr>
                <w:rFonts w:asciiTheme="majorHAnsi" w:hAnsiTheme="majorHAnsi"/>
                <w:color w:val="000000"/>
                <w:sz w:val="20"/>
                <w:szCs w:val="20"/>
              </w:rPr>
              <w:t>3</w:t>
            </w:r>
            <w:r w:rsidR="00B4351D" w:rsidRPr="004622EC">
              <w:rPr>
                <w:rFonts w:asciiTheme="majorHAnsi" w:hAnsiTheme="majorHAnsi"/>
                <w:color w:val="000000"/>
                <w:sz w:val="20"/>
                <w:szCs w:val="20"/>
              </w:rPr>
              <w:t>00,000</w:t>
            </w:r>
          </w:p>
        </w:tc>
        <w:tc>
          <w:tcPr>
            <w:tcW w:w="2031" w:type="dxa"/>
            <w:shd w:val="clear" w:color="auto" w:fill="auto"/>
          </w:tcPr>
          <w:p w14:paraId="1865885E" w14:textId="77777777" w:rsidR="00B4351D" w:rsidRPr="004622EC" w:rsidRDefault="00B4351D" w:rsidP="00A70EB4">
            <w:pPr>
              <w:autoSpaceDE w:val="0"/>
              <w:autoSpaceDN w:val="0"/>
              <w:adjustRightInd w:val="0"/>
              <w:rPr>
                <w:rFonts w:asciiTheme="majorHAnsi" w:hAnsiTheme="majorHAnsi"/>
                <w:color w:val="000000"/>
                <w:sz w:val="20"/>
                <w:szCs w:val="20"/>
              </w:rPr>
            </w:pPr>
            <w:r w:rsidRPr="004622EC">
              <w:rPr>
                <w:rFonts w:asciiTheme="majorHAnsi" w:hAnsiTheme="majorHAnsi"/>
                <w:color w:val="000000"/>
                <w:sz w:val="20"/>
                <w:szCs w:val="20"/>
              </w:rPr>
              <w:t>Research related to renewable energy standards</w:t>
            </w:r>
          </w:p>
        </w:tc>
        <w:tc>
          <w:tcPr>
            <w:tcW w:w="0" w:type="auto"/>
            <w:shd w:val="clear" w:color="auto" w:fill="auto"/>
          </w:tcPr>
          <w:p w14:paraId="0A2D2F74" w14:textId="77777777" w:rsidR="00B4351D" w:rsidRPr="004622EC" w:rsidRDefault="00B4351D" w:rsidP="00F56772">
            <w:pPr>
              <w:autoSpaceDE w:val="0"/>
              <w:autoSpaceDN w:val="0"/>
              <w:adjustRightInd w:val="0"/>
              <w:rPr>
                <w:rFonts w:asciiTheme="majorHAnsi" w:hAnsiTheme="majorHAnsi"/>
                <w:color w:val="000000"/>
                <w:sz w:val="20"/>
                <w:szCs w:val="20"/>
              </w:rPr>
            </w:pPr>
            <w:r w:rsidRPr="004622EC">
              <w:rPr>
                <w:rFonts w:asciiTheme="majorHAnsi" w:eastAsia="Times New Roman" w:hAnsiTheme="majorHAnsi" w:cs="Arial"/>
                <w:color w:val="000000"/>
                <w:sz w:val="20"/>
                <w:szCs w:val="20"/>
                <w:lang w:val="en-GB"/>
              </w:rPr>
              <w:t>- Shift in organisational priorities</w:t>
            </w:r>
          </w:p>
        </w:tc>
        <w:tc>
          <w:tcPr>
            <w:tcW w:w="0" w:type="auto"/>
            <w:shd w:val="clear" w:color="auto" w:fill="auto"/>
          </w:tcPr>
          <w:p w14:paraId="02823C8D" w14:textId="77777777" w:rsidR="00B4351D" w:rsidRPr="004622EC" w:rsidRDefault="00B4351D" w:rsidP="00F136DA">
            <w:pPr>
              <w:autoSpaceDE w:val="0"/>
              <w:autoSpaceDN w:val="0"/>
              <w:adjustRightInd w:val="0"/>
              <w:rPr>
                <w:rFonts w:asciiTheme="majorHAnsi" w:hAnsiTheme="majorHAnsi"/>
                <w:color w:val="000000"/>
                <w:sz w:val="20"/>
                <w:szCs w:val="20"/>
              </w:rPr>
            </w:pPr>
            <w:r w:rsidRPr="004622EC">
              <w:rPr>
                <w:rFonts w:asciiTheme="majorHAnsi" w:eastAsia="Times New Roman" w:hAnsiTheme="majorHAnsi" w:cs="Arial"/>
                <w:color w:val="000000"/>
                <w:sz w:val="20"/>
                <w:szCs w:val="20"/>
                <w:lang w:val="en-GB"/>
              </w:rPr>
              <w:t>Ongoing dialogue and partnership</w:t>
            </w:r>
          </w:p>
        </w:tc>
      </w:tr>
    </w:tbl>
    <w:p w14:paraId="5F0F1DD8" w14:textId="77777777" w:rsidR="003E3ABA" w:rsidRPr="006004D1" w:rsidRDefault="003E3ABA" w:rsidP="00A04E6F">
      <w:pPr>
        <w:autoSpaceDE w:val="0"/>
        <w:autoSpaceDN w:val="0"/>
        <w:adjustRightInd w:val="0"/>
        <w:rPr>
          <w:color w:val="000000"/>
          <w:szCs w:val="20"/>
        </w:rPr>
      </w:pPr>
    </w:p>
    <w:p w14:paraId="61F8E3A0" w14:textId="77777777" w:rsidR="005E4C83" w:rsidRPr="004622EC" w:rsidRDefault="003E3ABA" w:rsidP="0020322F">
      <w:pPr>
        <w:pStyle w:val="a7"/>
        <w:numPr>
          <w:ilvl w:val="0"/>
          <w:numId w:val="9"/>
        </w:numPr>
        <w:tabs>
          <w:tab w:val="clear" w:pos="4153"/>
          <w:tab w:val="clear" w:pos="8306"/>
          <w:tab w:val="left" w:pos="426"/>
        </w:tabs>
        <w:spacing w:after="120"/>
        <w:rPr>
          <w:szCs w:val="22"/>
        </w:rPr>
      </w:pPr>
      <w:r w:rsidRPr="004622EC">
        <w:rPr>
          <w:b/>
          <w:szCs w:val="22"/>
        </w:rPr>
        <w:t>Budget Revision and Tolerance</w:t>
      </w:r>
      <w:r w:rsidR="00AF4698" w:rsidRPr="004622EC">
        <w:rPr>
          <w:b/>
          <w:szCs w:val="22"/>
        </w:rPr>
        <w:t>:</w:t>
      </w:r>
      <w:r w:rsidR="00AF4698" w:rsidRPr="004622EC">
        <w:rPr>
          <w:szCs w:val="22"/>
        </w:rPr>
        <w:t xml:space="preserve"> As per </w:t>
      </w:r>
      <w:r w:rsidRPr="004622EC">
        <w:rPr>
          <w:szCs w:val="22"/>
        </w:rPr>
        <w:t xml:space="preserve">UNDP requirements outlined in the UNDP POPP, the </w:t>
      </w:r>
      <w:r w:rsidR="00327DFE">
        <w:rPr>
          <w:szCs w:val="22"/>
        </w:rPr>
        <w:t>Project Steering Committee</w:t>
      </w:r>
      <w:r w:rsidRPr="004622EC">
        <w:rPr>
          <w:szCs w:val="22"/>
        </w:rPr>
        <w:t xml:space="preserve"> </w:t>
      </w:r>
      <w:r w:rsidR="005E4C83" w:rsidRPr="004622EC">
        <w:rPr>
          <w:szCs w:val="22"/>
        </w:rPr>
        <w:t>will</w:t>
      </w:r>
      <w:r w:rsidRPr="004622EC">
        <w:rPr>
          <w:szCs w:val="22"/>
        </w:rPr>
        <w:t xml:space="preserve"> agree on a budget tolerance level for each plan under the overall annual work plan allowing the project </w:t>
      </w:r>
      <w:r w:rsidR="005E4C83" w:rsidRPr="004622EC">
        <w:rPr>
          <w:szCs w:val="22"/>
        </w:rPr>
        <w:t>m</w:t>
      </w:r>
      <w:r w:rsidRPr="004622EC">
        <w:rPr>
          <w:szCs w:val="22"/>
        </w:rPr>
        <w:t>anager to expend up to the tolerance level beyond the approved project budget amount for the year without requiri</w:t>
      </w:r>
      <w:r w:rsidR="007A3BCE">
        <w:rPr>
          <w:szCs w:val="22"/>
        </w:rPr>
        <w:t>ng a revision from the Project Steering Committee</w:t>
      </w:r>
      <w:r w:rsidRPr="004622EC">
        <w:rPr>
          <w:szCs w:val="22"/>
        </w:rPr>
        <w:t xml:space="preserve">. Should the following deviations occur, the Project Manager and UNDP Country Office will seek the approval of the UNDP-GEF team as these are considered major amendments by the GEF: </w:t>
      </w:r>
    </w:p>
    <w:p w14:paraId="24414A24" w14:textId="77777777" w:rsidR="005E4C83" w:rsidRPr="003D062D" w:rsidRDefault="005E4C83" w:rsidP="00C9656A">
      <w:pPr>
        <w:ind w:left="360"/>
        <w:contextualSpacing/>
        <w:jc w:val="both"/>
      </w:pPr>
      <w:r w:rsidRPr="003D062D">
        <w:t>a) B</w:t>
      </w:r>
      <w:r w:rsidR="003E3ABA" w:rsidRPr="003D062D">
        <w:t xml:space="preserve">udget re-allocations among components in the project with amounts involving 10% of the total project grant or more; </w:t>
      </w:r>
    </w:p>
    <w:p w14:paraId="77C618D2" w14:textId="77777777" w:rsidR="005E4C83" w:rsidRDefault="005E4C83" w:rsidP="00C9656A">
      <w:pPr>
        <w:ind w:left="360"/>
        <w:contextualSpacing/>
        <w:jc w:val="both"/>
      </w:pPr>
      <w:r w:rsidRPr="003D062D">
        <w:t>b) I</w:t>
      </w:r>
      <w:r w:rsidR="003E3ABA" w:rsidRPr="003D062D">
        <w:t>ntroduction of new budget items/or components that exceed 5% of original GEF allocation.</w:t>
      </w:r>
      <w:r w:rsidR="00740F26" w:rsidRPr="003D062D">
        <w:t xml:space="preserve"> </w:t>
      </w:r>
    </w:p>
    <w:p w14:paraId="05B33704" w14:textId="77777777" w:rsidR="003D062D" w:rsidRPr="003D062D" w:rsidRDefault="003D062D" w:rsidP="00C9656A">
      <w:pPr>
        <w:ind w:left="360"/>
        <w:contextualSpacing/>
        <w:jc w:val="both"/>
      </w:pPr>
    </w:p>
    <w:p w14:paraId="47523858" w14:textId="77777777" w:rsidR="00A02284" w:rsidRPr="004622EC" w:rsidRDefault="00740F26" w:rsidP="0020322F">
      <w:pPr>
        <w:pStyle w:val="a7"/>
        <w:numPr>
          <w:ilvl w:val="0"/>
          <w:numId w:val="9"/>
        </w:numPr>
        <w:tabs>
          <w:tab w:val="clear" w:pos="4153"/>
          <w:tab w:val="clear" w:pos="8306"/>
          <w:tab w:val="left" w:pos="426"/>
        </w:tabs>
        <w:spacing w:after="120"/>
        <w:rPr>
          <w:szCs w:val="22"/>
        </w:rPr>
      </w:pPr>
      <w:r w:rsidRPr="004622EC">
        <w:rPr>
          <w:szCs w:val="22"/>
        </w:rPr>
        <w:t>Any over expenditure incurred beyond the available GEF grant amount will be absorbed by non-GEF resources (e.g. UNDP TRAC or cash co-financing).</w:t>
      </w:r>
      <w:r w:rsidR="00A02284" w:rsidRPr="004622EC">
        <w:rPr>
          <w:szCs w:val="22"/>
        </w:rPr>
        <w:t xml:space="preserve"> </w:t>
      </w:r>
    </w:p>
    <w:p w14:paraId="38486209" w14:textId="77777777" w:rsidR="00A02284" w:rsidRPr="004622EC" w:rsidRDefault="00A02284" w:rsidP="0020322F">
      <w:pPr>
        <w:pStyle w:val="a7"/>
        <w:numPr>
          <w:ilvl w:val="0"/>
          <w:numId w:val="9"/>
        </w:numPr>
        <w:tabs>
          <w:tab w:val="clear" w:pos="4153"/>
          <w:tab w:val="clear" w:pos="8306"/>
          <w:tab w:val="left" w:pos="426"/>
        </w:tabs>
        <w:spacing w:after="120"/>
        <w:rPr>
          <w:szCs w:val="22"/>
        </w:rPr>
      </w:pPr>
      <w:r w:rsidRPr="004622EC">
        <w:rPr>
          <w:b/>
          <w:szCs w:val="22"/>
        </w:rPr>
        <w:t>Refund to Donor:</w:t>
      </w:r>
      <w:r w:rsidRPr="004622EC">
        <w:rPr>
          <w:szCs w:val="22"/>
        </w:rPr>
        <w:t xml:space="preserve"> Should a refund of unspent funds to the GEF be necessary, this will be managed directly by the UNDP-GEF Unit in New York. </w:t>
      </w:r>
    </w:p>
    <w:p w14:paraId="4BE5B37C" w14:textId="77777777" w:rsidR="003E3ABA" w:rsidRPr="004622EC" w:rsidRDefault="003E3ABA" w:rsidP="0020322F">
      <w:pPr>
        <w:pStyle w:val="a7"/>
        <w:numPr>
          <w:ilvl w:val="0"/>
          <w:numId w:val="9"/>
        </w:numPr>
        <w:tabs>
          <w:tab w:val="clear" w:pos="4153"/>
          <w:tab w:val="clear" w:pos="8306"/>
          <w:tab w:val="left" w:pos="426"/>
        </w:tabs>
        <w:spacing w:after="120"/>
        <w:rPr>
          <w:szCs w:val="22"/>
        </w:rPr>
      </w:pPr>
      <w:r w:rsidRPr="004622EC">
        <w:rPr>
          <w:b/>
          <w:szCs w:val="22"/>
        </w:rPr>
        <w:t>Project Closure:</w:t>
      </w:r>
      <w:r w:rsidRPr="004622EC">
        <w:rPr>
          <w:szCs w:val="22"/>
        </w:rPr>
        <w:t xml:space="preserve"> Project closu</w:t>
      </w:r>
      <w:r w:rsidR="00AF4698" w:rsidRPr="004622EC">
        <w:rPr>
          <w:szCs w:val="22"/>
        </w:rPr>
        <w:t xml:space="preserve">re will be conducted as per </w:t>
      </w:r>
      <w:r w:rsidRPr="004622EC">
        <w:rPr>
          <w:szCs w:val="22"/>
        </w:rPr>
        <w:t>UNDP requirements outlined in the UNDP POPP</w:t>
      </w:r>
      <w:r w:rsidR="00154BA8">
        <w:rPr>
          <w:rStyle w:val="afa"/>
          <w:szCs w:val="20"/>
        </w:rPr>
        <w:footnoteReference w:id="20"/>
      </w:r>
      <w:r w:rsidR="00393350" w:rsidRPr="004622EC">
        <w:rPr>
          <w:szCs w:val="22"/>
        </w:rPr>
        <w:t>.</w:t>
      </w:r>
      <w:r w:rsidRPr="004622EC">
        <w:rPr>
          <w:szCs w:val="22"/>
        </w:rPr>
        <w:t xml:space="preserve"> On an exception</w:t>
      </w:r>
      <w:r w:rsidR="00393350" w:rsidRPr="004622EC">
        <w:rPr>
          <w:szCs w:val="22"/>
        </w:rPr>
        <w:t>al</w:t>
      </w:r>
      <w:r w:rsidRPr="004622EC">
        <w:rPr>
          <w:szCs w:val="22"/>
        </w:rPr>
        <w:t xml:space="preserve"> basis only, a no-cost extension beyond the initial duration of the project will be sought from in-country UNDP colleagues and then the UNDP-GEF Executive Coordinator. </w:t>
      </w:r>
    </w:p>
    <w:p w14:paraId="46236913" w14:textId="77777777" w:rsidR="003E3ABA" w:rsidRPr="004622EC" w:rsidRDefault="003E3ABA" w:rsidP="0020322F">
      <w:pPr>
        <w:pStyle w:val="a7"/>
        <w:numPr>
          <w:ilvl w:val="0"/>
          <w:numId w:val="9"/>
        </w:numPr>
        <w:tabs>
          <w:tab w:val="clear" w:pos="4153"/>
          <w:tab w:val="clear" w:pos="8306"/>
          <w:tab w:val="left" w:pos="426"/>
        </w:tabs>
        <w:spacing w:after="120"/>
        <w:rPr>
          <w:szCs w:val="22"/>
        </w:rPr>
      </w:pPr>
      <w:r w:rsidRPr="004622EC">
        <w:rPr>
          <w:b/>
          <w:szCs w:val="22"/>
        </w:rPr>
        <w:t>Operational completion:</w:t>
      </w:r>
      <w:r w:rsidRPr="004622EC">
        <w:rPr>
          <w:szCs w:val="22"/>
        </w:rPr>
        <w:t xml:space="preserve"> The project will be operationally completed when the last UNDP-financed inputs have been provided and the related activities have been completed</w:t>
      </w:r>
      <w:r w:rsidR="00AF4698" w:rsidRPr="004622EC">
        <w:rPr>
          <w:szCs w:val="22"/>
        </w:rPr>
        <w:t xml:space="preserve">. </w:t>
      </w:r>
      <w:r w:rsidR="00393350" w:rsidRPr="004622EC">
        <w:rPr>
          <w:szCs w:val="22"/>
        </w:rPr>
        <w:t xml:space="preserve">This </w:t>
      </w:r>
      <w:r w:rsidRPr="004622EC">
        <w:rPr>
          <w:szCs w:val="22"/>
        </w:rPr>
        <w:t>includ</w:t>
      </w:r>
      <w:r w:rsidR="00393350" w:rsidRPr="004622EC">
        <w:rPr>
          <w:szCs w:val="22"/>
        </w:rPr>
        <w:t>es</w:t>
      </w:r>
      <w:r w:rsidRPr="004622EC">
        <w:rPr>
          <w:szCs w:val="22"/>
        </w:rPr>
        <w:t xml:space="preserve"> the final clearance of the Terminal Evaluation Report </w:t>
      </w:r>
      <w:r w:rsidR="00393350" w:rsidRPr="004622EC">
        <w:rPr>
          <w:szCs w:val="22"/>
        </w:rPr>
        <w:t>(</w:t>
      </w:r>
      <w:r w:rsidR="005E4C83" w:rsidRPr="004622EC">
        <w:rPr>
          <w:szCs w:val="22"/>
        </w:rPr>
        <w:t xml:space="preserve">that will be available </w:t>
      </w:r>
      <w:r w:rsidR="00393350" w:rsidRPr="004622EC">
        <w:rPr>
          <w:szCs w:val="22"/>
        </w:rPr>
        <w:t xml:space="preserve">in </w:t>
      </w:r>
      <w:r w:rsidRPr="004622EC">
        <w:rPr>
          <w:szCs w:val="22"/>
        </w:rPr>
        <w:t>English</w:t>
      </w:r>
      <w:r w:rsidR="00393350" w:rsidRPr="004622EC">
        <w:rPr>
          <w:szCs w:val="22"/>
        </w:rPr>
        <w:t xml:space="preserve">) and </w:t>
      </w:r>
      <w:r w:rsidR="005E4C83" w:rsidRPr="004622EC">
        <w:rPr>
          <w:szCs w:val="22"/>
        </w:rPr>
        <w:t xml:space="preserve">the corresponding management response, and </w:t>
      </w:r>
      <w:r w:rsidR="00393350" w:rsidRPr="004622EC">
        <w:rPr>
          <w:szCs w:val="22"/>
        </w:rPr>
        <w:t xml:space="preserve">the end-of-project </w:t>
      </w:r>
      <w:r w:rsidR="005E4C83" w:rsidRPr="004622EC">
        <w:rPr>
          <w:szCs w:val="22"/>
        </w:rPr>
        <w:t xml:space="preserve">review </w:t>
      </w:r>
      <w:r w:rsidR="007A3BCE">
        <w:rPr>
          <w:szCs w:val="22"/>
        </w:rPr>
        <w:t>PSC</w:t>
      </w:r>
      <w:r w:rsidR="00393350" w:rsidRPr="004622EC">
        <w:rPr>
          <w:szCs w:val="22"/>
        </w:rPr>
        <w:t xml:space="preserve"> m</w:t>
      </w:r>
      <w:r w:rsidRPr="004622EC">
        <w:rPr>
          <w:szCs w:val="22"/>
        </w:rPr>
        <w:t xml:space="preserve">eeting. The Implementing Partner through a </w:t>
      </w:r>
      <w:r w:rsidR="007A3BCE">
        <w:rPr>
          <w:szCs w:val="22"/>
        </w:rPr>
        <w:t>PSC</w:t>
      </w:r>
      <w:r w:rsidRPr="004622EC">
        <w:rPr>
          <w:szCs w:val="22"/>
        </w:rPr>
        <w:t xml:space="preserve"> decision will notify </w:t>
      </w:r>
      <w:r w:rsidR="005E4C83" w:rsidRPr="004622EC">
        <w:rPr>
          <w:szCs w:val="22"/>
        </w:rPr>
        <w:t xml:space="preserve">the UNDP Country Office when </w:t>
      </w:r>
      <w:r w:rsidRPr="004622EC">
        <w:rPr>
          <w:szCs w:val="22"/>
        </w:rPr>
        <w:t xml:space="preserve">operational closure has been completed. </w:t>
      </w:r>
      <w:r w:rsidR="009E3075" w:rsidRPr="004622EC">
        <w:rPr>
          <w:szCs w:val="22"/>
        </w:rPr>
        <w:t>At this time, t</w:t>
      </w:r>
      <w:r w:rsidRPr="004622EC">
        <w:rPr>
          <w:szCs w:val="22"/>
        </w:rPr>
        <w:t xml:space="preserve">he relevant parties </w:t>
      </w:r>
      <w:r w:rsidR="005E4C83" w:rsidRPr="004622EC">
        <w:rPr>
          <w:szCs w:val="22"/>
        </w:rPr>
        <w:t>will</w:t>
      </w:r>
      <w:r w:rsidR="00740F26" w:rsidRPr="004622EC">
        <w:rPr>
          <w:szCs w:val="22"/>
        </w:rPr>
        <w:t xml:space="preserve"> have already agreed and confirmed in writing o</w:t>
      </w:r>
      <w:r w:rsidRPr="004622EC">
        <w:rPr>
          <w:szCs w:val="22"/>
        </w:rPr>
        <w:t xml:space="preserve">n the </w:t>
      </w:r>
      <w:r w:rsidR="00740F26" w:rsidRPr="004622EC">
        <w:rPr>
          <w:szCs w:val="22"/>
        </w:rPr>
        <w:t xml:space="preserve">arrangements for the </w:t>
      </w:r>
      <w:r w:rsidRPr="004622EC">
        <w:rPr>
          <w:szCs w:val="22"/>
        </w:rPr>
        <w:t xml:space="preserve">disposal of any equipment that is still the property of UNDP. </w:t>
      </w:r>
    </w:p>
    <w:p w14:paraId="5782CD40" w14:textId="77777777" w:rsidR="005E4C83" w:rsidRPr="004622EC" w:rsidRDefault="003E3ABA" w:rsidP="0020322F">
      <w:pPr>
        <w:pStyle w:val="a7"/>
        <w:numPr>
          <w:ilvl w:val="0"/>
          <w:numId w:val="9"/>
        </w:numPr>
        <w:tabs>
          <w:tab w:val="clear" w:pos="4153"/>
          <w:tab w:val="clear" w:pos="8306"/>
          <w:tab w:val="left" w:pos="426"/>
        </w:tabs>
        <w:spacing w:after="120"/>
        <w:rPr>
          <w:szCs w:val="22"/>
        </w:rPr>
      </w:pPr>
      <w:r w:rsidRPr="004622EC">
        <w:rPr>
          <w:b/>
          <w:szCs w:val="22"/>
        </w:rPr>
        <w:t>Financial completion:</w:t>
      </w:r>
      <w:r w:rsidRPr="004622EC">
        <w:rPr>
          <w:szCs w:val="22"/>
        </w:rPr>
        <w:t xml:space="preserve"> The project will be financially closed when the following conditions have been met: </w:t>
      </w:r>
    </w:p>
    <w:p w14:paraId="5008F7CD" w14:textId="77777777" w:rsidR="005E4C83" w:rsidRPr="003D062D" w:rsidRDefault="003E3ABA" w:rsidP="00C9656A">
      <w:pPr>
        <w:ind w:left="360"/>
        <w:contextualSpacing/>
        <w:jc w:val="both"/>
      </w:pPr>
      <w:r w:rsidRPr="003D062D">
        <w:t xml:space="preserve">a) </w:t>
      </w:r>
      <w:r w:rsidR="005E4C83" w:rsidRPr="003D062D">
        <w:t>T</w:t>
      </w:r>
      <w:r w:rsidRPr="003D062D">
        <w:t xml:space="preserve">he project is operationally completed or has been cancelled; </w:t>
      </w:r>
    </w:p>
    <w:p w14:paraId="03174E5D" w14:textId="77777777" w:rsidR="005E4C83" w:rsidRPr="003D062D" w:rsidRDefault="003E3ABA" w:rsidP="00C9656A">
      <w:pPr>
        <w:ind w:left="360"/>
        <w:contextualSpacing/>
        <w:jc w:val="both"/>
      </w:pPr>
      <w:r w:rsidRPr="003D062D">
        <w:t xml:space="preserve">b) </w:t>
      </w:r>
      <w:r w:rsidR="005E4C83" w:rsidRPr="003D062D">
        <w:t>T</w:t>
      </w:r>
      <w:r w:rsidRPr="003D062D">
        <w:t xml:space="preserve">he </w:t>
      </w:r>
      <w:r w:rsidR="005E4C83" w:rsidRPr="003D062D">
        <w:t>Implementing P</w:t>
      </w:r>
      <w:r w:rsidRPr="003D062D">
        <w:t xml:space="preserve">artner has reported all financial transactions to UNDP; </w:t>
      </w:r>
    </w:p>
    <w:p w14:paraId="302605ED" w14:textId="77777777" w:rsidR="005E4C83" w:rsidRPr="003D062D" w:rsidRDefault="003E3ABA" w:rsidP="00C9656A">
      <w:pPr>
        <w:ind w:left="360"/>
        <w:contextualSpacing/>
        <w:jc w:val="both"/>
      </w:pPr>
      <w:r w:rsidRPr="003D062D">
        <w:t xml:space="preserve">c) UNDP has closed the accounts for the project; </w:t>
      </w:r>
    </w:p>
    <w:p w14:paraId="3DBE1B29" w14:textId="77777777" w:rsidR="003E3ABA" w:rsidRDefault="002C5C7C" w:rsidP="00C9656A">
      <w:pPr>
        <w:ind w:left="360"/>
        <w:contextualSpacing/>
        <w:jc w:val="both"/>
      </w:pPr>
      <w:r w:rsidRPr="003D062D">
        <w:t>d) UNDP and the Implementing P</w:t>
      </w:r>
      <w:r w:rsidR="003E3ABA" w:rsidRPr="003D062D">
        <w:t xml:space="preserve">artner have certified a final Combined Delivery Report (which serves as final budget revision). </w:t>
      </w:r>
    </w:p>
    <w:p w14:paraId="4124B801" w14:textId="77777777" w:rsidR="003D062D" w:rsidRPr="003D062D" w:rsidRDefault="003D062D" w:rsidP="00C9656A">
      <w:pPr>
        <w:ind w:left="360"/>
        <w:contextualSpacing/>
        <w:jc w:val="both"/>
      </w:pPr>
    </w:p>
    <w:p w14:paraId="38B3DC79" w14:textId="77777777" w:rsidR="00A12502" w:rsidRDefault="003E3ABA" w:rsidP="0020322F">
      <w:pPr>
        <w:pStyle w:val="a7"/>
        <w:numPr>
          <w:ilvl w:val="0"/>
          <w:numId w:val="9"/>
        </w:numPr>
        <w:tabs>
          <w:tab w:val="clear" w:pos="4153"/>
          <w:tab w:val="clear" w:pos="8306"/>
          <w:tab w:val="left" w:pos="426"/>
        </w:tabs>
        <w:spacing w:after="120"/>
        <w:rPr>
          <w:szCs w:val="22"/>
        </w:rPr>
      </w:pPr>
      <w:r w:rsidRPr="004622EC">
        <w:rPr>
          <w:szCs w:val="22"/>
        </w:rPr>
        <w:t xml:space="preserve">The project will be financially completed within 12 months of operational closure or after the date of cancellation.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UNDP-GEF Unit for confirmation before the project will be financially closed in Atlas by the </w:t>
      </w:r>
      <w:r w:rsidR="005E4C83" w:rsidRPr="004622EC">
        <w:rPr>
          <w:szCs w:val="22"/>
        </w:rPr>
        <w:t xml:space="preserve">UNDP </w:t>
      </w:r>
      <w:r w:rsidR="00A12502">
        <w:rPr>
          <w:szCs w:val="22"/>
        </w:rPr>
        <w:t>Country Offic</w:t>
      </w:r>
      <w:r w:rsidR="00476785">
        <w:rPr>
          <w:szCs w:val="22"/>
        </w:rPr>
        <w:t>e.</w:t>
      </w:r>
    </w:p>
    <w:p w14:paraId="671DED30" w14:textId="77777777" w:rsidR="003E3ABA" w:rsidRPr="006004D1" w:rsidRDefault="003E3ABA" w:rsidP="00A04E6F">
      <w:pPr>
        <w:rPr>
          <w:rFonts w:cs="Segoe UI"/>
          <w:color w:val="000000"/>
          <w:szCs w:val="20"/>
        </w:rPr>
      </w:pPr>
    </w:p>
    <w:p w14:paraId="02214579" w14:textId="77777777" w:rsidR="00740F26" w:rsidRPr="006004D1" w:rsidRDefault="00740F26" w:rsidP="00A04E6F">
      <w:pPr>
        <w:rPr>
          <w:b/>
          <w:smallCaps/>
          <w:spacing w:val="-2"/>
          <w:sz w:val="28"/>
          <w:szCs w:val="28"/>
        </w:rPr>
        <w:sectPr w:rsidR="00740F26" w:rsidRPr="006004D1" w:rsidSect="004622EC">
          <w:headerReference w:type="default" r:id="rId37"/>
          <w:footerReference w:type="default" r:id="rId38"/>
          <w:footerReference w:type="first" r:id="rId39"/>
          <w:pgSz w:w="11900" w:h="16840" w:code="1"/>
          <w:pgMar w:top="1440" w:right="1440" w:bottom="1440" w:left="1440" w:header="720" w:footer="432" w:gutter="0"/>
          <w:cols w:space="708"/>
          <w:titlePg/>
          <w:docGrid w:linePitch="360"/>
        </w:sectPr>
      </w:pPr>
    </w:p>
    <w:p w14:paraId="5172F02C" w14:textId="77777777" w:rsidR="003E3ABA" w:rsidRPr="00005667" w:rsidRDefault="003E3ABA" w:rsidP="003B2A79">
      <w:pPr>
        <w:pStyle w:val="1"/>
        <w:spacing w:before="0" w:after="60"/>
        <w:rPr>
          <w:rFonts w:ascii="Calibri" w:hAnsi="Calibri"/>
          <w:szCs w:val="28"/>
        </w:rPr>
      </w:pPr>
      <w:bookmarkStart w:id="100" w:name="_Toc479693888"/>
      <w:r w:rsidRPr="00005667">
        <w:rPr>
          <w:rFonts w:ascii="Calibri" w:hAnsi="Calibri"/>
          <w:szCs w:val="28"/>
        </w:rPr>
        <w:t>Total Budget and Work Plan</w:t>
      </w:r>
      <w:bookmarkEnd w:id="100"/>
    </w:p>
    <w:p w14:paraId="4174B130" w14:textId="77777777" w:rsidR="003F6BD5" w:rsidRPr="006004D1" w:rsidRDefault="003F6BD5" w:rsidP="00C658DC">
      <w:pPr>
        <w:rPr>
          <w:i/>
          <w:szCs w:val="20"/>
        </w:rPr>
      </w:pPr>
    </w:p>
    <w:tbl>
      <w:tblPr>
        <w:tblW w:w="14125" w:type="dxa"/>
        <w:tblLayout w:type="fixed"/>
        <w:tblLook w:val="04A0" w:firstRow="1" w:lastRow="0" w:firstColumn="1" w:lastColumn="0" w:noHBand="0" w:noVBand="1"/>
      </w:tblPr>
      <w:tblGrid>
        <w:gridCol w:w="3087"/>
        <w:gridCol w:w="3745"/>
        <w:gridCol w:w="3748"/>
        <w:gridCol w:w="3545"/>
      </w:tblGrid>
      <w:tr w:rsidR="00C658DC" w:rsidRPr="003D062D" w14:paraId="1A5CAA74" w14:textId="77777777" w:rsidTr="003D062D">
        <w:trPr>
          <w:trHeight w:val="314"/>
        </w:trPr>
        <w:tc>
          <w:tcPr>
            <w:tcW w:w="30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E49D1" w14:textId="77777777" w:rsidR="00C658DC" w:rsidRPr="003D062D" w:rsidRDefault="00C658DC" w:rsidP="00F32F06">
            <w:pPr>
              <w:rPr>
                <w:rFonts w:cs="Arial"/>
                <w:b/>
                <w:bCs/>
                <w:color w:val="000000"/>
                <w:sz w:val="18"/>
                <w:szCs w:val="16"/>
                <w:lang w:eastAsia="zh-CN"/>
              </w:rPr>
            </w:pPr>
            <w:r w:rsidRPr="003D062D">
              <w:rPr>
                <w:rFonts w:cs="Arial"/>
                <w:b/>
                <w:bCs/>
                <w:color w:val="000000"/>
                <w:sz w:val="18"/>
                <w:szCs w:val="16"/>
                <w:lang w:eastAsia="zh-CN"/>
              </w:rPr>
              <w:t>Atlas Proposal or Award ID:</w:t>
            </w:r>
          </w:p>
        </w:tc>
        <w:tc>
          <w:tcPr>
            <w:tcW w:w="3745" w:type="dxa"/>
            <w:tcBorders>
              <w:top w:val="single" w:sz="4" w:space="0" w:color="auto"/>
              <w:left w:val="nil"/>
              <w:bottom w:val="single" w:sz="4" w:space="0" w:color="auto"/>
              <w:right w:val="single" w:sz="4" w:space="0" w:color="000000"/>
            </w:tcBorders>
            <w:shd w:val="clear" w:color="auto" w:fill="auto"/>
            <w:noWrap/>
            <w:vAlign w:val="center"/>
          </w:tcPr>
          <w:p w14:paraId="0322A66E" w14:textId="427B12B6" w:rsidR="00C658DC" w:rsidRPr="003D062D" w:rsidRDefault="003F6BD5" w:rsidP="00F32F06">
            <w:pPr>
              <w:rPr>
                <w:rFonts w:cs="Arial"/>
                <w:bCs/>
                <w:color w:val="000000"/>
                <w:sz w:val="18"/>
                <w:szCs w:val="16"/>
                <w:lang w:eastAsia="zh-CN"/>
              </w:rPr>
            </w:pPr>
            <w:r w:rsidRPr="00A4185A">
              <w:rPr>
                <w:color w:val="000000"/>
                <w:sz w:val="18"/>
                <w:szCs w:val="18"/>
              </w:rPr>
              <w:t>00097249</w:t>
            </w:r>
          </w:p>
        </w:tc>
        <w:tc>
          <w:tcPr>
            <w:tcW w:w="3748" w:type="dxa"/>
            <w:tcBorders>
              <w:top w:val="single" w:sz="4" w:space="0" w:color="auto"/>
              <w:left w:val="nil"/>
              <w:bottom w:val="single" w:sz="4" w:space="0" w:color="auto"/>
              <w:right w:val="single" w:sz="4" w:space="0" w:color="000000"/>
            </w:tcBorders>
            <w:shd w:val="clear" w:color="auto" w:fill="auto"/>
            <w:vAlign w:val="center"/>
          </w:tcPr>
          <w:p w14:paraId="635772B8" w14:textId="77777777" w:rsidR="00C658DC" w:rsidRPr="003D062D" w:rsidRDefault="00C658DC" w:rsidP="00F32F06">
            <w:pPr>
              <w:rPr>
                <w:rFonts w:cs="Arial"/>
                <w:b/>
                <w:bCs/>
                <w:color w:val="000000"/>
                <w:sz w:val="18"/>
                <w:szCs w:val="16"/>
                <w:lang w:eastAsia="zh-CN"/>
              </w:rPr>
            </w:pPr>
            <w:r w:rsidRPr="003D062D">
              <w:rPr>
                <w:rFonts w:cs="Arial"/>
                <w:b/>
                <w:bCs/>
                <w:color w:val="000000"/>
                <w:sz w:val="18"/>
                <w:szCs w:val="16"/>
                <w:lang w:eastAsia="zh-CN"/>
              </w:rPr>
              <w:t>Atlas Primary Output Project ID:</w:t>
            </w:r>
          </w:p>
        </w:tc>
        <w:tc>
          <w:tcPr>
            <w:tcW w:w="3545" w:type="dxa"/>
            <w:tcBorders>
              <w:top w:val="single" w:sz="4" w:space="0" w:color="auto"/>
              <w:left w:val="nil"/>
              <w:bottom w:val="single" w:sz="4" w:space="0" w:color="auto"/>
              <w:right w:val="single" w:sz="4" w:space="0" w:color="000000"/>
            </w:tcBorders>
            <w:shd w:val="clear" w:color="auto" w:fill="auto"/>
            <w:vAlign w:val="center"/>
          </w:tcPr>
          <w:p w14:paraId="2CD8F5DB" w14:textId="0689AD8E" w:rsidR="00C658DC" w:rsidRPr="003D062D" w:rsidRDefault="003F6BD5" w:rsidP="00F32F06">
            <w:pPr>
              <w:rPr>
                <w:rFonts w:cs="Arial"/>
                <w:bCs/>
                <w:color w:val="000000"/>
                <w:sz w:val="18"/>
                <w:szCs w:val="16"/>
                <w:lang w:eastAsia="zh-CN"/>
              </w:rPr>
            </w:pPr>
            <w:r w:rsidRPr="00A4185A">
              <w:rPr>
                <w:color w:val="000000"/>
                <w:sz w:val="18"/>
                <w:szCs w:val="18"/>
              </w:rPr>
              <w:t>00101058</w:t>
            </w:r>
          </w:p>
        </w:tc>
      </w:tr>
      <w:tr w:rsidR="00C658DC" w:rsidRPr="003D062D" w14:paraId="4AFE2465" w14:textId="77777777" w:rsidTr="003D062D">
        <w:trPr>
          <w:trHeight w:val="77"/>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7003DA16" w14:textId="77777777" w:rsidR="00C658DC" w:rsidRPr="003D062D" w:rsidRDefault="00C658DC" w:rsidP="00F32F06">
            <w:pPr>
              <w:rPr>
                <w:rFonts w:cs="Arial"/>
                <w:b/>
                <w:bCs/>
                <w:color w:val="000000"/>
                <w:sz w:val="18"/>
                <w:szCs w:val="16"/>
                <w:lang w:eastAsia="zh-CN"/>
              </w:rPr>
            </w:pPr>
            <w:r w:rsidRPr="003D062D">
              <w:rPr>
                <w:rFonts w:cs="Arial"/>
                <w:b/>
                <w:bCs/>
                <w:color w:val="000000"/>
                <w:sz w:val="18"/>
                <w:szCs w:val="16"/>
                <w:lang w:eastAsia="zh-CN"/>
              </w:rPr>
              <w:t>Atlas Proposal or Award Title:</w:t>
            </w:r>
          </w:p>
        </w:tc>
        <w:tc>
          <w:tcPr>
            <w:tcW w:w="11038" w:type="dxa"/>
            <w:gridSpan w:val="3"/>
            <w:tcBorders>
              <w:top w:val="single" w:sz="4" w:space="0" w:color="auto"/>
              <w:left w:val="nil"/>
              <w:bottom w:val="single" w:sz="4" w:space="0" w:color="auto"/>
              <w:right w:val="single" w:sz="4" w:space="0" w:color="000000"/>
            </w:tcBorders>
            <w:shd w:val="clear" w:color="auto" w:fill="auto"/>
            <w:noWrap/>
            <w:vAlign w:val="center"/>
          </w:tcPr>
          <w:p w14:paraId="5ED275CD" w14:textId="77777777" w:rsidR="00C658DC" w:rsidRPr="003D062D" w:rsidRDefault="0039021E" w:rsidP="00F32F06">
            <w:pPr>
              <w:rPr>
                <w:rFonts w:cs="Arial"/>
                <w:bCs/>
                <w:color w:val="000000"/>
                <w:szCs w:val="20"/>
                <w:lang w:eastAsia="zh-CN"/>
              </w:rPr>
            </w:pPr>
            <w:r w:rsidRPr="003D062D">
              <w:rPr>
                <w:color w:val="000000"/>
                <w:sz w:val="18"/>
                <w:szCs w:val="18"/>
              </w:rPr>
              <w:t>Derisking Renewable Energy Investment in Kazakhstan</w:t>
            </w:r>
          </w:p>
        </w:tc>
      </w:tr>
      <w:tr w:rsidR="00C658DC" w:rsidRPr="003D062D" w14:paraId="67218A64" w14:textId="77777777" w:rsidTr="0035385F">
        <w:trPr>
          <w:trHeight w:val="260"/>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12C71840" w14:textId="77777777" w:rsidR="00C658DC" w:rsidRPr="003D062D" w:rsidRDefault="00C658DC" w:rsidP="00F32F06">
            <w:pPr>
              <w:rPr>
                <w:rFonts w:cs="Arial"/>
                <w:b/>
                <w:bCs/>
                <w:color w:val="000000"/>
                <w:sz w:val="18"/>
                <w:szCs w:val="16"/>
                <w:lang w:eastAsia="zh-CN"/>
              </w:rPr>
            </w:pPr>
            <w:r w:rsidRPr="003D062D">
              <w:rPr>
                <w:rFonts w:cs="Arial"/>
                <w:b/>
                <w:bCs/>
                <w:color w:val="000000"/>
                <w:sz w:val="18"/>
                <w:szCs w:val="16"/>
                <w:lang w:eastAsia="zh-CN"/>
              </w:rPr>
              <w:t>Atlas Business Unit</w:t>
            </w:r>
          </w:p>
        </w:tc>
        <w:tc>
          <w:tcPr>
            <w:tcW w:w="11038" w:type="dxa"/>
            <w:gridSpan w:val="3"/>
            <w:tcBorders>
              <w:top w:val="single" w:sz="4" w:space="0" w:color="auto"/>
              <w:left w:val="nil"/>
              <w:bottom w:val="single" w:sz="4" w:space="0" w:color="auto"/>
              <w:right w:val="single" w:sz="4" w:space="0" w:color="000000"/>
            </w:tcBorders>
            <w:shd w:val="clear" w:color="auto" w:fill="auto"/>
            <w:noWrap/>
            <w:vAlign w:val="center"/>
          </w:tcPr>
          <w:p w14:paraId="7AFA15C1" w14:textId="6AD3E777" w:rsidR="00C658DC" w:rsidRPr="003D062D" w:rsidRDefault="0035385F" w:rsidP="00F32F06">
            <w:pPr>
              <w:rPr>
                <w:rFonts w:cs="Arial"/>
                <w:bCs/>
                <w:iCs/>
                <w:color w:val="000000"/>
                <w:sz w:val="18"/>
                <w:szCs w:val="18"/>
                <w:highlight w:val="yellow"/>
                <w:lang w:eastAsia="zh-CN"/>
              </w:rPr>
            </w:pPr>
            <w:r w:rsidRPr="002215DF">
              <w:rPr>
                <w:rFonts w:cs="Arial"/>
                <w:bCs/>
                <w:iCs/>
                <w:color w:val="000000"/>
                <w:sz w:val="18"/>
                <w:szCs w:val="18"/>
                <w:lang w:eastAsia="zh-CN"/>
              </w:rPr>
              <w:t>KAZ10</w:t>
            </w:r>
          </w:p>
        </w:tc>
      </w:tr>
      <w:tr w:rsidR="00C658DC" w:rsidRPr="003D062D" w14:paraId="555F0E46" w14:textId="77777777" w:rsidTr="003D062D">
        <w:trPr>
          <w:trHeight w:val="242"/>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0CC71325" w14:textId="77777777" w:rsidR="00C658DC" w:rsidRPr="003D062D" w:rsidRDefault="00C658DC" w:rsidP="00F32F06">
            <w:pPr>
              <w:rPr>
                <w:rFonts w:cs="Arial"/>
                <w:b/>
                <w:bCs/>
                <w:color w:val="000000"/>
                <w:sz w:val="18"/>
                <w:szCs w:val="16"/>
                <w:lang w:eastAsia="zh-CN"/>
              </w:rPr>
            </w:pPr>
            <w:r w:rsidRPr="003D062D">
              <w:rPr>
                <w:rFonts w:cs="Arial"/>
                <w:b/>
                <w:bCs/>
                <w:color w:val="000000"/>
                <w:sz w:val="18"/>
                <w:szCs w:val="16"/>
                <w:lang w:eastAsia="zh-CN"/>
              </w:rPr>
              <w:t>Atlas Primary Output Project Title</w:t>
            </w:r>
          </w:p>
        </w:tc>
        <w:tc>
          <w:tcPr>
            <w:tcW w:w="11038" w:type="dxa"/>
            <w:gridSpan w:val="3"/>
            <w:tcBorders>
              <w:top w:val="single" w:sz="4" w:space="0" w:color="auto"/>
              <w:left w:val="nil"/>
              <w:bottom w:val="single" w:sz="4" w:space="0" w:color="auto"/>
              <w:right w:val="single" w:sz="4" w:space="0" w:color="000000"/>
            </w:tcBorders>
            <w:shd w:val="clear" w:color="auto" w:fill="auto"/>
            <w:noWrap/>
            <w:vAlign w:val="center"/>
          </w:tcPr>
          <w:p w14:paraId="4C362CBC" w14:textId="77777777" w:rsidR="00C658DC" w:rsidRPr="003D062D" w:rsidRDefault="003D062D" w:rsidP="00F32F06">
            <w:pPr>
              <w:rPr>
                <w:rFonts w:cs="Arial"/>
                <w:bCs/>
                <w:color w:val="000000"/>
                <w:sz w:val="18"/>
                <w:szCs w:val="18"/>
                <w:lang w:eastAsia="zh-CN"/>
              </w:rPr>
            </w:pPr>
            <w:r w:rsidRPr="003D062D">
              <w:rPr>
                <w:color w:val="000000"/>
                <w:sz w:val="18"/>
                <w:szCs w:val="18"/>
              </w:rPr>
              <w:t>Derisking Renewable Energy Investment in Kazakhstan</w:t>
            </w:r>
          </w:p>
        </w:tc>
      </w:tr>
      <w:tr w:rsidR="00C658DC" w:rsidRPr="003D062D" w14:paraId="37D75F22" w14:textId="77777777" w:rsidTr="003D062D">
        <w:trPr>
          <w:trHeight w:val="77"/>
        </w:trPr>
        <w:tc>
          <w:tcPr>
            <w:tcW w:w="3087" w:type="dxa"/>
            <w:tcBorders>
              <w:top w:val="nil"/>
              <w:left w:val="single" w:sz="4" w:space="0" w:color="auto"/>
              <w:bottom w:val="single" w:sz="4" w:space="0" w:color="auto"/>
              <w:right w:val="single" w:sz="4" w:space="0" w:color="auto"/>
            </w:tcBorders>
            <w:shd w:val="clear" w:color="auto" w:fill="auto"/>
            <w:noWrap/>
            <w:vAlign w:val="center"/>
            <w:hideMark/>
          </w:tcPr>
          <w:p w14:paraId="3AB37570" w14:textId="77777777" w:rsidR="00C658DC" w:rsidRPr="003D062D" w:rsidRDefault="00C658DC" w:rsidP="00F32F06">
            <w:pPr>
              <w:rPr>
                <w:rFonts w:cs="Arial"/>
                <w:b/>
                <w:bCs/>
                <w:color w:val="000000"/>
                <w:sz w:val="18"/>
                <w:szCs w:val="16"/>
                <w:lang w:eastAsia="zh-CN"/>
              </w:rPr>
            </w:pPr>
            <w:r w:rsidRPr="003D062D">
              <w:rPr>
                <w:rFonts w:cs="Arial"/>
                <w:b/>
                <w:bCs/>
                <w:color w:val="000000"/>
                <w:sz w:val="18"/>
                <w:szCs w:val="16"/>
                <w:lang w:eastAsia="zh-CN"/>
              </w:rPr>
              <w:t xml:space="preserve">UNDP-GEF PIMS No. </w:t>
            </w:r>
          </w:p>
        </w:tc>
        <w:tc>
          <w:tcPr>
            <w:tcW w:w="11038" w:type="dxa"/>
            <w:gridSpan w:val="3"/>
            <w:tcBorders>
              <w:top w:val="single" w:sz="4" w:space="0" w:color="auto"/>
              <w:left w:val="nil"/>
              <w:bottom w:val="single" w:sz="4" w:space="0" w:color="auto"/>
              <w:right w:val="single" w:sz="4" w:space="0" w:color="auto"/>
            </w:tcBorders>
            <w:shd w:val="clear" w:color="auto" w:fill="auto"/>
            <w:noWrap/>
            <w:vAlign w:val="center"/>
          </w:tcPr>
          <w:p w14:paraId="11AD13A5" w14:textId="77777777" w:rsidR="00C658DC" w:rsidRPr="003D062D" w:rsidRDefault="00C658DC" w:rsidP="00F32F06">
            <w:pPr>
              <w:rPr>
                <w:rFonts w:cs="Arial"/>
                <w:bCs/>
                <w:color w:val="000000"/>
                <w:sz w:val="18"/>
                <w:szCs w:val="18"/>
                <w:lang w:eastAsia="zh-CN"/>
              </w:rPr>
            </w:pPr>
            <w:r w:rsidRPr="003D062D">
              <w:rPr>
                <w:rFonts w:cs="Arial"/>
                <w:bCs/>
                <w:color w:val="000000"/>
                <w:sz w:val="18"/>
                <w:szCs w:val="18"/>
                <w:lang w:eastAsia="zh-CN"/>
              </w:rPr>
              <w:t>5490</w:t>
            </w:r>
          </w:p>
        </w:tc>
      </w:tr>
      <w:tr w:rsidR="00C658DC" w:rsidRPr="003D062D" w14:paraId="172746B0" w14:textId="77777777" w:rsidTr="00C368DC">
        <w:trPr>
          <w:trHeight w:val="188"/>
        </w:trPr>
        <w:tc>
          <w:tcPr>
            <w:tcW w:w="3087" w:type="dxa"/>
            <w:tcBorders>
              <w:top w:val="nil"/>
              <w:left w:val="single" w:sz="4" w:space="0" w:color="auto"/>
              <w:bottom w:val="single" w:sz="4" w:space="0" w:color="auto"/>
              <w:right w:val="single" w:sz="4" w:space="0" w:color="auto"/>
            </w:tcBorders>
            <w:shd w:val="clear" w:color="auto" w:fill="auto"/>
            <w:vAlign w:val="center"/>
            <w:hideMark/>
          </w:tcPr>
          <w:p w14:paraId="5C696C0C" w14:textId="77777777" w:rsidR="00C658DC" w:rsidRPr="003D062D" w:rsidRDefault="00C658DC" w:rsidP="00F32F06">
            <w:pPr>
              <w:rPr>
                <w:rFonts w:cs="Arial"/>
                <w:b/>
                <w:bCs/>
                <w:color w:val="000000"/>
                <w:sz w:val="18"/>
                <w:szCs w:val="16"/>
                <w:lang w:eastAsia="zh-CN"/>
              </w:rPr>
            </w:pPr>
            <w:r w:rsidRPr="003D062D">
              <w:rPr>
                <w:rFonts w:cs="Arial"/>
                <w:b/>
                <w:bCs/>
                <w:color w:val="000000"/>
                <w:sz w:val="18"/>
                <w:szCs w:val="16"/>
                <w:lang w:eastAsia="zh-CN"/>
              </w:rPr>
              <w:t xml:space="preserve">Implementing Partner </w:t>
            </w:r>
          </w:p>
        </w:tc>
        <w:tc>
          <w:tcPr>
            <w:tcW w:w="11038" w:type="dxa"/>
            <w:gridSpan w:val="3"/>
            <w:tcBorders>
              <w:top w:val="single" w:sz="4" w:space="0" w:color="auto"/>
              <w:left w:val="nil"/>
              <w:bottom w:val="single" w:sz="4" w:space="0" w:color="auto"/>
              <w:right w:val="single" w:sz="4" w:space="0" w:color="000000"/>
            </w:tcBorders>
            <w:shd w:val="clear" w:color="auto" w:fill="auto"/>
            <w:noWrap/>
            <w:vAlign w:val="center"/>
          </w:tcPr>
          <w:p w14:paraId="5362FA40" w14:textId="77777777" w:rsidR="00C658DC" w:rsidRPr="003D062D" w:rsidRDefault="00C658DC" w:rsidP="00F32F06">
            <w:pPr>
              <w:rPr>
                <w:rFonts w:cs="Arial"/>
                <w:bCs/>
                <w:color w:val="000000"/>
                <w:sz w:val="18"/>
                <w:szCs w:val="18"/>
                <w:lang w:eastAsia="zh-CN"/>
              </w:rPr>
            </w:pPr>
            <w:r w:rsidRPr="003D062D">
              <w:rPr>
                <w:color w:val="000000"/>
                <w:sz w:val="18"/>
                <w:szCs w:val="18"/>
              </w:rPr>
              <w:t>Ministry of Energy of Kazakhstan (MoE)</w:t>
            </w:r>
          </w:p>
        </w:tc>
      </w:tr>
    </w:tbl>
    <w:p w14:paraId="58CF94D2" w14:textId="77777777" w:rsidR="00C658DC" w:rsidRDefault="00C658DC" w:rsidP="00C658DC">
      <w:pPr>
        <w:rPr>
          <w:sz w:val="18"/>
          <w:szCs w:val="18"/>
        </w:rPr>
      </w:pPr>
    </w:p>
    <w:p w14:paraId="408164F2" w14:textId="77777777" w:rsidR="00824C89" w:rsidRDefault="00824C89" w:rsidP="00C658DC">
      <w:pPr>
        <w:rPr>
          <w:sz w:val="18"/>
          <w:szCs w:val="18"/>
        </w:rPr>
      </w:pPr>
    </w:p>
    <w:tbl>
      <w:tblPr>
        <w:tblW w:w="14210" w:type="dxa"/>
        <w:tblLayout w:type="fixed"/>
        <w:tblLook w:val="04A0" w:firstRow="1" w:lastRow="0" w:firstColumn="1" w:lastColumn="0" w:noHBand="0" w:noVBand="1"/>
      </w:tblPr>
      <w:tblGrid>
        <w:gridCol w:w="1181"/>
        <w:gridCol w:w="1149"/>
        <w:gridCol w:w="810"/>
        <w:gridCol w:w="990"/>
        <w:gridCol w:w="990"/>
        <w:gridCol w:w="2070"/>
        <w:gridCol w:w="810"/>
        <w:gridCol w:w="1010"/>
        <w:gridCol w:w="970"/>
        <w:gridCol w:w="1080"/>
        <w:gridCol w:w="1170"/>
        <w:gridCol w:w="1080"/>
        <w:gridCol w:w="900"/>
      </w:tblGrid>
      <w:tr w:rsidR="00F01AE3" w:rsidRPr="00FC6195" w14:paraId="2B8132D0" w14:textId="77777777" w:rsidTr="007132EE">
        <w:trPr>
          <w:trHeight w:val="480"/>
          <w:tblHeader/>
        </w:trPr>
        <w:tc>
          <w:tcPr>
            <w:tcW w:w="11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8D0FB0" w14:textId="6454160E" w:rsidR="003D062D" w:rsidRPr="00FC6195" w:rsidRDefault="003D062D" w:rsidP="0035385F">
            <w:pPr>
              <w:contextualSpacing/>
              <w:jc w:val="center"/>
              <w:rPr>
                <w:rFonts w:eastAsia="Times New Roman"/>
                <w:b/>
                <w:bCs/>
                <w:color w:val="000000"/>
                <w:sz w:val="17"/>
                <w:szCs w:val="17"/>
              </w:rPr>
            </w:pPr>
            <w:r w:rsidRPr="00FC6195">
              <w:rPr>
                <w:rFonts w:eastAsia="Times New Roman"/>
                <w:b/>
                <w:bCs/>
                <w:color w:val="000000"/>
                <w:sz w:val="17"/>
                <w:szCs w:val="17"/>
              </w:rPr>
              <w:t>GEF Component/</w:t>
            </w:r>
            <w:r w:rsidR="0035385F" w:rsidRPr="00FC6195">
              <w:rPr>
                <w:rFonts w:eastAsia="Times New Roman"/>
                <w:b/>
                <w:bCs/>
                <w:color w:val="000000"/>
                <w:sz w:val="17"/>
                <w:szCs w:val="17"/>
              </w:rPr>
              <w:t xml:space="preserve"> </w:t>
            </w:r>
            <w:r w:rsidRPr="00FC6195">
              <w:rPr>
                <w:rFonts w:eastAsia="Times New Roman"/>
                <w:b/>
                <w:bCs/>
                <w:color w:val="000000"/>
                <w:sz w:val="17"/>
                <w:szCs w:val="17"/>
              </w:rPr>
              <w:t>Atlas Activity</w:t>
            </w:r>
          </w:p>
        </w:tc>
        <w:tc>
          <w:tcPr>
            <w:tcW w:w="1149" w:type="dxa"/>
            <w:tcBorders>
              <w:top w:val="single" w:sz="8" w:space="0" w:color="auto"/>
              <w:left w:val="nil"/>
              <w:bottom w:val="nil"/>
              <w:right w:val="single" w:sz="8" w:space="0" w:color="auto"/>
            </w:tcBorders>
            <w:shd w:val="clear" w:color="auto" w:fill="auto"/>
            <w:vAlign w:val="center"/>
            <w:hideMark/>
          </w:tcPr>
          <w:p w14:paraId="749F8CC7" w14:textId="5E63B9FD" w:rsidR="003D062D" w:rsidRPr="00FC6195" w:rsidRDefault="003D062D" w:rsidP="0035385F">
            <w:pPr>
              <w:contextualSpacing/>
              <w:jc w:val="center"/>
              <w:rPr>
                <w:rFonts w:eastAsia="Times New Roman"/>
                <w:b/>
                <w:bCs/>
                <w:color w:val="000000"/>
                <w:sz w:val="17"/>
                <w:szCs w:val="17"/>
              </w:rPr>
            </w:pPr>
            <w:r w:rsidRPr="00FC6195">
              <w:rPr>
                <w:rFonts w:eastAsia="Times New Roman"/>
                <w:b/>
                <w:bCs/>
                <w:color w:val="000000"/>
                <w:sz w:val="17"/>
                <w:szCs w:val="17"/>
              </w:rPr>
              <w:t>Responsible Party</w:t>
            </w:r>
          </w:p>
        </w:tc>
        <w:tc>
          <w:tcPr>
            <w:tcW w:w="8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E8B730" w14:textId="77777777" w:rsidR="003D062D" w:rsidRPr="00FC6195" w:rsidRDefault="003D062D" w:rsidP="0035385F">
            <w:pPr>
              <w:contextualSpacing/>
              <w:jc w:val="center"/>
              <w:rPr>
                <w:rFonts w:eastAsia="Times New Roman"/>
                <w:b/>
                <w:bCs/>
                <w:color w:val="000000"/>
                <w:sz w:val="17"/>
                <w:szCs w:val="17"/>
              </w:rPr>
            </w:pPr>
            <w:r w:rsidRPr="00FC6195">
              <w:rPr>
                <w:rFonts w:eastAsia="Times New Roman"/>
                <w:b/>
                <w:bCs/>
                <w:color w:val="000000"/>
                <w:sz w:val="17"/>
                <w:szCs w:val="17"/>
              </w:rPr>
              <w:t>Fund ID</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5C880E2" w14:textId="77777777" w:rsidR="003D062D" w:rsidRPr="00FC6195" w:rsidRDefault="003D062D" w:rsidP="0035385F">
            <w:pPr>
              <w:contextualSpacing/>
              <w:jc w:val="center"/>
              <w:rPr>
                <w:rFonts w:eastAsia="Times New Roman"/>
                <w:b/>
                <w:bCs/>
                <w:color w:val="000000"/>
                <w:sz w:val="17"/>
                <w:szCs w:val="17"/>
              </w:rPr>
            </w:pPr>
            <w:r w:rsidRPr="00FC6195">
              <w:rPr>
                <w:rFonts w:eastAsia="Times New Roman"/>
                <w:b/>
                <w:bCs/>
                <w:color w:val="000000"/>
                <w:sz w:val="17"/>
                <w:szCs w:val="17"/>
              </w:rPr>
              <w:t>Donor Name</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8052CC7" w14:textId="77777777" w:rsidR="003D062D" w:rsidRPr="00FC6195" w:rsidRDefault="003D062D" w:rsidP="0035385F">
            <w:pPr>
              <w:contextualSpacing/>
              <w:rPr>
                <w:rFonts w:eastAsia="Times New Roman"/>
                <w:b/>
                <w:bCs/>
                <w:color w:val="000000"/>
                <w:sz w:val="17"/>
                <w:szCs w:val="17"/>
              </w:rPr>
            </w:pPr>
            <w:r w:rsidRPr="00FC6195">
              <w:rPr>
                <w:rFonts w:eastAsia="Times New Roman"/>
                <w:b/>
                <w:bCs/>
                <w:color w:val="000000"/>
                <w:sz w:val="17"/>
                <w:szCs w:val="17"/>
              </w:rPr>
              <w:t>Atlas Budgetary Account Code</w:t>
            </w:r>
          </w:p>
        </w:tc>
        <w:tc>
          <w:tcPr>
            <w:tcW w:w="20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939D7F" w14:textId="77777777" w:rsidR="003D062D" w:rsidRPr="00FC6195" w:rsidRDefault="003D062D" w:rsidP="0035385F">
            <w:pPr>
              <w:contextualSpacing/>
              <w:rPr>
                <w:rFonts w:eastAsia="Times New Roman"/>
                <w:b/>
                <w:bCs/>
                <w:color w:val="000000"/>
                <w:sz w:val="17"/>
                <w:szCs w:val="17"/>
              </w:rPr>
            </w:pPr>
            <w:r w:rsidRPr="00FC6195">
              <w:rPr>
                <w:rFonts w:eastAsia="Times New Roman"/>
                <w:b/>
                <w:bCs/>
                <w:color w:val="000000"/>
                <w:sz w:val="17"/>
                <w:szCs w:val="17"/>
              </w:rPr>
              <w:t>ATLAS Budget Description</w:t>
            </w:r>
          </w:p>
        </w:tc>
        <w:tc>
          <w:tcPr>
            <w:tcW w:w="8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F0DC463" w14:textId="77777777" w:rsidR="003D062D" w:rsidRPr="00FC6195" w:rsidRDefault="003D062D" w:rsidP="0035385F">
            <w:pPr>
              <w:contextualSpacing/>
              <w:jc w:val="center"/>
              <w:rPr>
                <w:rFonts w:eastAsia="Times New Roman"/>
                <w:b/>
                <w:bCs/>
                <w:color w:val="000000"/>
                <w:sz w:val="17"/>
                <w:szCs w:val="17"/>
              </w:rPr>
            </w:pPr>
            <w:r w:rsidRPr="00FC6195">
              <w:rPr>
                <w:rFonts w:eastAsia="Times New Roman"/>
                <w:b/>
                <w:bCs/>
                <w:color w:val="000000"/>
                <w:sz w:val="17"/>
                <w:szCs w:val="17"/>
              </w:rPr>
              <w:t>Amount Year 1 (USD)</w:t>
            </w:r>
          </w:p>
        </w:tc>
        <w:tc>
          <w:tcPr>
            <w:tcW w:w="10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33ED18" w14:textId="77777777" w:rsidR="003D062D" w:rsidRPr="00FC6195" w:rsidRDefault="003D062D" w:rsidP="0035385F">
            <w:pPr>
              <w:contextualSpacing/>
              <w:jc w:val="center"/>
              <w:rPr>
                <w:rFonts w:eastAsia="Times New Roman"/>
                <w:b/>
                <w:bCs/>
                <w:color w:val="000000"/>
                <w:sz w:val="17"/>
                <w:szCs w:val="17"/>
              </w:rPr>
            </w:pPr>
            <w:r w:rsidRPr="00FC6195">
              <w:rPr>
                <w:rFonts w:eastAsia="Times New Roman"/>
                <w:b/>
                <w:bCs/>
                <w:color w:val="000000"/>
                <w:sz w:val="17"/>
                <w:szCs w:val="17"/>
              </w:rPr>
              <w:t>Amount Year 2 (USD)</w:t>
            </w:r>
          </w:p>
        </w:tc>
        <w:tc>
          <w:tcPr>
            <w:tcW w:w="9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1B977A" w14:textId="77777777" w:rsidR="003D062D" w:rsidRPr="00FC6195" w:rsidRDefault="003D062D" w:rsidP="0035385F">
            <w:pPr>
              <w:contextualSpacing/>
              <w:jc w:val="center"/>
              <w:rPr>
                <w:rFonts w:eastAsia="Times New Roman"/>
                <w:b/>
                <w:bCs/>
                <w:color w:val="000000"/>
                <w:sz w:val="17"/>
                <w:szCs w:val="17"/>
              </w:rPr>
            </w:pPr>
            <w:r w:rsidRPr="00FC6195">
              <w:rPr>
                <w:rFonts w:eastAsia="Times New Roman"/>
                <w:b/>
                <w:bCs/>
                <w:color w:val="000000"/>
                <w:sz w:val="17"/>
                <w:szCs w:val="17"/>
              </w:rPr>
              <w:t>Amount Year 3 (USD)</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28ECA10" w14:textId="77777777" w:rsidR="003D062D" w:rsidRPr="00FC6195" w:rsidRDefault="003D062D" w:rsidP="0035385F">
            <w:pPr>
              <w:contextualSpacing/>
              <w:jc w:val="center"/>
              <w:rPr>
                <w:rFonts w:eastAsia="Times New Roman"/>
                <w:b/>
                <w:bCs/>
                <w:color w:val="000000"/>
                <w:sz w:val="17"/>
                <w:szCs w:val="17"/>
              </w:rPr>
            </w:pPr>
            <w:r w:rsidRPr="00FC6195">
              <w:rPr>
                <w:rFonts w:eastAsia="Times New Roman"/>
                <w:b/>
                <w:bCs/>
                <w:color w:val="000000"/>
                <w:sz w:val="17"/>
                <w:szCs w:val="17"/>
              </w:rPr>
              <w:t>Amount Year 4  (USD)</w:t>
            </w:r>
          </w:p>
        </w:tc>
        <w:tc>
          <w:tcPr>
            <w:tcW w:w="11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2AAA831" w14:textId="77777777" w:rsidR="00413D95" w:rsidRDefault="003D062D" w:rsidP="0035385F">
            <w:pPr>
              <w:contextualSpacing/>
              <w:jc w:val="center"/>
              <w:rPr>
                <w:rFonts w:eastAsia="Times New Roman"/>
                <w:b/>
                <w:bCs/>
                <w:color w:val="000000"/>
                <w:sz w:val="17"/>
                <w:szCs w:val="17"/>
              </w:rPr>
            </w:pPr>
            <w:r w:rsidRPr="00FC6195">
              <w:rPr>
                <w:rFonts w:eastAsia="Times New Roman"/>
                <w:b/>
                <w:bCs/>
                <w:color w:val="000000"/>
                <w:sz w:val="17"/>
                <w:szCs w:val="17"/>
              </w:rPr>
              <w:t xml:space="preserve">Amount </w:t>
            </w:r>
          </w:p>
          <w:p w14:paraId="5CFAEC9F" w14:textId="76C4B041" w:rsidR="00413D95" w:rsidRDefault="003D062D" w:rsidP="0035385F">
            <w:pPr>
              <w:contextualSpacing/>
              <w:jc w:val="center"/>
              <w:rPr>
                <w:rFonts w:eastAsia="Times New Roman"/>
                <w:b/>
                <w:bCs/>
                <w:color w:val="000000"/>
                <w:sz w:val="17"/>
                <w:szCs w:val="17"/>
                <w:lang w:val="ru-RU"/>
              </w:rPr>
            </w:pPr>
            <w:r w:rsidRPr="00FC6195">
              <w:rPr>
                <w:rFonts w:eastAsia="Times New Roman"/>
                <w:b/>
                <w:bCs/>
                <w:color w:val="000000"/>
                <w:sz w:val="17"/>
                <w:szCs w:val="17"/>
              </w:rPr>
              <w:t>Year</w:t>
            </w:r>
            <w:r w:rsidR="00413D95">
              <w:rPr>
                <w:rFonts w:eastAsia="Times New Roman"/>
                <w:b/>
                <w:bCs/>
                <w:color w:val="000000"/>
                <w:sz w:val="17"/>
                <w:szCs w:val="17"/>
                <w:lang w:val="ru-RU"/>
              </w:rPr>
              <w:t xml:space="preserve"> 5</w:t>
            </w:r>
          </w:p>
          <w:p w14:paraId="3AEA77C4" w14:textId="15D9BB80" w:rsidR="003D062D" w:rsidRPr="00FC6195" w:rsidRDefault="003D062D" w:rsidP="0035385F">
            <w:pPr>
              <w:contextualSpacing/>
              <w:jc w:val="center"/>
              <w:rPr>
                <w:rFonts w:eastAsia="Times New Roman"/>
                <w:b/>
                <w:bCs/>
                <w:color w:val="000000"/>
                <w:sz w:val="17"/>
                <w:szCs w:val="17"/>
              </w:rPr>
            </w:pPr>
            <w:r w:rsidRPr="00FC6195">
              <w:rPr>
                <w:rFonts w:eastAsia="Times New Roman"/>
                <w:b/>
                <w:bCs/>
                <w:color w:val="000000"/>
                <w:sz w:val="17"/>
                <w:szCs w:val="17"/>
              </w:rPr>
              <w:t xml:space="preserve"> (USD)</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0017DA2" w14:textId="77777777" w:rsidR="003D062D" w:rsidRPr="00FC6195" w:rsidRDefault="003D062D" w:rsidP="0035385F">
            <w:pPr>
              <w:contextualSpacing/>
              <w:jc w:val="center"/>
              <w:rPr>
                <w:rFonts w:eastAsia="Times New Roman"/>
                <w:b/>
                <w:bCs/>
                <w:color w:val="000000"/>
                <w:sz w:val="17"/>
                <w:szCs w:val="17"/>
              </w:rPr>
            </w:pPr>
            <w:r w:rsidRPr="00FC6195">
              <w:rPr>
                <w:rFonts w:eastAsia="Times New Roman"/>
                <w:b/>
                <w:bCs/>
                <w:color w:val="000000"/>
                <w:sz w:val="17"/>
                <w:szCs w:val="17"/>
              </w:rPr>
              <w:t>Total (USD)</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43DA21E" w14:textId="77777777" w:rsidR="003D062D" w:rsidRPr="00FC6195" w:rsidRDefault="003D062D" w:rsidP="0035385F">
            <w:pPr>
              <w:contextualSpacing/>
              <w:jc w:val="center"/>
              <w:rPr>
                <w:rFonts w:eastAsia="Times New Roman"/>
                <w:b/>
                <w:bCs/>
                <w:color w:val="000000"/>
                <w:sz w:val="17"/>
                <w:szCs w:val="17"/>
              </w:rPr>
            </w:pPr>
            <w:r w:rsidRPr="00FC6195">
              <w:rPr>
                <w:rFonts w:eastAsia="Times New Roman"/>
                <w:b/>
                <w:bCs/>
                <w:color w:val="000000"/>
                <w:sz w:val="17"/>
                <w:szCs w:val="17"/>
              </w:rPr>
              <w:t>Budget Notes:</w:t>
            </w:r>
          </w:p>
        </w:tc>
      </w:tr>
      <w:tr w:rsidR="00F01AE3" w:rsidRPr="00FC6195" w14:paraId="1D11804E" w14:textId="77777777" w:rsidTr="007132EE">
        <w:trPr>
          <w:trHeight w:val="740"/>
          <w:tblHeader/>
        </w:trPr>
        <w:tc>
          <w:tcPr>
            <w:tcW w:w="1181" w:type="dxa"/>
            <w:vMerge/>
            <w:tcBorders>
              <w:top w:val="single" w:sz="8" w:space="0" w:color="auto"/>
              <w:left w:val="single" w:sz="8" w:space="0" w:color="auto"/>
              <w:bottom w:val="single" w:sz="8" w:space="0" w:color="000000"/>
              <w:right w:val="single" w:sz="8" w:space="0" w:color="auto"/>
            </w:tcBorders>
            <w:vAlign w:val="center"/>
            <w:hideMark/>
          </w:tcPr>
          <w:p w14:paraId="16872E35" w14:textId="77777777" w:rsidR="003D062D" w:rsidRPr="00FC6195" w:rsidRDefault="003D062D">
            <w:pPr>
              <w:rPr>
                <w:rFonts w:eastAsia="Times New Roman"/>
                <w:b/>
                <w:bCs/>
                <w:color w:val="000000"/>
                <w:sz w:val="17"/>
                <w:szCs w:val="17"/>
              </w:rPr>
            </w:pPr>
          </w:p>
        </w:tc>
        <w:tc>
          <w:tcPr>
            <w:tcW w:w="1149" w:type="dxa"/>
            <w:tcBorders>
              <w:top w:val="nil"/>
              <w:left w:val="nil"/>
              <w:bottom w:val="single" w:sz="8" w:space="0" w:color="auto"/>
              <w:right w:val="single" w:sz="8" w:space="0" w:color="auto"/>
            </w:tcBorders>
            <w:shd w:val="clear" w:color="auto" w:fill="auto"/>
            <w:vAlign w:val="center"/>
            <w:hideMark/>
          </w:tcPr>
          <w:p w14:paraId="5B045628" w14:textId="0865C694"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(Atlas Implement</w:t>
            </w:r>
            <w:r w:rsidR="007132EE">
              <w:rPr>
                <w:rFonts w:eastAsia="Times New Roman"/>
                <w:b/>
                <w:bCs/>
                <w:color w:val="000000"/>
                <w:sz w:val="17"/>
                <w:szCs w:val="17"/>
              </w:rPr>
              <w:t>-</w:t>
            </w:r>
            <w:r w:rsidRPr="00FC6195">
              <w:rPr>
                <w:rFonts w:eastAsia="Times New Roman"/>
                <w:b/>
                <w:bCs/>
                <w:color w:val="000000"/>
                <w:sz w:val="17"/>
                <w:szCs w:val="17"/>
              </w:rPr>
              <w:t>ing Agent)</w:t>
            </w:r>
          </w:p>
        </w:tc>
        <w:tc>
          <w:tcPr>
            <w:tcW w:w="810" w:type="dxa"/>
            <w:vMerge/>
            <w:tcBorders>
              <w:top w:val="single" w:sz="8" w:space="0" w:color="auto"/>
              <w:left w:val="single" w:sz="8" w:space="0" w:color="auto"/>
              <w:bottom w:val="single" w:sz="8" w:space="0" w:color="000000"/>
              <w:right w:val="single" w:sz="8" w:space="0" w:color="auto"/>
            </w:tcBorders>
            <w:vAlign w:val="center"/>
            <w:hideMark/>
          </w:tcPr>
          <w:p w14:paraId="506A317E" w14:textId="77777777" w:rsidR="003D062D" w:rsidRPr="00FC6195" w:rsidRDefault="003D062D">
            <w:pPr>
              <w:rPr>
                <w:rFonts w:eastAsia="Times New Roman"/>
                <w:b/>
                <w:bCs/>
                <w:color w:val="000000"/>
                <w:sz w:val="17"/>
                <w:szCs w:val="17"/>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14:paraId="14F99D5F" w14:textId="77777777" w:rsidR="003D062D" w:rsidRPr="00FC6195" w:rsidRDefault="003D062D">
            <w:pPr>
              <w:rPr>
                <w:rFonts w:eastAsia="Times New Roman"/>
                <w:b/>
                <w:bCs/>
                <w:color w:val="000000"/>
                <w:sz w:val="17"/>
                <w:szCs w:val="17"/>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14:paraId="4716FCE2" w14:textId="77777777" w:rsidR="003D062D" w:rsidRPr="00FC6195" w:rsidRDefault="003D062D">
            <w:pPr>
              <w:rPr>
                <w:rFonts w:eastAsia="Times New Roman"/>
                <w:b/>
                <w:bCs/>
                <w:color w:val="000000"/>
                <w:sz w:val="17"/>
                <w:szCs w:val="17"/>
              </w:rPr>
            </w:pPr>
          </w:p>
        </w:tc>
        <w:tc>
          <w:tcPr>
            <w:tcW w:w="2070" w:type="dxa"/>
            <w:vMerge/>
            <w:tcBorders>
              <w:top w:val="single" w:sz="8" w:space="0" w:color="auto"/>
              <w:left w:val="single" w:sz="8" w:space="0" w:color="auto"/>
              <w:bottom w:val="single" w:sz="8" w:space="0" w:color="000000"/>
              <w:right w:val="single" w:sz="8" w:space="0" w:color="auto"/>
            </w:tcBorders>
            <w:vAlign w:val="center"/>
            <w:hideMark/>
          </w:tcPr>
          <w:p w14:paraId="57F04CDB" w14:textId="77777777" w:rsidR="003D062D" w:rsidRPr="00FC6195" w:rsidRDefault="003D062D">
            <w:pPr>
              <w:rPr>
                <w:rFonts w:eastAsia="Times New Roman"/>
                <w:b/>
                <w:bCs/>
                <w:color w:val="000000"/>
                <w:sz w:val="17"/>
                <w:szCs w:val="17"/>
              </w:rPr>
            </w:pPr>
          </w:p>
        </w:tc>
        <w:tc>
          <w:tcPr>
            <w:tcW w:w="810" w:type="dxa"/>
            <w:vMerge/>
            <w:tcBorders>
              <w:top w:val="single" w:sz="8" w:space="0" w:color="auto"/>
              <w:left w:val="single" w:sz="8" w:space="0" w:color="auto"/>
              <w:bottom w:val="single" w:sz="8" w:space="0" w:color="000000"/>
              <w:right w:val="single" w:sz="8" w:space="0" w:color="auto"/>
            </w:tcBorders>
            <w:vAlign w:val="center"/>
            <w:hideMark/>
          </w:tcPr>
          <w:p w14:paraId="38C156D5" w14:textId="77777777" w:rsidR="003D062D" w:rsidRPr="00FC6195" w:rsidRDefault="003D062D">
            <w:pPr>
              <w:rPr>
                <w:rFonts w:eastAsia="Times New Roman"/>
                <w:b/>
                <w:bCs/>
                <w:color w:val="000000"/>
                <w:sz w:val="17"/>
                <w:szCs w:val="17"/>
              </w:rPr>
            </w:pPr>
          </w:p>
        </w:tc>
        <w:tc>
          <w:tcPr>
            <w:tcW w:w="1010" w:type="dxa"/>
            <w:vMerge/>
            <w:tcBorders>
              <w:top w:val="single" w:sz="8" w:space="0" w:color="auto"/>
              <w:left w:val="single" w:sz="8" w:space="0" w:color="auto"/>
              <w:bottom w:val="single" w:sz="8" w:space="0" w:color="000000"/>
              <w:right w:val="single" w:sz="8" w:space="0" w:color="auto"/>
            </w:tcBorders>
            <w:vAlign w:val="center"/>
            <w:hideMark/>
          </w:tcPr>
          <w:p w14:paraId="6C2D0B15" w14:textId="77777777" w:rsidR="003D062D" w:rsidRPr="00FC6195" w:rsidRDefault="003D062D">
            <w:pPr>
              <w:rPr>
                <w:rFonts w:eastAsia="Times New Roman"/>
                <w:b/>
                <w:bCs/>
                <w:color w:val="000000"/>
                <w:sz w:val="17"/>
                <w:szCs w:val="17"/>
              </w:rPr>
            </w:pPr>
          </w:p>
        </w:tc>
        <w:tc>
          <w:tcPr>
            <w:tcW w:w="970" w:type="dxa"/>
            <w:vMerge/>
            <w:tcBorders>
              <w:top w:val="single" w:sz="8" w:space="0" w:color="auto"/>
              <w:left w:val="single" w:sz="8" w:space="0" w:color="auto"/>
              <w:bottom w:val="single" w:sz="8" w:space="0" w:color="000000"/>
              <w:right w:val="single" w:sz="8" w:space="0" w:color="auto"/>
            </w:tcBorders>
            <w:vAlign w:val="center"/>
            <w:hideMark/>
          </w:tcPr>
          <w:p w14:paraId="170F1F70" w14:textId="77777777" w:rsidR="003D062D" w:rsidRPr="00FC6195" w:rsidRDefault="003D062D">
            <w:pPr>
              <w:rPr>
                <w:rFonts w:eastAsia="Times New Roman"/>
                <w:b/>
                <w:bCs/>
                <w:color w:val="000000"/>
                <w:sz w:val="17"/>
                <w:szCs w:val="17"/>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3A35DA70" w14:textId="77777777" w:rsidR="003D062D" w:rsidRPr="00FC6195" w:rsidRDefault="003D062D">
            <w:pPr>
              <w:rPr>
                <w:rFonts w:eastAsia="Times New Roman"/>
                <w:b/>
                <w:bCs/>
                <w:color w:val="000000"/>
                <w:sz w:val="17"/>
                <w:szCs w:val="17"/>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14:paraId="3F09D0DB" w14:textId="77777777" w:rsidR="003D062D" w:rsidRPr="00FC6195" w:rsidRDefault="003D062D">
            <w:pPr>
              <w:rPr>
                <w:rFonts w:eastAsia="Times New Roman"/>
                <w:b/>
                <w:bCs/>
                <w:color w:val="000000"/>
                <w:sz w:val="17"/>
                <w:szCs w:val="17"/>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769E370C" w14:textId="77777777" w:rsidR="003D062D" w:rsidRPr="00FC6195" w:rsidRDefault="003D062D">
            <w:pPr>
              <w:rPr>
                <w:rFonts w:eastAsia="Times New Roman"/>
                <w:b/>
                <w:bCs/>
                <w:color w:val="000000"/>
                <w:sz w:val="17"/>
                <w:szCs w:val="17"/>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2EB2D13B" w14:textId="77777777" w:rsidR="003D062D" w:rsidRPr="00FC6195" w:rsidRDefault="003D062D">
            <w:pPr>
              <w:rPr>
                <w:rFonts w:eastAsia="Times New Roman"/>
                <w:b/>
                <w:bCs/>
                <w:color w:val="000000"/>
                <w:sz w:val="17"/>
                <w:szCs w:val="17"/>
              </w:rPr>
            </w:pPr>
          </w:p>
        </w:tc>
      </w:tr>
      <w:tr w:rsidR="00F01AE3" w:rsidRPr="00FC6195" w14:paraId="674D723E" w14:textId="77777777" w:rsidTr="007132EE">
        <w:trPr>
          <w:trHeight w:val="394"/>
        </w:trPr>
        <w:tc>
          <w:tcPr>
            <w:tcW w:w="1181" w:type="dxa"/>
            <w:tcBorders>
              <w:top w:val="nil"/>
              <w:left w:val="single" w:sz="8" w:space="0" w:color="auto"/>
              <w:bottom w:val="nil"/>
              <w:right w:val="single" w:sz="8" w:space="0" w:color="auto"/>
            </w:tcBorders>
            <w:shd w:val="clear" w:color="auto" w:fill="auto"/>
            <w:vAlign w:val="center"/>
            <w:hideMark/>
          </w:tcPr>
          <w:p w14:paraId="4373E8D5"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 </w:t>
            </w:r>
          </w:p>
        </w:tc>
        <w:tc>
          <w:tcPr>
            <w:tcW w:w="1149" w:type="dxa"/>
            <w:tcBorders>
              <w:top w:val="nil"/>
              <w:left w:val="nil"/>
              <w:right w:val="single" w:sz="8" w:space="0" w:color="auto"/>
            </w:tcBorders>
            <w:shd w:val="clear" w:color="auto" w:fill="auto"/>
            <w:vAlign w:val="center"/>
            <w:hideMark/>
          </w:tcPr>
          <w:p w14:paraId="50B80B92"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right w:val="single" w:sz="8" w:space="0" w:color="auto"/>
            </w:tcBorders>
            <w:shd w:val="clear" w:color="auto" w:fill="auto"/>
            <w:vAlign w:val="center"/>
            <w:hideMark/>
          </w:tcPr>
          <w:p w14:paraId="3FA0B1DC" w14:textId="77777777" w:rsidR="003D062D" w:rsidRPr="00FC6195" w:rsidRDefault="003D062D">
            <w:pPr>
              <w:jc w:val="both"/>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right w:val="single" w:sz="8" w:space="0" w:color="auto"/>
            </w:tcBorders>
            <w:shd w:val="clear" w:color="auto" w:fill="auto"/>
            <w:vAlign w:val="center"/>
            <w:hideMark/>
          </w:tcPr>
          <w:p w14:paraId="12D42C40" w14:textId="77777777" w:rsidR="003D062D" w:rsidRPr="00FC6195" w:rsidRDefault="003D062D">
            <w:pPr>
              <w:jc w:val="both"/>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single" w:sz="8" w:space="0" w:color="auto"/>
              <w:right w:val="single" w:sz="8" w:space="0" w:color="auto"/>
            </w:tcBorders>
            <w:shd w:val="clear" w:color="auto" w:fill="auto"/>
            <w:noWrap/>
            <w:vAlign w:val="center"/>
            <w:hideMark/>
          </w:tcPr>
          <w:p w14:paraId="70B2593B"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71200</w:t>
            </w:r>
          </w:p>
        </w:tc>
        <w:tc>
          <w:tcPr>
            <w:tcW w:w="2070" w:type="dxa"/>
            <w:tcBorders>
              <w:top w:val="nil"/>
              <w:left w:val="nil"/>
              <w:bottom w:val="single" w:sz="8" w:space="0" w:color="auto"/>
              <w:right w:val="single" w:sz="8" w:space="0" w:color="auto"/>
            </w:tcBorders>
            <w:shd w:val="clear" w:color="auto" w:fill="auto"/>
            <w:noWrap/>
            <w:vAlign w:val="center"/>
            <w:hideMark/>
          </w:tcPr>
          <w:p w14:paraId="05161F4D" w14:textId="77777777" w:rsidR="003D062D" w:rsidRPr="00FC6195" w:rsidRDefault="003D062D">
            <w:pPr>
              <w:rPr>
                <w:rFonts w:eastAsia="Times New Roman"/>
                <w:color w:val="000000"/>
                <w:sz w:val="17"/>
                <w:szCs w:val="17"/>
              </w:rPr>
            </w:pPr>
            <w:r w:rsidRPr="00FC6195">
              <w:rPr>
                <w:rFonts w:eastAsia="Times New Roman"/>
                <w:color w:val="000000"/>
                <w:sz w:val="17"/>
                <w:szCs w:val="17"/>
              </w:rPr>
              <w:t>International Consultants</w:t>
            </w:r>
          </w:p>
        </w:tc>
        <w:tc>
          <w:tcPr>
            <w:tcW w:w="810" w:type="dxa"/>
            <w:tcBorders>
              <w:top w:val="nil"/>
              <w:left w:val="nil"/>
              <w:bottom w:val="single" w:sz="8" w:space="0" w:color="auto"/>
              <w:right w:val="single" w:sz="8" w:space="0" w:color="auto"/>
            </w:tcBorders>
            <w:shd w:val="clear" w:color="auto" w:fill="auto"/>
            <w:noWrap/>
            <w:vAlign w:val="center"/>
            <w:hideMark/>
          </w:tcPr>
          <w:p w14:paraId="3CBB91FB"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30,000</w:t>
            </w:r>
          </w:p>
        </w:tc>
        <w:tc>
          <w:tcPr>
            <w:tcW w:w="1010" w:type="dxa"/>
            <w:tcBorders>
              <w:top w:val="nil"/>
              <w:left w:val="nil"/>
              <w:bottom w:val="single" w:sz="8" w:space="0" w:color="auto"/>
              <w:right w:val="single" w:sz="8" w:space="0" w:color="auto"/>
            </w:tcBorders>
            <w:shd w:val="clear" w:color="auto" w:fill="auto"/>
            <w:noWrap/>
            <w:vAlign w:val="center"/>
            <w:hideMark/>
          </w:tcPr>
          <w:p w14:paraId="02DC2F31"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102,000</w:t>
            </w:r>
          </w:p>
        </w:tc>
        <w:tc>
          <w:tcPr>
            <w:tcW w:w="970" w:type="dxa"/>
            <w:tcBorders>
              <w:top w:val="nil"/>
              <w:left w:val="nil"/>
              <w:bottom w:val="single" w:sz="8" w:space="0" w:color="auto"/>
              <w:right w:val="single" w:sz="8" w:space="0" w:color="auto"/>
            </w:tcBorders>
            <w:shd w:val="clear" w:color="auto" w:fill="auto"/>
            <w:noWrap/>
            <w:vAlign w:val="center"/>
            <w:hideMark/>
          </w:tcPr>
          <w:p w14:paraId="540B1895"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87,000</w:t>
            </w:r>
          </w:p>
        </w:tc>
        <w:tc>
          <w:tcPr>
            <w:tcW w:w="1080" w:type="dxa"/>
            <w:tcBorders>
              <w:top w:val="nil"/>
              <w:left w:val="nil"/>
              <w:bottom w:val="single" w:sz="8" w:space="0" w:color="auto"/>
              <w:right w:val="single" w:sz="8" w:space="0" w:color="auto"/>
            </w:tcBorders>
            <w:shd w:val="clear" w:color="auto" w:fill="auto"/>
            <w:noWrap/>
            <w:vAlign w:val="center"/>
            <w:hideMark/>
          </w:tcPr>
          <w:p w14:paraId="48BAE54C"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30,000</w:t>
            </w:r>
          </w:p>
        </w:tc>
        <w:tc>
          <w:tcPr>
            <w:tcW w:w="1170" w:type="dxa"/>
            <w:tcBorders>
              <w:top w:val="nil"/>
              <w:left w:val="nil"/>
              <w:bottom w:val="single" w:sz="8" w:space="0" w:color="auto"/>
              <w:right w:val="single" w:sz="8" w:space="0" w:color="auto"/>
            </w:tcBorders>
            <w:shd w:val="clear" w:color="auto" w:fill="auto"/>
            <w:vAlign w:val="center"/>
            <w:hideMark/>
          </w:tcPr>
          <w:p w14:paraId="44FB64EF"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13,000</w:t>
            </w:r>
          </w:p>
        </w:tc>
        <w:tc>
          <w:tcPr>
            <w:tcW w:w="1080" w:type="dxa"/>
            <w:tcBorders>
              <w:top w:val="nil"/>
              <w:left w:val="nil"/>
              <w:bottom w:val="single" w:sz="8" w:space="0" w:color="auto"/>
              <w:right w:val="single" w:sz="8" w:space="0" w:color="auto"/>
            </w:tcBorders>
            <w:shd w:val="clear" w:color="auto" w:fill="auto"/>
            <w:noWrap/>
            <w:vAlign w:val="center"/>
            <w:hideMark/>
          </w:tcPr>
          <w:p w14:paraId="7B5BF3DF"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262,000</w:t>
            </w:r>
          </w:p>
        </w:tc>
        <w:tc>
          <w:tcPr>
            <w:tcW w:w="900" w:type="dxa"/>
            <w:tcBorders>
              <w:top w:val="nil"/>
              <w:left w:val="nil"/>
              <w:bottom w:val="single" w:sz="8" w:space="0" w:color="auto"/>
              <w:right w:val="single" w:sz="8" w:space="0" w:color="auto"/>
            </w:tcBorders>
            <w:shd w:val="clear" w:color="auto" w:fill="auto"/>
            <w:vAlign w:val="center"/>
            <w:hideMark/>
          </w:tcPr>
          <w:p w14:paraId="11A7A40E" w14:textId="77777777" w:rsidR="003D062D" w:rsidRPr="00FC6195" w:rsidRDefault="003D062D">
            <w:pPr>
              <w:jc w:val="center"/>
              <w:rPr>
                <w:rFonts w:eastAsia="Times New Roman"/>
                <w:i/>
                <w:iCs/>
                <w:color w:val="000000"/>
                <w:sz w:val="17"/>
                <w:szCs w:val="17"/>
              </w:rPr>
            </w:pPr>
            <w:r w:rsidRPr="00FC6195">
              <w:rPr>
                <w:rFonts w:eastAsia="Times New Roman"/>
                <w:i/>
                <w:iCs/>
                <w:color w:val="000000"/>
                <w:sz w:val="17"/>
                <w:szCs w:val="17"/>
              </w:rPr>
              <w:t>1</w:t>
            </w:r>
          </w:p>
        </w:tc>
      </w:tr>
      <w:tr w:rsidR="00F01AE3" w:rsidRPr="00FC6195" w14:paraId="63DDC107" w14:textId="77777777" w:rsidTr="007132EE">
        <w:trPr>
          <w:trHeight w:val="340"/>
        </w:trPr>
        <w:tc>
          <w:tcPr>
            <w:tcW w:w="1181" w:type="dxa"/>
            <w:tcBorders>
              <w:top w:val="nil"/>
              <w:left w:val="single" w:sz="8" w:space="0" w:color="auto"/>
              <w:bottom w:val="nil"/>
              <w:right w:val="single" w:sz="8" w:space="0" w:color="auto"/>
            </w:tcBorders>
            <w:shd w:val="clear" w:color="auto" w:fill="auto"/>
            <w:vAlign w:val="center"/>
            <w:hideMark/>
          </w:tcPr>
          <w:p w14:paraId="2124A777"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 </w:t>
            </w:r>
          </w:p>
        </w:tc>
        <w:tc>
          <w:tcPr>
            <w:tcW w:w="1149" w:type="dxa"/>
            <w:tcBorders>
              <w:top w:val="nil"/>
              <w:left w:val="nil"/>
              <w:right w:val="single" w:sz="8" w:space="0" w:color="auto"/>
            </w:tcBorders>
            <w:shd w:val="clear" w:color="auto" w:fill="auto"/>
            <w:vAlign w:val="center"/>
            <w:hideMark/>
          </w:tcPr>
          <w:p w14:paraId="16394C23"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right w:val="single" w:sz="8" w:space="0" w:color="auto"/>
            </w:tcBorders>
            <w:shd w:val="clear" w:color="auto" w:fill="auto"/>
            <w:vAlign w:val="center"/>
            <w:hideMark/>
          </w:tcPr>
          <w:p w14:paraId="2F2A8E44" w14:textId="77777777" w:rsidR="003D062D" w:rsidRPr="00FC6195" w:rsidRDefault="003D062D">
            <w:pPr>
              <w:jc w:val="both"/>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right w:val="single" w:sz="8" w:space="0" w:color="auto"/>
            </w:tcBorders>
            <w:shd w:val="clear" w:color="auto" w:fill="auto"/>
            <w:vAlign w:val="center"/>
            <w:hideMark/>
          </w:tcPr>
          <w:p w14:paraId="0EA09F59" w14:textId="77777777" w:rsidR="003D062D" w:rsidRPr="00FC6195" w:rsidRDefault="003D062D">
            <w:pPr>
              <w:jc w:val="both"/>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single" w:sz="8" w:space="0" w:color="auto"/>
              <w:right w:val="single" w:sz="8" w:space="0" w:color="auto"/>
            </w:tcBorders>
            <w:shd w:val="clear" w:color="auto" w:fill="auto"/>
            <w:noWrap/>
            <w:vAlign w:val="center"/>
            <w:hideMark/>
          </w:tcPr>
          <w:p w14:paraId="430DC83D"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71300</w:t>
            </w:r>
          </w:p>
        </w:tc>
        <w:tc>
          <w:tcPr>
            <w:tcW w:w="2070" w:type="dxa"/>
            <w:tcBorders>
              <w:top w:val="nil"/>
              <w:left w:val="nil"/>
              <w:bottom w:val="single" w:sz="8" w:space="0" w:color="auto"/>
              <w:right w:val="single" w:sz="8" w:space="0" w:color="auto"/>
            </w:tcBorders>
            <w:shd w:val="clear" w:color="auto" w:fill="auto"/>
            <w:noWrap/>
            <w:vAlign w:val="center"/>
            <w:hideMark/>
          </w:tcPr>
          <w:p w14:paraId="02C79AC4" w14:textId="77777777" w:rsidR="003D062D" w:rsidRPr="00FC6195" w:rsidRDefault="003D062D">
            <w:pPr>
              <w:rPr>
                <w:rFonts w:eastAsia="Times New Roman"/>
                <w:color w:val="000000"/>
                <w:sz w:val="17"/>
                <w:szCs w:val="17"/>
              </w:rPr>
            </w:pPr>
            <w:r w:rsidRPr="00FC6195">
              <w:rPr>
                <w:rFonts w:eastAsia="Times New Roman"/>
                <w:color w:val="000000"/>
                <w:sz w:val="17"/>
                <w:szCs w:val="17"/>
              </w:rPr>
              <w:t>Local Consultants</w:t>
            </w:r>
          </w:p>
        </w:tc>
        <w:tc>
          <w:tcPr>
            <w:tcW w:w="810" w:type="dxa"/>
            <w:tcBorders>
              <w:top w:val="nil"/>
              <w:left w:val="nil"/>
              <w:bottom w:val="single" w:sz="8" w:space="0" w:color="auto"/>
              <w:right w:val="single" w:sz="8" w:space="0" w:color="auto"/>
            </w:tcBorders>
            <w:shd w:val="clear" w:color="auto" w:fill="auto"/>
            <w:noWrap/>
            <w:vAlign w:val="center"/>
            <w:hideMark/>
          </w:tcPr>
          <w:p w14:paraId="3E88F312"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15,000</w:t>
            </w:r>
          </w:p>
        </w:tc>
        <w:tc>
          <w:tcPr>
            <w:tcW w:w="1010" w:type="dxa"/>
            <w:tcBorders>
              <w:top w:val="nil"/>
              <w:left w:val="nil"/>
              <w:bottom w:val="single" w:sz="8" w:space="0" w:color="auto"/>
              <w:right w:val="single" w:sz="8" w:space="0" w:color="auto"/>
            </w:tcBorders>
            <w:shd w:val="clear" w:color="auto" w:fill="auto"/>
            <w:noWrap/>
            <w:vAlign w:val="center"/>
            <w:hideMark/>
          </w:tcPr>
          <w:p w14:paraId="26E1D747"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68,000</w:t>
            </w:r>
          </w:p>
        </w:tc>
        <w:tc>
          <w:tcPr>
            <w:tcW w:w="970" w:type="dxa"/>
            <w:tcBorders>
              <w:top w:val="nil"/>
              <w:left w:val="nil"/>
              <w:bottom w:val="single" w:sz="8" w:space="0" w:color="auto"/>
              <w:right w:val="single" w:sz="8" w:space="0" w:color="auto"/>
            </w:tcBorders>
            <w:shd w:val="clear" w:color="auto" w:fill="auto"/>
            <w:noWrap/>
            <w:vAlign w:val="center"/>
            <w:hideMark/>
          </w:tcPr>
          <w:p w14:paraId="410C9230"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69,000</w:t>
            </w:r>
          </w:p>
        </w:tc>
        <w:tc>
          <w:tcPr>
            <w:tcW w:w="1080" w:type="dxa"/>
            <w:tcBorders>
              <w:top w:val="nil"/>
              <w:left w:val="nil"/>
              <w:bottom w:val="single" w:sz="8" w:space="0" w:color="auto"/>
              <w:right w:val="single" w:sz="8" w:space="0" w:color="auto"/>
            </w:tcBorders>
            <w:shd w:val="clear" w:color="auto" w:fill="auto"/>
            <w:noWrap/>
            <w:vAlign w:val="center"/>
            <w:hideMark/>
          </w:tcPr>
          <w:p w14:paraId="1A511BA6"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30,000</w:t>
            </w:r>
          </w:p>
        </w:tc>
        <w:tc>
          <w:tcPr>
            <w:tcW w:w="1170" w:type="dxa"/>
            <w:tcBorders>
              <w:top w:val="nil"/>
              <w:left w:val="nil"/>
              <w:bottom w:val="single" w:sz="8" w:space="0" w:color="auto"/>
              <w:right w:val="single" w:sz="8" w:space="0" w:color="auto"/>
            </w:tcBorders>
            <w:shd w:val="clear" w:color="auto" w:fill="auto"/>
            <w:vAlign w:val="center"/>
            <w:hideMark/>
          </w:tcPr>
          <w:p w14:paraId="349E6B79"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12,000</w:t>
            </w:r>
          </w:p>
        </w:tc>
        <w:tc>
          <w:tcPr>
            <w:tcW w:w="1080" w:type="dxa"/>
            <w:tcBorders>
              <w:top w:val="nil"/>
              <w:left w:val="nil"/>
              <w:bottom w:val="single" w:sz="8" w:space="0" w:color="auto"/>
              <w:right w:val="single" w:sz="8" w:space="0" w:color="auto"/>
            </w:tcBorders>
            <w:shd w:val="clear" w:color="auto" w:fill="auto"/>
            <w:noWrap/>
            <w:vAlign w:val="center"/>
            <w:hideMark/>
          </w:tcPr>
          <w:p w14:paraId="3C8DD554"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194,000</w:t>
            </w:r>
          </w:p>
        </w:tc>
        <w:tc>
          <w:tcPr>
            <w:tcW w:w="900" w:type="dxa"/>
            <w:tcBorders>
              <w:top w:val="nil"/>
              <w:left w:val="nil"/>
              <w:bottom w:val="single" w:sz="8" w:space="0" w:color="auto"/>
              <w:right w:val="single" w:sz="8" w:space="0" w:color="auto"/>
            </w:tcBorders>
            <w:shd w:val="clear" w:color="auto" w:fill="auto"/>
            <w:vAlign w:val="center"/>
            <w:hideMark/>
          </w:tcPr>
          <w:p w14:paraId="283DBF39" w14:textId="77777777" w:rsidR="003D062D" w:rsidRPr="00FC6195" w:rsidRDefault="003D062D">
            <w:pPr>
              <w:jc w:val="center"/>
              <w:rPr>
                <w:rFonts w:eastAsia="Times New Roman"/>
                <w:i/>
                <w:iCs/>
                <w:color w:val="000000"/>
                <w:sz w:val="17"/>
                <w:szCs w:val="17"/>
              </w:rPr>
            </w:pPr>
            <w:r w:rsidRPr="00FC6195">
              <w:rPr>
                <w:rFonts w:eastAsia="Times New Roman"/>
                <w:i/>
                <w:iCs/>
                <w:color w:val="000000"/>
                <w:sz w:val="17"/>
                <w:szCs w:val="17"/>
              </w:rPr>
              <w:t>2</w:t>
            </w:r>
          </w:p>
        </w:tc>
      </w:tr>
      <w:tr w:rsidR="00FC6195" w:rsidRPr="00FC6195" w14:paraId="64F01D58" w14:textId="77777777" w:rsidTr="007132EE">
        <w:trPr>
          <w:trHeight w:val="340"/>
        </w:trPr>
        <w:tc>
          <w:tcPr>
            <w:tcW w:w="1181" w:type="dxa"/>
            <w:tcBorders>
              <w:top w:val="nil"/>
              <w:left w:val="single" w:sz="8" w:space="0" w:color="auto"/>
              <w:bottom w:val="nil"/>
              <w:right w:val="nil"/>
            </w:tcBorders>
            <w:shd w:val="clear" w:color="auto" w:fill="auto"/>
            <w:noWrap/>
            <w:vAlign w:val="bottom"/>
            <w:hideMark/>
          </w:tcPr>
          <w:p w14:paraId="4D4302C8" w14:textId="77777777" w:rsidR="003D062D" w:rsidRPr="00FC6195" w:rsidRDefault="003D062D">
            <w:pPr>
              <w:jc w:val="center"/>
              <w:rPr>
                <w:rFonts w:eastAsia="Times New Roman"/>
                <w:i/>
                <w:iCs/>
                <w:color w:val="000000"/>
                <w:sz w:val="17"/>
                <w:szCs w:val="17"/>
              </w:rPr>
            </w:pPr>
          </w:p>
        </w:tc>
        <w:tc>
          <w:tcPr>
            <w:tcW w:w="1149" w:type="dxa"/>
            <w:tcBorders>
              <w:left w:val="single" w:sz="8" w:space="0" w:color="auto"/>
              <w:bottom w:val="nil"/>
              <w:right w:val="single" w:sz="8" w:space="0" w:color="auto"/>
            </w:tcBorders>
            <w:shd w:val="clear" w:color="auto" w:fill="auto"/>
            <w:vAlign w:val="center"/>
            <w:hideMark/>
          </w:tcPr>
          <w:p w14:paraId="1ECE994F"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left w:val="nil"/>
              <w:bottom w:val="nil"/>
              <w:right w:val="single" w:sz="8" w:space="0" w:color="auto"/>
            </w:tcBorders>
            <w:shd w:val="clear" w:color="auto" w:fill="auto"/>
            <w:vAlign w:val="center"/>
            <w:hideMark/>
          </w:tcPr>
          <w:p w14:paraId="76DC3FB1" w14:textId="77777777" w:rsidR="003D062D" w:rsidRPr="00FC6195" w:rsidRDefault="003D062D">
            <w:pPr>
              <w:jc w:val="both"/>
              <w:rPr>
                <w:rFonts w:eastAsia="Times New Roman"/>
                <w:b/>
                <w:bCs/>
                <w:color w:val="000000"/>
                <w:sz w:val="17"/>
                <w:szCs w:val="17"/>
              </w:rPr>
            </w:pPr>
            <w:r w:rsidRPr="00FC6195">
              <w:rPr>
                <w:rFonts w:eastAsia="Times New Roman"/>
                <w:b/>
                <w:bCs/>
                <w:color w:val="000000"/>
                <w:sz w:val="17"/>
                <w:szCs w:val="17"/>
              </w:rPr>
              <w:t> </w:t>
            </w:r>
          </w:p>
        </w:tc>
        <w:tc>
          <w:tcPr>
            <w:tcW w:w="990" w:type="dxa"/>
            <w:tcBorders>
              <w:left w:val="nil"/>
              <w:bottom w:val="nil"/>
              <w:right w:val="single" w:sz="8" w:space="0" w:color="auto"/>
            </w:tcBorders>
            <w:shd w:val="clear" w:color="auto" w:fill="auto"/>
            <w:vAlign w:val="center"/>
            <w:hideMark/>
          </w:tcPr>
          <w:p w14:paraId="7A845AE4" w14:textId="77777777" w:rsidR="003D062D" w:rsidRPr="00FC6195" w:rsidRDefault="003D062D">
            <w:pPr>
              <w:jc w:val="both"/>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single" w:sz="8" w:space="0" w:color="auto"/>
              <w:right w:val="single" w:sz="8" w:space="0" w:color="auto"/>
            </w:tcBorders>
            <w:shd w:val="clear" w:color="auto" w:fill="auto"/>
            <w:noWrap/>
            <w:vAlign w:val="center"/>
            <w:hideMark/>
          </w:tcPr>
          <w:p w14:paraId="429FC4C1"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71400</w:t>
            </w:r>
          </w:p>
        </w:tc>
        <w:tc>
          <w:tcPr>
            <w:tcW w:w="2070" w:type="dxa"/>
            <w:tcBorders>
              <w:top w:val="nil"/>
              <w:left w:val="nil"/>
              <w:bottom w:val="single" w:sz="8" w:space="0" w:color="auto"/>
              <w:right w:val="single" w:sz="8" w:space="0" w:color="auto"/>
            </w:tcBorders>
            <w:shd w:val="clear" w:color="auto" w:fill="auto"/>
            <w:noWrap/>
            <w:vAlign w:val="center"/>
            <w:hideMark/>
          </w:tcPr>
          <w:p w14:paraId="064BF78F" w14:textId="77777777" w:rsidR="003D062D" w:rsidRPr="00FC6195" w:rsidRDefault="003D062D">
            <w:pPr>
              <w:rPr>
                <w:rFonts w:eastAsia="Times New Roman"/>
                <w:color w:val="000000"/>
                <w:sz w:val="17"/>
                <w:szCs w:val="17"/>
              </w:rPr>
            </w:pPr>
            <w:r w:rsidRPr="00FC6195">
              <w:rPr>
                <w:rFonts w:eastAsia="Times New Roman"/>
                <w:color w:val="000000"/>
                <w:sz w:val="17"/>
                <w:szCs w:val="17"/>
              </w:rPr>
              <w:t>Contractual Services – Individ</w:t>
            </w:r>
          </w:p>
        </w:tc>
        <w:tc>
          <w:tcPr>
            <w:tcW w:w="810" w:type="dxa"/>
            <w:tcBorders>
              <w:top w:val="nil"/>
              <w:left w:val="nil"/>
              <w:bottom w:val="single" w:sz="8" w:space="0" w:color="auto"/>
              <w:right w:val="single" w:sz="8" w:space="0" w:color="auto"/>
            </w:tcBorders>
            <w:shd w:val="clear" w:color="auto" w:fill="auto"/>
            <w:noWrap/>
            <w:vAlign w:val="center"/>
            <w:hideMark/>
          </w:tcPr>
          <w:p w14:paraId="2B64DB74"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20,000</w:t>
            </w:r>
          </w:p>
        </w:tc>
        <w:tc>
          <w:tcPr>
            <w:tcW w:w="1010" w:type="dxa"/>
            <w:tcBorders>
              <w:top w:val="nil"/>
              <w:left w:val="nil"/>
              <w:bottom w:val="single" w:sz="8" w:space="0" w:color="auto"/>
              <w:right w:val="single" w:sz="8" w:space="0" w:color="auto"/>
            </w:tcBorders>
            <w:shd w:val="clear" w:color="auto" w:fill="auto"/>
            <w:noWrap/>
            <w:vAlign w:val="center"/>
            <w:hideMark/>
          </w:tcPr>
          <w:p w14:paraId="5743B4F3"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27,000</w:t>
            </w:r>
          </w:p>
        </w:tc>
        <w:tc>
          <w:tcPr>
            <w:tcW w:w="970" w:type="dxa"/>
            <w:tcBorders>
              <w:top w:val="nil"/>
              <w:left w:val="nil"/>
              <w:bottom w:val="single" w:sz="8" w:space="0" w:color="auto"/>
              <w:right w:val="single" w:sz="8" w:space="0" w:color="auto"/>
            </w:tcBorders>
            <w:shd w:val="clear" w:color="auto" w:fill="auto"/>
            <w:noWrap/>
            <w:vAlign w:val="center"/>
            <w:hideMark/>
          </w:tcPr>
          <w:p w14:paraId="5B81B6E0"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27,000</w:t>
            </w:r>
          </w:p>
        </w:tc>
        <w:tc>
          <w:tcPr>
            <w:tcW w:w="1080" w:type="dxa"/>
            <w:tcBorders>
              <w:top w:val="nil"/>
              <w:left w:val="nil"/>
              <w:bottom w:val="single" w:sz="8" w:space="0" w:color="auto"/>
              <w:right w:val="single" w:sz="8" w:space="0" w:color="auto"/>
            </w:tcBorders>
            <w:shd w:val="clear" w:color="auto" w:fill="auto"/>
            <w:noWrap/>
            <w:vAlign w:val="center"/>
            <w:hideMark/>
          </w:tcPr>
          <w:p w14:paraId="1A519F19"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27,000</w:t>
            </w:r>
          </w:p>
        </w:tc>
        <w:tc>
          <w:tcPr>
            <w:tcW w:w="1170" w:type="dxa"/>
            <w:tcBorders>
              <w:top w:val="nil"/>
              <w:left w:val="nil"/>
              <w:bottom w:val="single" w:sz="8" w:space="0" w:color="auto"/>
              <w:right w:val="single" w:sz="8" w:space="0" w:color="auto"/>
            </w:tcBorders>
            <w:shd w:val="clear" w:color="auto" w:fill="auto"/>
            <w:vAlign w:val="center"/>
            <w:hideMark/>
          </w:tcPr>
          <w:p w14:paraId="48512EE4"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27,000</w:t>
            </w:r>
          </w:p>
        </w:tc>
        <w:tc>
          <w:tcPr>
            <w:tcW w:w="1080" w:type="dxa"/>
            <w:tcBorders>
              <w:top w:val="nil"/>
              <w:left w:val="nil"/>
              <w:bottom w:val="single" w:sz="8" w:space="0" w:color="auto"/>
              <w:right w:val="single" w:sz="8" w:space="0" w:color="auto"/>
            </w:tcBorders>
            <w:shd w:val="clear" w:color="auto" w:fill="auto"/>
            <w:noWrap/>
            <w:vAlign w:val="center"/>
            <w:hideMark/>
          </w:tcPr>
          <w:p w14:paraId="6D80AC21"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128,000</w:t>
            </w:r>
          </w:p>
        </w:tc>
        <w:tc>
          <w:tcPr>
            <w:tcW w:w="900" w:type="dxa"/>
            <w:tcBorders>
              <w:top w:val="nil"/>
              <w:left w:val="nil"/>
              <w:bottom w:val="single" w:sz="8" w:space="0" w:color="auto"/>
              <w:right w:val="single" w:sz="8" w:space="0" w:color="auto"/>
            </w:tcBorders>
            <w:shd w:val="clear" w:color="auto" w:fill="auto"/>
            <w:vAlign w:val="center"/>
            <w:hideMark/>
          </w:tcPr>
          <w:p w14:paraId="7C585CE1" w14:textId="77777777" w:rsidR="003D062D" w:rsidRPr="00FC6195" w:rsidRDefault="003D062D">
            <w:pPr>
              <w:jc w:val="center"/>
              <w:rPr>
                <w:rFonts w:eastAsia="Times New Roman"/>
                <w:i/>
                <w:iCs/>
                <w:color w:val="000000"/>
                <w:sz w:val="17"/>
                <w:szCs w:val="17"/>
              </w:rPr>
            </w:pPr>
            <w:r w:rsidRPr="00FC6195">
              <w:rPr>
                <w:rFonts w:eastAsia="Times New Roman"/>
                <w:i/>
                <w:iCs/>
                <w:color w:val="000000"/>
                <w:sz w:val="17"/>
                <w:szCs w:val="17"/>
              </w:rPr>
              <w:t>3</w:t>
            </w:r>
          </w:p>
        </w:tc>
      </w:tr>
      <w:tr w:rsidR="00F01AE3" w:rsidRPr="00FC6195" w14:paraId="0C953FEE" w14:textId="77777777" w:rsidTr="007132EE">
        <w:trPr>
          <w:trHeight w:val="529"/>
        </w:trPr>
        <w:tc>
          <w:tcPr>
            <w:tcW w:w="1181" w:type="dxa"/>
            <w:tcBorders>
              <w:top w:val="nil"/>
              <w:left w:val="single" w:sz="8" w:space="0" w:color="auto"/>
              <w:bottom w:val="nil"/>
              <w:right w:val="nil"/>
            </w:tcBorders>
            <w:shd w:val="clear" w:color="auto" w:fill="auto"/>
            <w:vAlign w:val="center"/>
            <w:hideMark/>
          </w:tcPr>
          <w:p w14:paraId="6AA2B1AD" w14:textId="4964E44D" w:rsidR="003D062D" w:rsidRPr="00FC6195" w:rsidRDefault="003D062D" w:rsidP="00FC6195">
            <w:pPr>
              <w:jc w:val="center"/>
              <w:rPr>
                <w:rFonts w:eastAsia="Times New Roman"/>
                <w:b/>
                <w:color w:val="000000"/>
                <w:sz w:val="17"/>
                <w:szCs w:val="17"/>
              </w:rPr>
            </w:pPr>
            <w:r w:rsidRPr="00FC6195">
              <w:rPr>
                <w:rFonts w:eastAsia="Times New Roman"/>
                <w:b/>
                <w:color w:val="000000"/>
                <w:sz w:val="17"/>
                <w:szCs w:val="17"/>
              </w:rPr>
              <w:t>C</w:t>
            </w:r>
            <w:r w:rsidR="00FC6195">
              <w:rPr>
                <w:rFonts w:eastAsia="Times New Roman"/>
                <w:b/>
                <w:color w:val="000000"/>
                <w:sz w:val="17"/>
                <w:szCs w:val="17"/>
              </w:rPr>
              <w:t>omponent/</w:t>
            </w:r>
            <w:r w:rsidRPr="00FC6195">
              <w:rPr>
                <w:rFonts w:eastAsia="Times New Roman"/>
                <w:b/>
                <w:color w:val="000000"/>
                <w:sz w:val="17"/>
                <w:szCs w:val="17"/>
              </w:rPr>
              <w:t xml:space="preserve"> O</w:t>
            </w:r>
            <w:r w:rsidR="00FC6195">
              <w:rPr>
                <w:rFonts w:eastAsia="Times New Roman"/>
                <w:b/>
                <w:color w:val="000000"/>
                <w:sz w:val="17"/>
                <w:szCs w:val="17"/>
              </w:rPr>
              <w:t xml:space="preserve">utcome </w:t>
            </w:r>
            <w:r w:rsidRPr="00FC6195">
              <w:rPr>
                <w:rFonts w:eastAsia="Times New Roman"/>
                <w:b/>
                <w:color w:val="000000"/>
                <w:sz w:val="17"/>
                <w:szCs w:val="17"/>
              </w:rPr>
              <w:t>1</w:t>
            </w:r>
          </w:p>
        </w:tc>
        <w:tc>
          <w:tcPr>
            <w:tcW w:w="1149" w:type="dxa"/>
            <w:tcBorders>
              <w:top w:val="nil"/>
              <w:left w:val="single" w:sz="8" w:space="0" w:color="auto"/>
              <w:bottom w:val="nil"/>
              <w:right w:val="single" w:sz="8" w:space="0" w:color="auto"/>
            </w:tcBorders>
            <w:shd w:val="clear" w:color="auto" w:fill="auto"/>
            <w:vAlign w:val="center"/>
            <w:hideMark/>
          </w:tcPr>
          <w:p w14:paraId="7E872B96"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MoE</w:t>
            </w:r>
          </w:p>
        </w:tc>
        <w:tc>
          <w:tcPr>
            <w:tcW w:w="810" w:type="dxa"/>
            <w:tcBorders>
              <w:top w:val="nil"/>
              <w:left w:val="nil"/>
              <w:bottom w:val="nil"/>
              <w:right w:val="single" w:sz="8" w:space="0" w:color="auto"/>
            </w:tcBorders>
            <w:shd w:val="clear" w:color="auto" w:fill="auto"/>
            <w:vAlign w:val="center"/>
            <w:hideMark/>
          </w:tcPr>
          <w:p w14:paraId="22A00F5B"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62000</w:t>
            </w:r>
          </w:p>
        </w:tc>
        <w:tc>
          <w:tcPr>
            <w:tcW w:w="990" w:type="dxa"/>
            <w:tcBorders>
              <w:top w:val="nil"/>
              <w:left w:val="nil"/>
              <w:bottom w:val="nil"/>
              <w:right w:val="single" w:sz="8" w:space="0" w:color="auto"/>
            </w:tcBorders>
            <w:shd w:val="clear" w:color="auto" w:fill="auto"/>
            <w:vAlign w:val="center"/>
            <w:hideMark/>
          </w:tcPr>
          <w:p w14:paraId="7179E541"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GEF</w:t>
            </w:r>
          </w:p>
        </w:tc>
        <w:tc>
          <w:tcPr>
            <w:tcW w:w="990" w:type="dxa"/>
            <w:tcBorders>
              <w:top w:val="nil"/>
              <w:left w:val="nil"/>
              <w:bottom w:val="single" w:sz="8" w:space="0" w:color="auto"/>
              <w:right w:val="single" w:sz="8" w:space="0" w:color="auto"/>
            </w:tcBorders>
            <w:shd w:val="clear" w:color="auto" w:fill="auto"/>
            <w:noWrap/>
            <w:vAlign w:val="center"/>
            <w:hideMark/>
          </w:tcPr>
          <w:p w14:paraId="6C5CEE97"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71600</w:t>
            </w:r>
          </w:p>
        </w:tc>
        <w:tc>
          <w:tcPr>
            <w:tcW w:w="2070" w:type="dxa"/>
            <w:tcBorders>
              <w:top w:val="nil"/>
              <w:left w:val="nil"/>
              <w:bottom w:val="single" w:sz="8" w:space="0" w:color="auto"/>
              <w:right w:val="single" w:sz="8" w:space="0" w:color="auto"/>
            </w:tcBorders>
            <w:shd w:val="clear" w:color="auto" w:fill="auto"/>
            <w:noWrap/>
            <w:vAlign w:val="center"/>
            <w:hideMark/>
          </w:tcPr>
          <w:p w14:paraId="4439F9FC" w14:textId="77777777" w:rsidR="003D062D" w:rsidRPr="00FC6195" w:rsidRDefault="003D062D">
            <w:pPr>
              <w:rPr>
                <w:rFonts w:eastAsia="Times New Roman"/>
                <w:color w:val="000000"/>
                <w:sz w:val="17"/>
                <w:szCs w:val="17"/>
              </w:rPr>
            </w:pPr>
            <w:r w:rsidRPr="00FC6195">
              <w:rPr>
                <w:rFonts w:eastAsia="Times New Roman"/>
                <w:color w:val="000000"/>
                <w:sz w:val="17"/>
                <w:szCs w:val="17"/>
              </w:rPr>
              <w:t>Travel</w:t>
            </w:r>
          </w:p>
        </w:tc>
        <w:tc>
          <w:tcPr>
            <w:tcW w:w="810" w:type="dxa"/>
            <w:tcBorders>
              <w:top w:val="nil"/>
              <w:left w:val="nil"/>
              <w:bottom w:val="single" w:sz="8" w:space="0" w:color="auto"/>
              <w:right w:val="single" w:sz="8" w:space="0" w:color="auto"/>
            </w:tcBorders>
            <w:shd w:val="clear" w:color="auto" w:fill="auto"/>
            <w:noWrap/>
            <w:vAlign w:val="center"/>
            <w:hideMark/>
          </w:tcPr>
          <w:p w14:paraId="7F381E5F"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8,000</w:t>
            </w:r>
          </w:p>
        </w:tc>
        <w:tc>
          <w:tcPr>
            <w:tcW w:w="1010" w:type="dxa"/>
            <w:tcBorders>
              <w:top w:val="nil"/>
              <w:left w:val="nil"/>
              <w:bottom w:val="single" w:sz="8" w:space="0" w:color="auto"/>
              <w:right w:val="single" w:sz="8" w:space="0" w:color="auto"/>
            </w:tcBorders>
            <w:shd w:val="clear" w:color="auto" w:fill="auto"/>
            <w:noWrap/>
            <w:vAlign w:val="center"/>
            <w:hideMark/>
          </w:tcPr>
          <w:p w14:paraId="26F21CF2"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10,000</w:t>
            </w:r>
          </w:p>
        </w:tc>
        <w:tc>
          <w:tcPr>
            <w:tcW w:w="970" w:type="dxa"/>
            <w:tcBorders>
              <w:top w:val="nil"/>
              <w:left w:val="nil"/>
              <w:bottom w:val="single" w:sz="8" w:space="0" w:color="auto"/>
              <w:right w:val="single" w:sz="8" w:space="0" w:color="auto"/>
            </w:tcBorders>
            <w:shd w:val="clear" w:color="auto" w:fill="auto"/>
            <w:noWrap/>
            <w:vAlign w:val="center"/>
            <w:hideMark/>
          </w:tcPr>
          <w:p w14:paraId="314D4243"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10,000</w:t>
            </w:r>
          </w:p>
        </w:tc>
        <w:tc>
          <w:tcPr>
            <w:tcW w:w="1080" w:type="dxa"/>
            <w:tcBorders>
              <w:top w:val="nil"/>
              <w:left w:val="nil"/>
              <w:bottom w:val="single" w:sz="8" w:space="0" w:color="auto"/>
              <w:right w:val="single" w:sz="8" w:space="0" w:color="auto"/>
            </w:tcBorders>
            <w:shd w:val="clear" w:color="auto" w:fill="auto"/>
            <w:noWrap/>
            <w:vAlign w:val="center"/>
            <w:hideMark/>
          </w:tcPr>
          <w:p w14:paraId="7BF3CFB7"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10,000</w:t>
            </w:r>
          </w:p>
        </w:tc>
        <w:tc>
          <w:tcPr>
            <w:tcW w:w="1170" w:type="dxa"/>
            <w:tcBorders>
              <w:top w:val="nil"/>
              <w:left w:val="nil"/>
              <w:bottom w:val="single" w:sz="8" w:space="0" w:color="auto"/>
              <w:right w:val="single" w:sz="8" w:space="0" w:color="auto"/>
            </w:tcBorders>
            <w:shd w:val="clear" w:color="auto" w:fill="auto"/>
            <w:vAlign w:val="center"/>
            <w:hideMark/>
          </w:tcPr>
          <w:p w14:paraId="53749558"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10,000</w:t>
            </w:r>
          </w:p>
        </w:tc>
        <w:tc>
          <w:tcPr>
            <w:tcW w:w="1080" w:type="dxa"/>
            <w:tcBorders>
              <w:top w:val="nil"/>
              <w:left w:val="nil"/>
              <w:bottom w:val="single" w:sz="8" w:space="0" w:color="auto"/>
              <w:right w:val="single" w:sz="8" w:space="0" w:color="auto"/>
            </w:tcBorders>
            <w:shd w:val="clear" w:color="auto" w:fill="auto"/>
            <w:noWrap/>
            <w:vAlign w:val="center"/>
            <w:hideMark/>
          </w:tcPr>
          <w:p w14:paraId="3A92202B"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48,000</w:t>
            </w:r>
          </w:p>
        </w:tc>
        <w:tc>
          <w:tcPr>
            <w:tcW w:w="900" w:type="dxa"/>
            <w:tcBorders>
              <w:top w:val="nil"/>
              <w:left w:val="nil"/>
              <w:bottom w:val="single" w:sz="8" w:space="0" w:color="auto"/>
              <w:right w:val="single" w:sz="8" w:space="0" w:color="auto"/>
            </w:tcBorders>
            <w:shd w:val="clear" w:color="auto" w:fill="auto"/>
            <w:vAlign w:val="center"/>
            <w:hideMark/>
          </w:tcPr>
          <w:p w14:paraId="12E8EB3D" w14:textId="77777777" w:rsidR="003D062D" w:rsidRPr="00FC6195" w:rsidRDefault="003D062D">
            <w:pPr>
              <w:jc w:val="center"/>
              <w:rPr>
                <w:rFonts w:eastAsia="Times New Roman"/>
                <w:i/>
                <w:iCs/>
                <w:color w:val="000000"/>
                <w:sz w:val="17"/>
                <w:szCs w:val="17"/>
              </w:rPr>
            </w:pPr>
            <w:r w:rsidRPr="00FC6195">
              <w:rPr>
                <w:rFonts w:eastAsia="Times New Roman"/>
                <w:i/>
                <w:iCs/>
                <w:color w:val="000000"/>
                <w:sz w:val="17"/>
                <w:szCs w:val="17"/>
              </w:rPr>
              <w:t>4</w:t>
            </w:r>
          </w:p>
        </w:tc>
      </w:tr>
      <w:tr w:rsidR="00F01AE3" w:rsidRPr="00FC6195" w14:paraId="790260AE" w14:textId="77777777" w:rsidTr="007132EE">
        <w:trPr>
          <w:trHeight w:val="340"/>
        </w:trPr>
        <w:tc>
          <w:tcPr>
            <w:tcW w:w="1181" w:type="dxa"/>
            <w:tcBorders>
              <w:top w:val="nil"/>
              <w:left w:val="single" w:sz="8" w:space="0" w:color="auto"/>
              <w:bottom w:val="nil"/>
              <w:right w:val="nil"/>
            </w:tcBorders>
            <w:shd w:val="clear" w:color="auto" w:fill="auto"/>
            <w:noWrap/>
            <w:vAlign w:val="center"/>
            <w:hideMark/>
          </w:tcPr>
          <w:p w14:paraId="54C24CD9" w14:textId="77777777" w:rsidR="003D062D" w:rsidRPr="00FC6195" w:rsidRDefault="003D062D">
            <w:pPr>
              <w:rPr>
                <w:rFonts w:eastAsia="Times New Roman"/>
                <w:color w:val="000000"/>
                <w:sz w:val="17"/>
                <w:szCs w:val="17"/>
              </w:rPr>
            </w:pPr>
            <w:r w:rsidRPr="00FC6195">
              <w:rPr>
                <w:rFonts w:eastAsia="Times New Roman"/>
                <w:color w:val="000000"/>
                <w:sz w:val="17"/>
                <w:szCs w:val="17"/>
              </w:rPr>
              <w:t> </w:t>
            </w:r>
          </w:p>
        </w:tc>
        <w:tc>
          <w:tcPr>
            <w:tcW w:w="1149" w:type="dxa"/>
            <w:tcBorders>
              <w:top w:val="nil"/>
              <w:left w:val="single" w:sz="8" w:space="0" w:color="auto"/>
              <w:bottom w:val="nil"/>
              <w:right w:val="single" w:sz="8" w:space="0" w:color="auto"/>
            </w:tcBorders>
            <w:shd w:val="clear" w:color="auto" w:fill="auto"/>
            <w:vAlign w:val="center"/>
            <w:hideMark/>
          </w:tcPr>
          <w:p w14:paraId="3D0B144C"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bottom w:val="nil"/>
              <w:right w:val="single" w:sz="8" w:space="0" w:color="auto"/>
            </w:tcBorders>
            <w:shd w:val="clear" w:color="auto" w:fill="auto"/>
            <w:vAlign w:val="center"/>
            <w:hideMark/>
          </w:tcPr>
          <w:p w14:paraId="6D167DED" w14:textId="77777777" w:rsidR="003D062D" w:rsidRPr="00FC6195" w:rsidRDefault="003D062D">
            <w:pPr>
              <w:jc w:val="both"/>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nil"/>
              <w:right w:val="single" w:sz="8" w:space="0" w:color="auto"/>
            </w:tcBorders>
            <w:shd w:val="clear" w:color="auto" w:fill="auto"/>
            <w:vAlign w:val="center"/>
            <w:hideMark/>
          </w:tcPr>
          <w:p w14:paraId="12E9D088"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single" w:sz="8" w:space="0" w:color="auto"/>
              <w:right w:val="single" w:sz="8" w:space="0" w:color="auto"/>
            </w:tcBorders>
            <w:shd w:val="clear" w:color="auto" w:fill="auto"/>
            <w:noWrap/>
            <w:vAlign w:val="center"/>
            <w:hideMark/>
          </w:tcPr>
          <w:p w14:paraId="2EF1A662"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72800</w:t>
            </w:r>
          </w:p>
        </w:tc>
        <w:tc>
          <w:tcPr>
            <w:tcW w:w="2070" w:type="dxa"/>
            <w:tcBorders>
              <w:top w:val="nil"/>
              <w:left w:val="nil"/>
              <w:bottom w:val="single" w:sz="8" w:space="0" w:color="auto"/>
              <w:right w:val="single" w:sz="8" w:space="0" w:color="auto"/>
            </w:tcBorders>
            <w:shd w:val="clear" w:color="auto" w:fill="auto"/>
            <w:noWrap/>
            <w:vAlign w:val="center"/>
            <w:hideMark/>
          </w:tcPr>
          <w:p w14:paraId="0788C131" w14:textId="77777777" w:rsidR="003D062D" w:rsidRPr="00FC6195" w:rsidRDefault="003D062D">
            <w:pPr>
              <w:rPr>
                <w:rFonts w:eastAsia="Times New Roman"/>
                <w:color w:val="000000"/>
                <w:sz w:val="17"/>
                <w:szCs w:val="17"/>
              </w:rPr>
            </w:pPr>
            <w:r w:rsidRPr="00FC6195">
              <w:rPr>
                <w:rFonts w:eastAsia="Times New Roman"/>
                <w:color w:val="000000"/>
                <w:sz w:val="17"/>
                <w:szCs w:val="17"/>
              </w:rPr>
              <w:t xml:space="preserve">IT Equipment </w:t>
            </w:r>
          </w:p>
        </w:tc>
        <w:tc>
          <w:tcPr>
            <w:tcW w:w="810" w:type="dxa"/>
            <w:tcBorders>
              <w:top w:val="nil"/>
              <w:left w:val="nil"/>
              <w:bottom w:val="single" w:sz="8" w:space="0" w:color="auto"/>
              <w:right w:val="single" w:sz="8" w:space="0" w:color="auto"/>
            </w:tcBorders>
            <w:shd w:val="clear" w:color="auto" w:fill="auto"/>
            <w:noWrap/>
            <w:vAlign w:val="center"/>
            <w:hideMark/>
          </w:tcPr>
          <w:p w14:paraId="24682222"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7,000</w:t>
            </w:r>
          </w:p>
        </w:tc>
        <w:tc>
          <w:tcPr>
            <w:tcW w:w="1010" w:type="dxa"/>
            <w:tcBorders>
              <w:top w:val="nil"/>
              <w:left w:val="nil"/>
              <w:bottom w:val="single" w:sz="8" w:space="0" w:color="auto"/>
              <w:right w:val="single" w:sz="8" w:space="0" w:color="auto"/>
            </w:tcBorders>
            <w:shd w:val="clear" w:color="auto" w:fill="auto"/>
            <w:noWrap/>
            <w:vAlign w:val="center"/>
            <w:hideMark/>
          </w:tcPr>
          <w:p w14:paraId="49F24812"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0</w:t>
            </w:r>
          </w:p>
        </w:tc>
        <w:tc>
          <w:tcPr>
            <w:tcW w:w="970" w:type="dxa"/>
            <w:tcBorders>
              <w:top w:val="nil"/>
              <w:left w:val="nil"/>
              <w:bottom w:val="single" w:sz="8" w:space="0" w:color="auto"/>
              <w:right w:val="single" w:sz="8" w:space="0" w:color="auto"/>
            </w:tcBorders>
            <w:shd w:val="clear" w:color="auto" w:fill="auto"/>
            <w:noWrap/>
            <w:vAlign w:val="center"/>
            <w:hideMark/>
          </w:tcPr>
          <w:p w14:paraId="6EC3AC95"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0</w:t>
            </w:r>
          </w:p>
        </w:tc>
        <w:tc>
          <w:tcPr>
            <w:tcW w:w="1080" w:type="dxa"/>
            <w:tcBorders>
              <w:top w:val="nil"/>
              <w:left w:val="nil"/>
              <w:bottom w:val="single" w:sz="8" w:space="0" w:color="auto"/>
              <w:right w:val="single" w:sz="8" w:space="0" w:color="auto"/>
            </w:tcBorders>
            <w:shd w:val="clear" w:color="auto" w:fill="auto"/>
            <w:noWrap/>
            <w:vAlign w:val="center"/>
            <w:hideMark/>
          </w:tcPr>
          <w:p w14:paraId="63C0CC5C"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0</w:t>
            </w:r>
          </w:p>
        </w:tc>
        <w:tc>
          <w:tcPr>
            <w:tcW w:w="1170" w:type="dxa"/>
            <w:tcBorders>
              <w:top w:val="nil"/>
              <w:left w:val="nil"/>
              <w:bottom w:val="single" w:sz="8" w:space="0" w:color="auto"/>
              <w:right w:val="single" w:sz="8" w:space="0" w:color="auto"/>
            </w:tcBorders>
            <w:shd w:val="clear" w:color="auto" w:fill="auto"/>
            <w:vAlign w:val="center"/>
            <w:hideMark/>
          </w:tcPr>
          <w:p w14:paraId="766CC58D"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0</w:t>
            </w:r>
          </w:p>
        </w:tc>
        <w:tc>
          <w:tcPr>
            <w:tcW w:w="1080" w:type="dxa"/>
            <w:tcBorders>
              <w:top w:val="nil"/>
              <w:left w:val="nil"/>
              <w:bottom w:val="single" w:sz="8" w:space="0" w:color="auto"/>
              <w:right w:val="single" w:sz="8" w:space="0" w:color="auto"/>
            </w:tcBorders>
            <w:shd w:val="clear" w:color="auto" w:fill="auto"/>
            <w:noWrap/>
            <w:vAlign w:val="center"/>
            <w:hideMark/>
          </w:tcPr>
          <w:p w14:paraId="45E3B426"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7,000</w:t>
            </w:r>
          </w:p>
        </w:tc>
        <w:tc>
          <w:tcPr>
            <w:tcW w:w="900" w:type="dxa"/>
            <w:tcBorders>
              <w:top w:val="nil"/>
              <w:left w:val="nil"/>
              <w:bottom w:val="single" w:sz="8" w:space="0" w:color="auto"/>
              <w:right w:val="single" w:sz="8" w:space="0" w:color="auto"/>
            </w:tcBorders>
            <w:shd w:val="clear" w:color="auto" w:fill="auto"/>
            <w:vAlign w:val="center"/>
            <w:hideMark/>
          </w:tcPr>
          <w:p w14:paraId="4B82EE72" w14:textId="77777777" w:rsidR="003D062D" w:rsidRPr="00FC6195" w:rsidRDefault="003D062D">
            <w:pPr>
              <w:jc w:val="center"/>
              <w:rPr>
                <w:rFonts w:eastAsia="Times New Roman"/>
                <w:i/>
                <w:iCs/>
                <w:color w:val="000000"/>
                <w:sz w:val="17"/>
                <w:szCs w:val="17"/>
              </w:rPr>
            </w:pPr>
            <w:r w:rsidRPr="00FC6195">
              <w:rPr>
                <w:rFonts w:eastAsia="Times New Roman"/>
                <w:i/>
                <w:iCs/>
                <w:color w:val="000000"/>
                <w:sz w:val="17"/>
                <w:szCs w:val="17"/>
              </w:rPr>
              <w:t>5</w:t>
            </w:r>
          </w:p>
        </w:tc>
      </w:tr>
      <w:tr w:rsidR="00F01AE3" w:rsidRPr="00FC6195" w14:paraId="005B9A77" w14:textId="77777777" w:rsidTr="007132EE">
        <w:trPr>
          <w:trHeight w:val="340"/>
        </w:trPr>
        <w:tc>
          <w:tcPr>
            <w:tcW w:w="1181" w:type="dxa"/>
            <w:tcBorders>
              <w:top w:val="nil"/>
              <w:left w:val="single" w:sz="8" w:space="0" w:color="auto"/>
              <w:bottom w:val="nil"/>
              <w:right w:val="nil"/>
            </w:tcBorders>
            <w:shd w:val="clear" w:color="auto" w:fill="auto"/>
            <w:vAlign w:val="center"/>
            <w:hideMark/>
          </w:tcPr>
          <w:p w14:paraId="6B43E82C" w14:textId="77777777" w:rsidR="003D062D" w:rsidRPr="00FC6195" w:rsidRDefault="003D062D">
            <w:pPr>
              <w:jc w:val="center"/>
              <w:rPr>
                <w:rFonts w:eastAsia="Times New Roman"/>
                <w:i/>
                <w:iCs/>
                <w:color w:val="000000"/>
                <w:sz w:val="17"/>
                <w:szCs w:val="17"/>
              </w:rPr>
            </w:pPr>
          </w:p>
        </w:tc>
        <w:tc>
          <w:tcPr>
            <w:tcW w:w="1149" w:type="dxa"/>
            <w:tcBorders>
              <w:top w:val="nil"/>
              <w:left w:val="single" w:sz="8" w:space="0" w:color="auto"/>
              <w:bottom w:val="nil"/>
              <w:right w:val="single" w:sz="8" w:space="0" w:color="auto"/>
            </w:tcBorders>
            <w:shd w:val="clear" w:color="auto" w:fill="auto"/>
            <w:vAlign w:val="center"/>
            <w:hideMark/>
          </w:tcPr>
          <w:p w14:paraId="272ECEA8"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bottom w:val="nil"/>
              <w:right w:val="single" w:sz="8" w:space="0" w:color="auto"/>
            </w:tcBorders>
            <w:shd w:val="clear" w:color="auto" w:fill="auto"/>
            <w:vAlign w:val="center"/>
            <w:hideMark/>
          </w:tcPr>
          <w:p w14:paraId="49BAC172" w14:textId="77777777" w:rsidR="003D062D" w:rsidRPr="00FC6195" w:rsidRDefault="003D062D">
            <w:pPr>
              <w:jc w:val="both"/>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nil"/>
              <w:right w:val="single" w:sz="8" w:space="0" w:color="auto"/>
            </w:tcBorders>
            <w:shd w:val="clear" w:color="auto" w:fill="auto"/>
            <w:vAlign w:val="center"/>
            <w:hideMark/>
          </w:tcPr>
          <w:p w14:paraId="1C9C1805"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single" w:sz="8" w:space="0" w:color="auto"/>
              <w:right w:val="single" w:sz="8" w:space="0" w:color="auto"/>
            </w:tcBorders>
            <w:shd w:val="clear" w:color="auto" w:fill="auto"/>
            <w:noWrap/>
            <w:vAlign w:val="center"/>
            <w:hideMark/>
          </w:tcPr>
          <w:p w14:paraId="2B5236FC"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75700</w:t>
            </w:r>
          </w:p>
        </w:tc>
        <w:tc>
          <w:tcPr>
            <w:tcW w:w="2070" w:type="dxa"/>
            <w:tcBorders>
              <w:top w:val="nil"/>
              <w:left w:val="nil"/>
              <w:bottom w:val="single" w:sz="8" w:space="0" w:color="auto"/>
              <w:right w:val="single" w:sz="8" w:space="0" w:color="auto"/>
            </w:tcBorders>
            <w:shd w:val="clear" w:color="auto" w:fill="auto"/>
            <w:noWrap/>
            <w:vAlign w:val="center"/>
            <w:hideMark/>
          </w:tcPr>
          <w:p w14:paraId="0C1419BF" w14:textId="77777777" w:rsidR="003D062D" w:rsidRPr="00FC6195" w:rsidRDefault="003D062D">
            <w:pPr>
              <w:rPr>
                <w:rFonts w:eastAsia="Times New Roman"/>
                <w:color w:val="000000"/>
                <w:sz w:val="17"/>
                <w:szCs w:val="17"/>
              </w:rPr>
            </w:pPr>
            <w:r w:rsidRPr="00FC6195">
              <w:rPr>
                <w:rFonts w:eastAsia="Times New Roman"/>
                <w:color w:val="000000"/>
                <w:sz w:val="17"/>
                <w:szCs w:val="17"/>
              </w:rPr>
              <w:t>Training, Workshops and Confer</w:t>
            </w:r>
          </w:p>
        </w:tc>
        <w:tc>
          <w:tcPr>
            <w:tcW w:w="810" w:type="dxa"/>
            <w:tcBorders>
              <w:top w:val="nil"/>
              <w:left w:val="nil"/>
              <w:bottom w:val="single" w:sz="8" w:space="0" w:color="auto"/>
              <w:right w:val="single" w:sz="8" w:space="0" w:color="auto"/>
            </w:tcBorders>
            <w:shd w:val="clear" w:color="auto" w:fill="auto"/>
            <w:noWrap/>
            <w:vAlign w:val="center"/>
            <w:hideMark/>
          </w:tcPr>
          <w:p w14:paraId="7A2C70B3"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10,000</w:t>
            </w:r>
          </w:p>
        </w:tc>
        <w:tc>
          <w:tcPr>
            <w:tcW w:w="1010" w:type="dxa"/>
            <w:tcBorders>
              <w:top w:val="nil"/>
              <w:left w:val="nil"/>
              <w:bottom w:val="single" w:sz="8" w:space="0" w:color="auto"/>
              <w:right w:val="single" w:sz="8" w:space="0" w:color="auto"/>
            </w:tcBorders>
            <w:shd w:val="clear" w:color="auto" w:fill="auto"/>
            <w:noWrap/>
            <w:vAlign w:val="center"/>
            <w:hideMark/>
          </w:tcPr>
          <w:p w14:paraId="15EC8BB3"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10,000</w:t>
            </w:r>
          </w:p>
        </w:tc>
        <w:tc>
          <w:tcPr>
            <w:tcW w:w="970" w:type="dxa"/>
            <w:tcBorders>
              <w:top w:val="nil"/>
              <w:left w:val="nil"/>
              <w:bottom w:val="single" w:sz="8" w:space="0" w:color="auto"/>
              <w:right w:val="single" w:sz="8" w:space="0" w:color="auto"/>
            </w:tcBorders>
            <w:shd w:val="clear" w:color="auto" w:fill="auto"/>
            <w:noWrap/>
            <w:vAlign w:val="center"/>
            <w:hideMark/>
          </w:tcPr>
          <w:p w14:paraId="2EB8117E"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10,000</w:t>
            </w:r>
          </w:p>
        </w:tc>
        <w:tc>
          <w:tcPr>
            <w:tcW w:w="1080" w:type="dxa"/>
            <w:tcBorders>
              <w:top w:val="nil"/>
              <w:left w:val="nil"/>
              <w:bottom w:val="single" w:sz="8" w:space="0" w:color="auto"/>
              <w:right w:val="single" w:sz="8" w:space="0" w:color="auto"/>
            </w:tcBorders>
            <w:shd w:val="clear" w:color="auto" w:fill="auto"/>
            <w:noWrap/>
            <w:vAlign w:val="center"/>
            <w:hideMark/>
          </w:tcPr>
          <w:p w14:paraId="6683E2D7"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10,000</w:t>
            </w:r>
          </w:p>
        </w:tc>
        <w:tc>
          <w:tcPr>
            <w:tcW w:w="1170" w:type="dxa"/>
            <w:tcBorders>
              <w:top w:val="nil"/>
              <w:left w:val="nil"/>
              <w:bottom w:val="single" w:sz="8" w:space="0" w:color="auto"/>
              <w:right w:val="single" w:sz="8" w:space="0" w:color="auto"/>
            </w:tcBorders>
            <w:shd w:val="clear" w:color="auto" w:fill="auto"/>
            <w:noWrap/>
            <w:vAlign w:val="center"/>
            <w:hideMark/>
          </w:tcPr>
          <w:p w14:paraId="6CA24AAA"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10,000</w:t>
            </w:r>
          </w:p>
        </w:tc>
        <w:tc>
          <w:tcPr>
            <w:tcW w:w="1080" w:type="dxa"/>
            <w:tcBorders>
              <w:top w:val="nil"/>
              <w:left w:val="nil"/>
              <w:bottom w:val="single" w:sz="8" w:space="0" w:color="auto"/>
              <w:right w:val="single" w:sz="8" w:space="0" w:color="auto"/>
            </w:tcBorders>
            <w:shd w:val="clear" w:color="auto" w:fill="auto"/>
            <w:noWrap/>
            <w:vAlign w:val="center"/>
            <w:hideMark/>
          </w:tcPr>
          <w:p w14:paraId="29173F90"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50,000</w:t>
            </w:r>
          </w:p>
        </w:tc>
        <w:tc>
          <w:tcPr>
            <w:tcW w:w="900" w:type="dxa"/>
            <w:tcBorders>
              <w:top w:val="nil"/>
              <w:left w:val="nil"/>
              <w:bottom w:val="single" w:sz="8" w:space="0" w:color="auto"/>
              <w:right w:val="single" w:sz="8" w:space="0" w:color="auto"/>
            </w:tcBorders>
            <w:shd w:val="clear" w:color="auto" w:fill="auto"/>
            <w:vAlign w:val="center"/>
            <w:hideMark/>
          </w:tcPr>
          <w:p w14:paraId="7BEE4F0D" w14:textId="77777777" w:rsidR="003D062D" w:rsidRPr="00FC6195" w:rsidRDefault="003D062D">
            <w:pPr>
              <w:jc w:val="center"/>
              <w:rPr>
                <w:rFonts w:eastAsia="Times New Roman"/>
                <w:i/>
                <w:iCs/>
                <w:color w:val="000000"/>
                <w:sz w:val="17"/>
                <w:szCs w:val="17"/>
              </w:rPr>
            </w:pPr>
            <w:r w:rsidRPr="00FC6195">
              <w:rPr>
                <w:rFonts w:eastAsia="Times New Roman"/>
                <w:i/>
                <w:iCs/>
                <w:color w:val="000000"/>
                <w:sz w:val="17"/>
                <w:szCs w:val="17"/>
              </w:rPr>
              <w:t>6</w:t>
            </w:r>
          </w:p>
        </w:tc>
      </w:tr>
      <w:tr w:rsidR="00F01AE3" w:rsidRPr="00FC6195" w14:paraId="497C8079" w14:textId="77777777" w:rsidTr="007132EE">
        <w:trPr>
          <w:trHeight w:val="340"/>
        </w:trPr>
        <w:tc>
          <w:tcPr>
            <w:tcW w:w="1181" w:type="dxa"/>
            <w:tcBorders>
              <w:top w:val="nil"/>
              <w:left w:val="single" w:sz="8" w:space="0" w:color="auto"/>
              <w:right w:val="single" w:sz="8" w:space="0" w:color="auto"/>
            </w:tcBorders>
            <w:shd w:val="clear" w:color="auto" w:fill="auto"/>
            <w:vAlign w:val="center"/>
            <w:hideMark/>
          </w:tcPr>
          <w:p w14:paraId="55417AB5"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 </w:t>
            </w:r>
          </w:p>
        </w:tc>
        <w:tc>
          <w:tcPr>
            <w:tcW w:w="1149" w:type="dxa"/>
            <w:tcBorders>
              <w:top w:val="nil"/>
              <w:left w:val="nil"/>
              <w:right w:val="single" w:sz="8" w:space="0" w:color="auto"/>
            </w:tcBorders>
            <w:shd w:val="clear" w:color="auto" w:fill="auto"/>
            <w:vAlign w:val="center"/>
            <w:hideMark/>
          </w:tcPr>
          <w:p w14:paraId="4C0D436D"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right w:val="single" w:sz="8" w:space="0" w:color="auto"/>
            </w:tcBorders>
            <w:shd w:val="clear" w:color="auto" w:fill="auto"/>
            <w:vAlign w:val="center"/>
            <w:hideMark/>
          </w:tcPr>
          <w:p w14:paraId="33E09460" w14:textId="77777777" w:rsidR="003D062D" w:rsidRPr="00FC6195" w:rsidRDefault="003D062D">
            <w:pPr>
              <w:jc w:val="both"/>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right w:val="single" w:sz="8" w:space="0" w:color="auto"/>
            </w:tcBorders>
            <w:shd w:val="clear" w:color="auto" w:fill="auto"/>
            <w:vAlign w:val="center"/>
            <w:hideMark/>
          </w:tcPr>
          <w:p w14:paraId="49A8F04E"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single" w:sz="8" w:space="0" w:color="auto"/>
              <w:right w:val="single" w:sz="8" w:space="0" w:color="auto"/>
            </w:tcBorders>
            <w:shd w:val="clear" w:color="auto" w:fill="auto"/>
            <w:noWrap/>
            <w:vAlign w:val="center"/>
            <w:hideMark/>
          </w:tcPr>
          <w:p w14:paraId="7117BA79"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74500</w:t>
            </w:r>
          </w:p>
        </w:tc>
        <w:tc>
          <w:tcPr>
            <w:tcW w:w="2070" w:type="dxa"/>
            <w:tcBorders>
              <w:top w:val="nil"/>
              <w:left w:val="nil"/>
              <w:bottom w:val="single" w:sz="8" w:space="0" w:color="auto"/>
              <w:right w:val="single" w:sz="8" w:space="0" w:color="auto"/>
            </w:tcBorders>
            <w:shd w:val="clear" w:color="auto" w:fill="auto"/>
            <w:noWrap/>
            <w:vAlign w:val="center"/>
            <w:hideMark/>
          </w:tcPr>
          <w:p w14:paraId="3659A181" w14:textId="77777777" w:rsidR="003D062D" w:rsidRPr="00FC6195" w:rsidRDefault="003D062D">
            <w:pPr>
              <w:rPr>
                <w:rFonts w:eastAsia="Times New Roman"/>
                <w:color w:val="000000"/>
                <w:sz w:val="17"/>
                <w:szCs w:val="17"/>
              </w:rPr>
            </w:pPr>
            <w:r w:rsidRPr="00FC6195">
              <w:rPr>
                <w:rFonts w:eastAsia="Times New Roman"/>
                <w:color w:val="000000"/>
                <w:sz w:val="17"/>
                <w:szCs w:val="17"/>
              </w:rPr>
              <w:t xml:space="preserve">Miscellaneous </w:t>
            </w:r>
          </w:p>
        </w:tc>
        <w:tc>
          <w:tcPr>
            <w:tcW w:w="810" w:type="dxa"/>
            <w:tcBorders>
              <w:top w:val="nil"/>
              <w:left w:val="nil"/>
              <w:bottom w:val="single" w:sz="8" w:space="0" w:color="auto"/>
              <w:right w:val="single" w:sz="8" w:space="0" w:color="auto"/>
            </w:tcBorders>
            <w:shd w:val="clear" w:color="auto" w:fill="auto"/>
            <w:noWrap/>
            <w:vAlign w:val="center"/>
            <w:hideMark/>
          </w:tcPr>
          <w:p w14:paraId="27959AEC"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2,000</w:t>
            </w:r>
          </w:p>
        </w:tc>
        <w:tc>
          <w:tcPr>
            <w:tcW w:w="1010" w:type="dxa"/>
            <w:tcBorders>
              <w:top w:val="nil"/>
              <w:left w:val="nil"/>
              <w:bottom w:val="single" w:sz="8" w:space="0" w:color="auto"/>
              <w:right w:val="single" w:sz="8" w:space="0" w:color="auto"/>
            </w:tcBorders>
            <w:shd w:val="clear" w:color="auto" w:fill="auto"/>
            <w:noWrap/>
            <w:vAlign w:val="center"/>
            <w:hideMark/>
          </w:tcPr>
          <w:p w14:paraId="31650708"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2,500</w:t>
            </w:r>
          </w:p>
        </w:tc>
        <w:tc>
          <w:tcPr>
            <w:tcW w:w="970" w:type="dxa"/>
            <w:tcBorders>
              <w:top w:val="nil"/>
              <w:left w:val="nil"/>
              <w:bottom w:val="single" w:sz="8" w:space="0" w:color="auto"/>
              <w:right w:val="single" w:sz="8" w:space="0" w:color="auto"/>
            </w:tcBorders>
            <w:shd w:val="clear" w:color="auto" w:fill="auto"/>
            <w:noWrap/>
            <w:vAlign w:val="center"/>
            <w:hideMark/>
          </w:tcPr>
          <w:p w14:paraId="0BCB99B2"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2,500</w:t>
            </w:r>
          </w:p>
        </w:tc>
        <w:tc>
          <w:tcPr>
            <w:tcW w:w="1080" w:type="dxa"/>
            <w:tcBorders>
              <w:top w:val="nil"/>
              <w:left w:val="nil"/>
              <w:bottom w:val="single" w:sz="8" w:space="0" w:color="auto"/>
              <w:right w:val="single" w:sz="8" w:space="0" w:color="auto"/>
            </w:tcBorders>
            <w:shd w:val="clear" w:color="auto" w:fill="auto"/>
            <w:noWrap/>
            <w:vAlign w:val="center"/>
            <w:hideMark/>
          </w:tcPr>
          <w:p w14:paraId="1CD408B3"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2,500</w:t>
            </w:r>
          </w:p>
        </w:tc>
        <w:tc>
          <w:tcPr>
            <w:tcW w:w="1170" w:type="dxa"/>
            <w:tcBorders>
              <w:top w:val="nil"/>
              <w:left w:val="nil"/>
              <w:bottom w:val="single" w:sz="8" w:space="0" w:color="auto"/>
              <w:right w:val="single" w:sz="8" w:space="0" w:color="auto"/>
            </w:tcBorders>
            <w:shd w:val="clear" w:color="auto" w:fill="auto"/>
            <w:vAlign w:val="center"/>
            <w:hideMark/>
          </w:tcPr>
          <w:p w14:paraId="0D5E7600"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1,500</w:t>
            </w:r>
          </w:p>
        </w:tc>
        <w:tc>
          <w:tcPr>
            <w:tcW w:w="1080" w:type="dxa"/>
            <w:tcBorders>
              <w:top w:val="nil"/>
              <w:left w:val="nil"/>
              <w:bottom w:val="single" w:sz="8" w:space="0" w:color="auto"/>
              <w:right w:val="single" w:sz="8" w:space="0" w:color="auto"/>
            </w:tcBorders>
            <w:shd w:val="clear" w:color="auto" w:fill="auto"/>
            <w:noWrap/>
            <w:vAlign w:val="center"/>
            <w:hideMark/>
          </w:tcPr>
          <w:p w14:paraId="7BE18F99"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11,000</w:t>
            </w:r>
          </w:p>
        </w:tc>
        <w:tc>
          <w:tcPr>
            <w:tcW w:w="900" w:type="dxa"/>
            <w:tcBorders>
              <w:top w:val="nil"/>
              <w:left w:val="nil"/>
              <w:bottom w:val="single" w:sz="8" w:space="0" w:color="auto"/>
              <w:right w:val="single" w:sz="8" w:space="0" w:color="auto"/>
            </w:tcBorders>
            <w:shd w:val="clear" w:color="auto" w:fill="auto"/>
            <w:vAlign w:val="center"/>
            <w:hideMark/>
          </w:tcPr>
          <w:p w14:paraId="174EEA3A" w14:textId="77777777" w:rsidR="003D062D" w:rsidRPr="00FC6195" w:rsidRDefault="003D062D">
            <w:pPr>
              <w:jc w:val="center"/>
              <w:rPr>
                <w:rFonts w:eastAsia="Times New Roman"/>
                <w:i/>
                <w:iCs/>
                <w:color w:val="000000"/>
                <w:sz w:val="17"/>
                <w:szCs w:val="17"/>
              </w:rPr>
            </w:pPr>
            <w:r w:rsidRPr="00FC6195">
              <w:rPr>
                <w:rFonts w:eastAsia="Times New Roman"/>
                <w:i/>
                <w:iCs/>
                <w:color w:val="000000"/>
                <w:sz w:val="17"/>
                <w:szCs w:val="17"/>
              </w:rPr>
              <w:t>7</w:t>
            </w:r>
          </w:p>
        </w:tc>
      </w:tr>
      <w:tr w:rsidR="00F01AE3" w:rsidRPr="00FC6195" w14:paraId="60EE0520" w14:textId="77777777" w:rsidTr="007132EE">
        <w:trPr>
          <w:trHeight w:val="620"/>
        </w:trPr>
        <w:tc>
          <w:tcPr>
            <w:tcW w:w="1181" w:type="dxa"/>
            <w:tcBorders>
              <w:top w:val="nil"/>
              <w:left w:val="single" w:sz="8" w:space="0" w:color="auto"/>
              <w:bottom w:val="double" w:sz="4" w:space="0" w:color="auto"/>
              <w:right w:val="single" w:sz="8" w:space="0" w:color="auto"/>
            </w:tcBorders>
            <w:shd w:val="clear" w:color="auto" w:fill="auto"/>
            <w:vAlign w:val="center"/>
            <w:hideMark/>
          </w:tcPr>
          <w:p w14:paraId="48596DC9"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 </w:t>
            </w:r>
          </w:p>
        </w:tc>
        <w:tc>
          <w:tcPr>
            <w:tcW w:w="1149" w:type="dxa"/>
            <w:tcBorders>
              <w:top w:val="nil"/>
              <w:left w:val="nil"/>
              <w:bottom w:val="double" w:sz="4" w:space="0" w:color="auto"/>
              <w:right w:val="single" w:sz="8" w:space="0" w:color="auto"/>
            </w:tcBorders>
            <w:shd w:val="clear" w:color="auto" w:fill="auto"/>
            <w:vAlign w:val="center"/>
            <w:hideMark/>
          </w:tcPr>
          <w:p w14:paraId="29D58AF8"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bottom w:val="double" w:sz="4" w:space="0" w:color="auto"/>
              <w:right w:val="single" w:sz="8" w:space="0" w:color="auto"/>
            </w:tcBorders>
            <w:shd w:val="clear" w:color="auto" w:fill="auto"/>
            <w:vAlign w:val="center"/>
            <w:hideMark/>
          </w:tcPr>
          <w:p w14:paraId="0041027F"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double" w:sz="4" w:space="0" w:color="auto"/>
              <w:right w:val="single" w:sz="8" w:space="0" w:color="auto"/>
            </w:tcBorders>
            <w:shd w:val="clear" w:color="auto" w:fill="auto"/>
            <w:vAlign w:val="center"/>
            <w:hideMark/>
          </w:tcPr>
          <w:p w14:paraId="590970AA"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double" w:sz="6" w:space="0" w:color="auto"/>
              <w:right w:val="single" w:sz="8" w:space="0" w:color="auto"/>
            </w:tcBorders>
            <w:shd w:val="clear" w:color="auto" w:fill="auto"/>
            <w:noWrap/>
            <w:vAlign w:val="center"/>
            <w:hideMark/>
          </w:tcPr>
          <w:p w14:paraId="5A34223E"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 </w:t>
            </w:r>
          </w:p>
        </w:tc>
        <w:tc>
          <w:tcPr>
            <w:tcW w:w="2070" w:type="dxa"/>
            <w:tcBorders>
              <w:top w:val="nil"/>
              <w:left w:val="nil"/>
              <w:bottom w:val="double" w:sz="6" w:space="0" w:color="auto"/>
              <w:right w:val="single" w:sz="8" w:space="0" w:color="auto"/>
            </w:tcBorders>
            <w:shd w:val="clear" w:color="auto" w:fill="auto"/>
            <w:vAlign w:val="center"/>
            <w:hideMark/>
          </w:tcPr>
          <w:p w14:paraId="1D128FC0" w14:textId="77777777" w:rsidR="003D062D" w:rsidRPr="00FC6195" w:rsidRDefault="003D062D">
            <w:pPr>
              <w:rPr>
                <w:rFonts w:eastAsia="Times New Roman"/>
                <w:b/>
                <w:bCs/>
                <w:color w:val="000000"/>
                <w:sz w:val="17"/>
                <w:szCs w:val="17"/>
              </w:rPr>
            </w:pPr>
            <w:r w:rsidRPr="00FC6195">
              <w:rPr>
                <w:rFonts w:eastAsia="Times New Roman"/>
                <w:b/>
                <w:bCs/>
                <w:color w:val="000000"/>
                <w:sz w:val="17"/>
                <w:szCs w:val="17"/>
              </w:rPr>
              <w:t>Total Outcome 1</w:t>
            </w:r>
          </w:p>
        </w:tc>
        <w:tc>
          <w:tcPr>
            <w:tcW w:w="810" w:type="dxa"/>
            <w:tcBorders>
              <w:top w:val="nil"/>
              <w:left w:val="nil"/>
              <w:bottom w:val="double" w:sz="6" w:space="0" w:color="auto"/>
              <w:right w:val="single" w:sz="8" w:space="0" w:color="auto"/>
            </w:tcBorders>
            <w:shd w:val="clear" w:color="auto" w:fill="auto"/>
            <w:noWrap/>
            <w:vAlign w:val="center"/>
            <w:hideMark/>
          </w:tcPr>
          <w:p w14:paraId="6C216973"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92,000</w:t>
            </w:r>
          </w:p>
        </w:tc>
        <w:tc>
          <w:tcPr>
            <w:tcW w:w="1010" w:type="dxa"/>
            <w:tcBorders>
              <w:top w:val="nil"/>
              <w:left w:val="nil"/>
              <w:bottom w:val="double" w:sz="6" w:space="0" w:color="auto"/>
              <w:right w:val="single" w:sz="8" w:space="0" w:color="auto"/>
            </w:tcBorders>
            <w:shd w:val="clear" w:color="auto" w:fill="auto"/>
            <w:noWrap/>
            <w:vAlign w:val="center"/>
            <w:hideMark/>
          </w:tcPr>
          <w:p w14:paraId="58D76387"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219,500</w:t>
            </w:r>
          </w:p>
        </w:tc>
        <w:tc>
          <w:tcPr>
            <w:tcW w:w="970" w:type="dxa"/>
            <w:tcBorders>
              <w:top w:val="nil"/>
              <w:left w:val="nil"/>
              <w:bottom w:val="double" w:sz="6" w:space="0" w:color="auto"/>
              <w:right w:val="single" w:sz="8" w:space="0" w:color="auto"/>
            </w:tcBorders>
            <w:shd w:val="clear" w:color="auto" w:fill="auto"/>
            <w:noWrap/>
            <w:vAlign w:val="center"/>
            <w:hideMark/>
          </w:tcPr>
          <w:p w14:paraId="5A120A88"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205,500</w:t>
            </w:r>
          </w:p>
        </w:tc>
        <w:tc>
          <w:tcPr>
            <w:tcW w:w="1080" w:type="dxa"/>
            <w:tcBorders>
              <w:top w:val="nil"/>
              <w:left w:val="nil"/>
              <w:bottom w:val="double" w:sz="6" w:space="0" w:color="auto"/>
              <w:right w:val="single" w:sz="8" w:space="0" w:color="auto"/>
            </w:tcBorders>
            <w:shd w:val="clear" w:color="auto" w:fill="auto"/>
            <w:noWrap/>
            <w:vAlign w:val="center"/>
            <w:hideMark/>
          </w:tcPr>
          <w:p w14:paraId="012AF11B"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109,500</w:t>
            </w:r>
          </w:p>
        </w:tc>
        <w:tc>
          <w:tcPr>
            <w:tcW w:w="1170" w:type="dxa"/>
            <w:tcBorders>
              <w:top w:val="nil"/>
              <w:left w:val="nil"/>
              <w:bottom w:val="double" w:sz="6" w:space="0" w:color="auto"/>
              <w:right w:val="single" w:sz="8" w:space="0" w:color="auto"/>
            </w:tcBorders>
            <w:shd w:val="clear" w:color="auto" w:fill="auto"/>
            <w:noWrap/>
            <w:vAlign w:val="center"/>
            <w:hideMark/>
          </w:tcPr>
          <w:p w14:paraId="67704949"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73,500</w:t>
            </w:r>
          </w:p>
        </w:tc>
        <w:tc>
          <w:tcPr>
            <w:tcW w:w="1080" w:type="dxa"/>
            <w:tcBorders>
              <w:top w:val="nil"/>
              <w:left w:val="nil"/>
              <w:bottom w:val="double" w:sz="6" w:space="0" w:color="auto"/>
              <w:right w:val="single" w:sz="8" w:space="0" w:color="auto"/>
            </w:tcBorders>
            <w:shd w:val="clear" w:color="auto" w:fill="auto"/>
            <w:noWrap/>
            <w:vAlign w:val="center"/>
            <w:hideMark/>
          </w:tcPr>
          <w:p w14:paraId="59B8635D"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700,000</w:t>
            </w:r>
          </w:p>
        </w:tc>
        <w:tc>
          <w:tcPr>
            <w:tcW w:w="900" w:type="dxa"/>
            <w:tcBorders>
              <w:top w:val="nil"/>
              <w:left w:val="nil"/>
              <w:bottom w:val="double" w:sz="6" w:space="0" w:color="auto"/>
              <w:right w:val="single" w:sz="8" w:space="0" w:color="auto"/>
            </w:tcBorders>
            <w:shd w:val="clear" w:color="auto" w:fill="auto"/>
            <w:vAlign w:val="center"/>
            <w:hideMark/>
          </w:tcPr>
          <w:p w14:paraId="11C8D708" w14:textId="77777777" w:rsidR="003D062D" w:rsidRPr="00FC6195" w:rsidRDefault="003D062D">
            <w:pPr>
              <w:jc w:val="center"/>
              <w:rPr>
                <w:rFonts w:eastAsia="Times New Roman"/>
                <w:b/>
                <w:bCs/>
                <w:i/>
                <w:iCs/>
                <w:color w:val="000000"/>
                <w:sz w:val="17"/>
                <w:szCs w:val="17"/>
              </w:rPr>
            </w:pPr>
            <w:r w:rsidRPr="00FC6195">
              <w:rPr>
                <w:rFonts w:eastAsia="Times New Roman"/>
                <w:b/>
                <w:bCs/>
                <w:i/>
                <w:iCs/>
                <w:color w:val="000000"/>
                <w:sz w:val="17"/>
                <w:szCs w:val="17"/>
              </w:rPr>
              <w:t> </w:t>
            </w:r>
          </w:p>
        </w:tc>
      </w:tr>
      <w:tr w:rsidR="00F01AE3" w:rsidRPr="00FC6195" w14:paraId="56F33829" w14:textId="77777777" w:rsidTr="007132EE">
        <w:trPr>
          <w:trHeight w:val="340"/>
        </w:trPr>
        <w:tc>
          <w:tcPr>
            <w:tcW w:w="1181" w:type="dxa"/>
            <w:tcBorders>
              <w:top w:val="double" w:sz="4" w:space="0" w:color="auto"/>
              <w:left w:val="single" w:sz="8" w:space="0" w:color="auto"/>
              <w:bottom w:val="nil"/>
              <w:right w:val="nil"/>
            </w:tcBorders>
            <w:shd w:val="clear" w:color="auto" w:fill="auto"/>
            <w:noWrap/>
            <w:vAlign w:val="center"/>
            <w:hideMark/>
          </w:tcPr>
          <w:p w14:paraId="264797CF" w14:textId="77777777" w:rsidR="003D062D" w:rsidRPr="00FC6195" w:rsidRDefault="003D062D">
            <w:pPr>
              <w:jc w:val="both"/>
              <w:rPr>
                <w:rFonts w:eastAsia="Times New Roman"/>
                <w:i/>
                <w:iCs/>
                <w:color w:val="000000"/>
                <w:sz w:val="17"/>
                <w:szCs w:val="17"/>
              </w:rPr>
            </w:pPr>
            <w:r w:rsidRPr="00FC6195">
              <w:rPr>
                <w:rFonts w:eastAsia="Times New Roman"/>
                <w:i/>
                <w:iCs/>
                <w:color w:val="000000"/>
                <w:sz w:val="17"/>
                <w:szCs w:val="17"/>
              </w:rPr>
              <w:t> </w:t>
            </w:r>
          </w:p>
        </w:tc>
        <w:tc>
          <w:tcPr>
            <w:tcW w:w="1149" w:type="dxa"/>
            <w:tcBorders>
              <w:top w:val="double" w:sz="4" w:space="0" w:color="auto"/>
              <w:left w:val="single" w:sz="8" w:space="0" w:color="auto"/>
              <w:bottom w:val="nil"/>
              <w:right w:val="single" w:sz="8" w:space="0" w:color="auto"/>
            </w:tcBorders>
            <w:shd w:val="clear" w:color="auto" w:fill="auto"/>
            <w:vAlign w:val="center"/>
            <w:hideMark/>
          </w:tcPr>
          <w:p w14:paraId="2397AB5B"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double" w:sz="4" w:space="0" w:color="auto"/>
              <w:left w:val="nil"/>
              <w:bottom w:val="nil"/>
              <w:right w:val="single" w:sz="8" w:space="0" w:color="auto"/>
            </w:tcBorders>
            <w:shd w:val="clear" w:color="auto" w:fill="auto"/>
            <w:vAlign w:val="center"/>
            <w:hideMark/>
          </w:tcPr>
          <w:p w14:paraId="0C957CA8"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double" w:sz="4" w:space="0" w:color="auto"/>
              <w:left w:val="nil"/>
              <w:bottom w:val="nil"/>
              <w:right w:val="single" w:sz="8" w:space="0" w:color="auto"/>
            </w:tcBorders>
            <w:shd w:val="clear" w:color="auto" w:fill="auto"/>
            <w:vAlign w:val="center"/>
            <w:hideMark/>
          </w:tcPr>
          <w:p w14:paraId="5DDBEE27"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single" w:sz="8" w:space="0" w:color="auto"/>
              <w:right w:val="single" w:sz="8" w:space="0" w:color="auto"/>
            </w:tcBorders>
            <w:shd w:val="clear" w:color="auto" w:fill="auto"/>
            <w:noWrap/>
            <w:vAlign w:val="center"/>
            <w:hideMark/>
          </w:tcPr>
          <w:p w14:paraId="594C460D"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71200</w:t>
            </w:r>
          </w:p>
        </w:tc>
        <w:tc>
          <w:tcPr>
            <w:tcW w:w="2070" w:type="dxa"/>
            <w:tcBorders>
              <w:top w:val="nil"/>
              <w:left w:val="nil"/>
              <w:bottom w:val="single" w:sz="8" w:space="0" w:color="auto"/>
              <w:right w:val="single" w:sz="8" w:space="0" w:color="auto"/>
            </w:tcBorders>
            <w:shd w:val="clear" w:color="auto" w:fill="auto"/>
            <w:vAlign w:val="center"/>
            <w:hideMark/>
          </w:tcPr>
          <w:p w14:paraId="5E28528A" w14:textId="77777777" w:rsidR="003D062D" w:rsidRPr="00FC6195" w:rsidRDefault="003D062D">
            <w:pPr>
              <w:rPr>
                <w:rFonts w:eastAsia="Times New Roman"/>
                <w:color w:val="000000"/>
                <w:sz w:val="17"/>
                <w:szCs w:val="17"/>
              </w:rPr>
            </w:pPr>
            <w:r w:rsidRPr="00FC6195">
              <w:rPr>
                <w:rFonts w:eastAsia="Times New Roman"/>
                <w:color w:val="000000"/>
                <w:sz w:val="17"/>
                <w:szCs w:val="17"/>
              </w:rPr>
              <w:t>International Consultants</w:t>
            </w:r>
          </w:p>
        </w:tc>
        <w:tc>
          <w:tcPr>
            <w:tcW w:w="810" w:type="dxa"/>
            <w:tcBorders>
              <w:top w:val="nil"/>
              <w:left w:val="nil"/>
              <w:bottom w:val="single" w:sz="8" w:space="0" w:color="auto"/>
              <w:right w:val="single" w:sz="8" w:space="0" w:color="auto"/>
            </w:tcBorders>
            <w:shd w:val="clear" w:color="auto" w:fill="auto"/>
            <w:noWrap/>
            <w:vAlign w:val="center"/>
            <w:hideMark/>
          </w:tcPr>
          <w:p w14:paraId="4BF34E9A"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30,000</w:t>
            </w:r>
          </w:p>
        </w:tc>
        <w:tc>
          <w:tcPr>
            <w:tcW w:w="1010" w:type="dxa"/>
            <w:tcBorders>
              <w:top w:val="nil"/>
              <w:left w:val="nil"/>
              <w:bottom w:val="single" w:sz="8" w:space="0" w:color="auto"/>
              <w:right w:val="single" w:sz="8" w:space="0" w:color="auto"/>
            </w:tcBorders>
            <w:shd w:val="clear" w:color="auto" w:fill="auto"/>
            <w:noWrap/>
            <w:vAlign w:val="center"/>
            <w:hideMark/>
          </w:tcPr>
          <w:p w14:paraId="501B34F3"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100,000</w:t>
            </w:r>
          </w:p>
        </w:tc>
        <w:tc>
          <w:tcPr>
            <w:tcW w:w="970" w:type="dxa"/>
            <w:tcBorders>
              <w:top w:val="nil"/>
              <w:left w:val="nil"/>
              <w:bottom w:val="single" w:sz="8" w:space="0" w:color="auto"/>
              <w:right w:val="single" w:sz="8" w:space="0" w:color="auto"/>
            </w:tcBorders>
            <w:shd w:val="clear" w:color="auto" w:fill="auto"/>
            <w:noWrap/>
            <w:vAlign w:val="center"/>
            <w:hideMark/>
          </w:tcPr>
          <w:p w14:paraId="3ECB214C"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86,000</w:t>
            </w:r>
          </w:p>
        </w:tc>
        <w:tc>
          <w:tcPr>
            <w:tcW w:w="1080" w:type="dxa"/>
            <w:tcBorders>
              <w:top w:val="nil"/>
              <w:left w:val="nil"/>
              <w:bottom w:val="single" w:sz="8" w:space="0" w:color="auto"/>
              <w:right w:val="single" w:sz="8" w:space="0" w:color="auto"/>
            </w:tcBorders>
            <w:shd w:val="clear" w:color="auto" w:fill="auto"/>
            <w:noWrap/>
            <w:vAlign w:val="center"/>
            <w:hideMark/>
          </w:tcPr>
          <w:p w14:paraId="11C94458"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30,000</w:t>
            </w:r>
          </w:p>
        </w:tc>
        <w:tc>
          <w:tcPr>
            <w:tcW w:w="1170" w:type="dxa"/>
            <w:tcBorders>
              <w:top w:val="nil"/>
              <w:left w:val="nil"/>
              <w:bottom w:val="single" w:sz="8" w:space="0" w:color="auto"/>
              <w:right w:val="single" w:sz="8" w:space="0" w:color="auto"/>
            </w:tcBorders>
            <w:shd w:val="clear" w:color="auto" w:fill="auto"/>
            <w:vAlign w:val="center"/>
            <w:hideMark/>
          </w:tcPr>
          <w:p w14:paraId="714F8E60" w14:textId="77777777" w:rsidR="003D062D" w:rsidRPr="00FC6195" w:rsidRDefault="003D062D">
            <w:pPr>
              <w:jc w:val="center"/>
              <w:rPr>
                <w:rFonts w:eastAsia="Times New Roman"/>
                <w:color w:val="000000"/>
                <w:sz w:val="17"/>
                <w:szCs w:val="17"/>
              </w:rPr>
            </w:pPr>
            <w:r w:rsidRPr="00FC6195">
              <w:rPr>
                <w:rFonts w:eastAsia="Times New Roman"/>
                <w:color w:val="000000"/>
                <w:sz w:val="17"/>
                <w:szCs w:val="17"/>
              </w:rPr>
              <w:t>23,000</w:t>
            </w:r>
          </w:p>
        </w:tc>
        <w:tc>
          <w:tcPr>
            <w:tcW w:w="1080" w:type="dxa"/>
            <w:tcBorders>
              <w:top w:val="nil"/>
              <w:left w:val="nil"/>
              <w:bottom w:val="single" w:sz="8" w:space="0" w:color="auto"/>
              <w:right w:val="single" w:sz="8" w:space="0" w:color="auto"/>
            </w:tcBorders>
            <w:shd w:val="clear" w:color="auto" w:fill="auto"/>
            <w:noWrap/>
            <w:vAlign w:val="center"/>
            <w:hideMark/>
          </w:tcPr>
          <w:p w14:paraId="1415F1BD" w14:textId="77777777" w:rsidR="003D062D" w:rsidRPr="00FC6195" w:rsidRDefault="003D062D">
            <w:pPr>
              <w:jc w:val="center"/>
              <w:rPr>
                <w:rFonts w:eastAsia="Times New Roman"/>
                <w:b/>
                <w:bCs/>
                <w:color w:val="000000"/>
                <w:sz w:val="17"/>
                <w:szCs w:val="17"/>
              </w:rPr>
            </w:pPr>
            <w:r w:rsidRPr="00FC6195">
              <w:rPr>
                <w:rFonts w:eastAsia="Times New Roman"/>
                <w:b/>
                <w:bCs/>
                <w:color w:val="000000"/>
                <w:sz w:val="17"/>
                <w:szCs w:val="17"/>
              </w:rPr>
              <w:t>269,000</w:t>
            </w:r>
          </w:p>
        </w:tc>
        <w:tc>
          <w:tcPr>
            <w:tcW w:w="900" w:type="dxa"/>
            <w:tcBorders>
              <w:top w:val="nil"/>
              <w:left w:val="nil"/>
              <w:bottom w:val="single" w:sz="8" w:space="0" w:color="auto"/>
              <w:right w:val="single" w:sz="8" w:space="0" w:color="auto"/>
            </w:tcBorders>
            <w:shd w:val="clear" w:color="auto" w:fill="auto"/>
            <w:vAlign w:val="center"/>
            <w:hideMark/>
          </w:tcPr>
          <w:p w14:paraId="28E792B0" w14:textId="77777777" w:rsidR="003D062D" w:rsidRPr="00FC6195" w:rsidRDefault="003D062D">
            <w:pPr>
              <w:jc w:val="center"/>
              <w:rPr>
                <w:rFonts w:eastAsia="Times New Roman"/>
                <w:i/>
                <w:iCs/>
                <w:color w:val="000000"/>
                <w:sz w:val="17"/>
                <w:szCs w:val="17"/>
              </w:rPr>
            </w:pPr>
            <w:r w:rsidRPr="00FC6195">
              <w:rPr>
                <w:rFonts w:eastAsia="Times New Roman"/>
                <w:i/>
                <w:iCs/>
                <w:color w:val="000000"/>
                <w:sz w:val="17"/>
                <w:szCs w:val="17"/>
              </w:rPr>
              <w:t>8</w:t>
            </w:r>
          </w:p>
        </w:tc>
      </w:tr>
      <w:tr w:rsidR="00F01AE3" w:rsidRPr="00FC6195" w14:paraId="203CA1C1" w14:textId="77777777" w:rsidTr="007132EE">
        <w:trPr>
          <w:trHeight w:val="340"/>
        </w:trPr>
        <w:tc>
          <w:tcPr>
            <w:tcW w:w="1181" w:type="dxa"/>
            <w:tcBorders>
              <w:top w:val="nil"/>
              <w:left w:val="single" w:sz="8" w:space="0" w:color="auto"/>
              <w:bottom w:val="nil"/>
              <w:right w:val="single" w:sz="8" w:space="0" w:color="auto"/>
            </w:tcBorders>
            <w:shd w:val="clear" w:color="auto" w:fill="auto"/>
            <w:vAlign w:val="center"/>
            <w:hideMark/>
          </w:tcPr>
          <w:p w14:paraId="4BBE6F03" w14:textId="48D508CA" w:rsidR="00C9656A" w:rsidRPr="00FC6195" w:rsidRDefault="00FC6195">
            <w:pPr>
              <w:jc w:val="center"/>
              <w:rPr>
                <w:rFonts w:eastAsia="Times New Roman"/>
                <w:color w:val="000000"/>
                <w:sz w:val="17"/>
                <w:szCs w:val="17"/>
              </w:rPr>
            </w:pPr>
            <w:r w:rsidRPr="00FC6195">
              <w:rPr>
                <w:rFonts w:eastAsia="Times New Roman"/>
                <w:b/>
                <w:color w:val="000000"/>
                <w:sz w:val="17"/>
                <w:szCs w:val="17"/>
              </w:rPr>
              <w:t>C</w:t>
            </w:r>
            <w:r>
              <w:rPr>
                <w:rFonts w:eastAsia="Times New Roman"/>
                <w:b/>
                <w:color w:val="000000"/>
                <w:sz w:val="17"/>
                <w:szCs w:val="17"/>
              </w:rPr>
              <w:t>omponent/</w:t>
            </w:r>
            <w:r w:rsidRPr="00FC6195">
              <w:rPr>
                <w:rFonts w:eastAsia="Times New Roman"/>
                <w:b/>
                <w:color w:val="000000"/>
                <w:sz w:val="17"/>
                <w:szCs w:val="17"/>
              </w:rPr>
              <w:t xml:space="preserve"> O</w:t>
            </w:r>
            <w:r>
              <w:rPr>
                <w:rFonts w:eastAsia="Times New Roman"/>
                <w:b/>
                <w:color w:val="000000"/>
                <w:sz w:val="17"/>
                <w:szCs w:val="17"/>
              </w:rPr>
              <w:t xml:space="preserve">utcome </w:t>
            </w:r>
            <w:r w:rsidR="00C9656A" w:rsidRPr="00FC6195">
              <w:rPr>
                <w:rFonts w:eastAsia="Times New Roman"/>
                <w:b/>
                <w:color w:val="000000"/>
                <w:sz w:val="17"/>
                <w:szCs w:val="17"/>
              </w:rPr>
              <w:t>2</w:t>
            </w:r>
          </w:p>
        </w:tc>
        <w:tc>
          <w:tcPr>
            <w:tcW w:w="1149" w:type="dxa"/>
            <w:tcBorders>
              <w:top w:val="nil"/>
              <w:left w:val="nil"/>
              <w:bottom w:val="nil"/>
              <w:right w:val="single" w:sz="8" w:space="0" w:color="auto"/>
            </w:tcBorders>
            <w:shd w:val="clear" w:color="auto" w:fill="auto"/>
            <w:vAlign w:val="center"/>
            <w:hideMark/>
          </w:tcPr>
          <w:p w14:paraId="63B59211"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MoE</w:t>
            </w:r>
          </w:p>
        </w:tc>
        <w:tc>
          <w:tcPr>
            <w:tcW w:w="810" w:type="dxa"/>
            <w:tcBorders>
              <w:top w:val="nil"/>
              <w:left w:val="nil"/>
              <w:bottom w:val="nil"/>
              <w:right w:val="single" w:sz="8" w:space="0" w:color="auto"/>
            </w:tcBorders>
            <w:shd w:val="clear" w:color="auto" w:fill="auto"/>
            <w:vAlign w:val="center"/>
            <w:hideMark/>
          </w:tcPr>
          <w:p w14:paraId="47B1770F"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62000</w:t>
            </w:r>
          </w:p>
        </w:tc>
        <w:tc>
          <w:tcPr>
            <w:tcW w:w="990" w:type="dxa"/>
            <w:tcBorders>
              <w:top w:val="nil"/>
              <w:left w:val="nil"/>
              <w:bottom w:val="nil"/>
              <w:right w:val="single" w:sz="8" w:space="0" w:color="auto"/>
            </w:tcBorders>
            <w:shd w:val="clear" w:color="auto" w:fill="auto"/>
            <w:vAlign w:val="center"/>
            <w:hideMark/>
          </w:tcPr>
          <w:p w14:paraId="7E314EF7"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GEF</w:t>
            </w:r>
          </w:p>
        </w:tc>
        <w:tc>
          <w:tcPr>
            <w:tcW w:w="990" w:type="dxa"/>
            <w:tcBorders>
              <w:top w:val="nil"/>
              <w:left w:val="nil"/>
              <w:bottom w:val="single" w:sz="8" w:space="0" w:color="auto"/>
              <w:right w:val="single" w:sz="8" w:space="0" w:color="auto"/>
            </w:tcBorders>
            <w:shd w:val="clear" w:color="auto" w:fill="auto"/>
            <w:noWrap/>
            <w:vAlign w:val="center"/>
            <w:hideMark/>
          </w:tcPr>
          <w:p w14:paraId="44AF55BD"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71300</w:t>
            </w:r>
          </w:p>
        </w:tc>
        <w:tc>
          <w:tcPr>
            <w:tcW w:w="2070" w:type="dxa"/>
            <w:tcBorders>
              <w:top w:val="nil"/>
              <w:left w:val="nil"/>
              <w:bottom w:val="single" w:sz="8" w:space="0" w:color="auto"/>
              <w:right w:val="single" w:sz="8" w:space="0" w:color="auto"/>
            </w:tcBorders>
            <w:shd w:val="clear" w:color="auto" w:fill="auto"/>
            <w:vAlign w:val="center"/>
            <w:hideMark/>
          </w:tcPr>
          <w:p w14:paraId="1578FED1" w14:textId="77777777" w:rsidR="00C9656A" w:rsidRPr="00FC6195" w:rsidRDefault="00C9656A">
            <w:pPr>
              <w:rPr>
                <w:rFonts w:eastAsia="Times New Roman"/>
                <w:color w:val="000000"/>
                <w:sz w:val="17"/>
                <w:szCs w:val="17"/>
              </w:rPr>
            </w:pPr>
            <w:r w:rsidRPr="00FC6195">
              <w:rPr>
                <w:rFonts w:eastAsia="Times New Roman"/>
                <w:color w:val="000000"/>
                <w:sz w:val="17"/>
                <w:szCs w:val="17"/>
              </w:rPr>
              <w:t>Local Consultants</w:t>
            </w:r>
          </w:p>
        </w:tc>
        <w:tc>
          <w:tcPr>
            <w:tcW w:w="810" w:type="dxa"/>
            <w:tcBorders>
              <w:top w:val="nil"/>
              <w:left w:val="nil"/>
              <w:bottom w:val="single" w:sz="8" w:space="0" w:color="auto"/>
              <w:right w:val="single" w:sz="8" w:space="0" w:color="auto"/>
            </w:tcBorders>
            <w:shd w:val="clear" w:color="auto" w:fill="auto"/>
            <w:noWrap/>
            <w:vAlign w:val="center"/>
            <w:hideMark/>
          </w:tcPr>
          <w:p w14:paraId="5DD45285"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10,000</w:t>
            </w:r>
          </w:p>
        </w:tc>
        <w:tc>
          <w:tcPr>
            <w:tcW w:w="1010" w:type="dxa"/>
            <w:tcBorders>
              <w:top w:val="nil"/>
              <w:left w:val="nil"/>
              <w:bottom w:val="single" w:sz="8" w:space="0" w:color="auto"/>
              <w:right w:val="single" w:sz="8" w:space="0" w:color="auto"/>
            </w:tcBorders>
            <w:shd w:val="clear" w:color="auto" w:fill="auto"/>
            <w:noWrap/>
            <w:vAlign w:val="center"/>
            <w:hideMark/>
          </w:tcPr>
          <w:p w14:paraId="356E93CE"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60,000</w:t>
            </w:r>
          </w:p>
        </w:tc>
        <w:tc>
          <w:tcPr>
            <w:tcW w:w="970" w:type="dxa"/>
            <w:tcBorders>
              <w:top w:val="nil"/>
              <w:left w:val="nil"/>
              <w:bottom w:val="single" w:sz="8" w:space="0" w:color="auto"/>
              <w:right w:val="single" w:sz="8" w:space="0" w:color="auto"/>
            </w:tcBorders>
            <w:shd w:val="clear" w:color="auto" w:fill="auto"/>
            <w:noWrap/>
            <w:vAlign w:val="center"/>
            <w:hideMark/>
          </w:tcPr>
          <w:p w14:paraId="6E29175B"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62,000</w:t>
            </w:r>
          </w:p>
        </w:tc>
        <w:tc>
          <w:tcPr>
            <w:tcW w:w="1080" w:type="dxa"/>
            <w:tcBorders>
              <w:top w:val="nil"/>
              <w:left w:val="nil"/>
              <w:bottom w:val="single" w:sz="8" w:space="0" w:color="auto"/>
              <w:right w:val="single" w:sz="8" w:space="0" w:color="auto"/>
            </w:tcBorders>
            <w:shd w:val="clear" w:color="auto" w:fill="auto"/>
            <w:noWrap/>
            <w:vAlign w:val="center"/>
            <w:hideMark/>
          </w:tcPr>
          <w:p w14:paraId="3971EFE0"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15,000</w:t>
            </w:r>
          </w:p>
        </w:tc>
        <w:tc>
          <w:tcPr>
            <w:tcW w:w="1170" w:type="dxa"/>
            <w:tcBorders>
              <w:top w:val="nil"/>
              <w:left w:val="nil"/>
              <w:bottom w:val="single" w:sz="8" w:space="0" w:color="auto"/>
              <w:right w:val="single" w:sz="8" w:space="0" w:color="auto"/>
            </w:tcBorders>
            <w:shd w:val="clear" w:color="auto" w:fill="auto"/>
            <w:vAlign w:val="center"/>
            <w:hideMark/>
          </w:tcPr>
          <w:p w14:paraId="630C3AEA"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17,000</w:t>
            </w:r>
          </w:p>
        </w:tc>
        <w:tc>
          <w:tcPr>
            <w:tcW w:w="1080" w:type="dxa"/>
            <w:tcBorders>
              <w:top w:val="nil"/>
              <w:left w:val="nil"/>
              <w:bottom w:val="single" w:sz="8" w:space="0" w:color="auto"/>
              <w:right w:val="single" w:sz="8" w:space="0" w:color="auto"/>
            </w:tcBorders>
            <w:shd w:val="clear" w:color="auto" w:fill="auto"/>
            <w:noWrap/>
            <w:vAlign w:val="center"/>
            <w:hideMark/>
          </w:tcPr>
          <w:p w14:paraId="673D1B57"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164,000</w:t>
            </w:r>
          </w:p>
        </w:tc>
        <w:tc>
          <w:tcPr>
            <w:tcW w:w="900" w:type="dxa"/>
            <w:tcBorders>
              <w:top w:val="nil"/>
              <w:left w:val="nil"/>
              <w:bottom w:val="single" w:sz="8" w:space="0" w:color="auto"/>
              <w:right w:val="single" w:sz="8" w:space="0" w:color="auto"/>
            </w:tcBorders>
            <w:shd w:val="clear" w:color="auto" w:fill="auto"/>
            <w:vAlign w:val="center"/>
            <w:hideMark/>
          </w:tcPr>
          <w:p w14:paraId="2E4ECDDF" w14:textId="77777777" w:rsidR="00C9656A" w:rsidRPr="00FC6195" w:rsidRDefault="00C9656A">
            <w:pPr>
              <w:jc w:val="center"/>
              <w:rPr>
                <w:rFonts w:eastAsia="Times New Roman"/>
                <w:i/>
                <w:iCs/>
                <w:color w:val="000000"/>
                <w:sz w:val="17"/>
                <w:szCs w:val="17"/>
              </w:rPr>
            </w:pPr>
            <w:r w:rsidRPr="00FC6195">
              <w:rPr>
                <w:rFonts w:eastAsia="Times New Roman"/>
                <w:i/>
                <w:iCs/>
                <w:color w:val="000000"/>
                <w:sz w:val="17"/>
                <w:szCs w:val="17"/>
              </w:rPr>
              <w:t>9</w:t>
            </w:r>
          </w:p>
        </w:tc>
      </w:tr>
      <w:tr w:rsidR="00F01AE3" w:rsidRPr="00FC6195" w14:paraId="04D6B68E" w14:textId="77777777" w:rsidTr="007132EE">
        <w:trPr>
          <w:trHeight w:val="340"/>
        </w:trPr>
        <w:tc>
          <w:tcPr>
            <w:tcW w:w="1181" w:type="dxa"/>
            <w:tcBorders>
              <w:top w:val="nil"/>
              <w:left w:val="single" w:sz="8" w:space="0" w:color="auto"/>
              <w:bottom w:val="nil"/>
              <w:right w:val="nil"/>
            </w:tcBorders>
            <w:shd w:val="clear" w:color="auto" w:fill="auto"/>
            <w:noWrap/>
            <w:vAlign w:val="center"/>
            <w:hideMark/>
          </w:tcPr>
          <w:p w14:paraId="5116365D"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1149" w:type="dxa"/>
            <w:tcBorders>
              <w:top w:val="nil"/>
              <w:left w:val="single" w:sz="8" w:space="0" w:color="auto"/>
              <w:bottom w:val="nil"/>
              <w:right w:val="single" w:sz="8" w:space="0" w:color="auto"/>
            </w:tcBorders>
            <w:shd w:val="clear" w:color="auto" w:fill="auto"/>
            <w:vAlign w:val="center"/>
            <w:hideMark/>
          </w:tcPr>
          <w:p w14:paraId="5C30720A"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bottom w:val="nil"/>
              <w:right w:val="single" w:sz="8" w:space="0" w:color="auto"/>
            </w:tcBorders>
            <w:shd w:val="clear" w:color="auto" w:fill="auto"/>
            <w:vAlign w:val="center"/>
            <w:hideMark/>
          </w:tcPr>
          <w:p w14:paraId="4993C4D2"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nil"/>
              <w:right w:val="single" w:sz="8" w:space="0" w:color="auto"/>
            </w:tcBorders>
            <w:shd w:val="clear" w:color="auto" w:fill="auto"/>
            <w:vAlign w:val="center"/>
            <w:hideMark/>
          </w:tcPr>
          <w:p w14:paraId="44F2884D"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single" w:sz="8" w:space="0" w:color="auto"/>
              <w:right w:val="single" w:sz="8" w:space="0" w:color="auto"/>
            </w:tcBorders>
            <w:shd w:val="clear" w:color="auto" w:fill="auto"/>
            <w:noWrap/>
            <w:vAlign w:val="center"/>
            <w:hideMark/>
          </w:tcPr>
          <w:p w14:paraId="2763CDE9"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71400</w:t>
            </w:r>
          </w:p>
        </w:tc>
        <w:tc>
          <w:tcPr>
            <w:tcW w:w="2070" w:type="dxa"/>
            <w:tcBorders>
              <w:top w:val="nil"/>
              <w:left w:val="nil"/>
              <w:bottom w:val="single" w:sz="8" w:space="0" w:color="auto"/>
              <w:right w:val="single" w:sz="8" w:space="0" w:color="auto"/>
            </w:tcBorders>
            <w:shd w:val="clear" w:color="auto" w:fill="auto"/>
            <w:vAlign w:val="center"/>
            <w:hideMark/>
          </w:tcPr>
          <w:p w14:paraId="3ADF389D" w14:textId="77777777" w:rsidR="00C9656A" w:rsidRPr="00FC6195" w:rsidRDefault="00C9656A">
            <w:pPr>
              <w:rPr>
                <w:rFonts w:eastAsia="Times New Roman"/>
                <w:color w:val="000000"/>
                <w:sz w:val="17"/>
                <w:szCs w:val="17"/>
              </w:rPr>
            </w:pPr>
            <w:r w:rsidRPr="00FC6195">
              <w:rPr>
                <w:rFonts w:eastAsia="Times New Roman"/>
                <w:color w:val="000000"/>
                <w:sz w:val="17"/>
                <w:szCs w:val="17"/>
              </w:rPr>
              <w:t xml:space="preserve">Contractual Services – Individ </w:t>
            </w:r>
          </w:p>
        </w:tc>
        <w:tc>
          <w:tcPr>
            <w:tcW w:w="810" w:type="dxa"/>
            <w:tcBorders>
              <w:top w:val="nil"/>
              <w:left w:val="nil"/>
              <w:bottom w:val="single" w:sz="8" w:space="0" w:color="auto"/>
              <w:right w:val="single" w:sz="8" w:space="0" w:color="auto"/>
            </w:tcBorders>
            <w:shd w:val="clear" w:color="auto" w:fill="auto"/>
            <w:noWrap/>
            <w:vAlign w:val="center"/>
            <w:hideMark/>
          </w:tcPr>
          <w:p w14:paraId="208BB821"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32,000</w:t>
            </w:r>
          </w:p>
        </w:tc>
        <w:tc>
          <w:tcPr>
            <w:tcW w:w="1010" w:type="dxa"/>
            <w:tcBorders>
              <w:top w:val="nil"/>
              <w:left w:val="nil"/>
              <w:bottom w:val="single" w:sz="8" w:space="0" w:color="auto"/>
              <w:right w:val="single" w:sz="8" w:space="0" w:color="auto"/>
            </w:tcBorders>
            <w:shd w:val="clear" w:color="auto" w:fill="auto"/>
            <w:noWrap/>
            <w:vAlign w:val="center"/>
            <w:hideMark/>
          </w:tcPr>
          <w:p w14:paraId="2B237C57"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44,000</w:t>
            </w:r>
          </w:p>
        </w:tc>
        <w:tc>
          <w:tcPr>
            <w:tcW w:w="970" w:type="dxa"/>
            <w:tcBorders>
              <w:top w:val="nil"/>
              <w:left w:val="nil"/>
              <w:bottom w:val="single" w:sz="8" w:space="0" w:color="auto"/>
              <w:right w:val="single" w:sz="8" w:space="0" w:color="auto"/>
            </w:tcBorders>
            <w:shd w:val="clear" w:color="auto" w:fill="auto"/>
            <w:noWrap/>
            <w:vAlign w:val="center"/>
            <w:hideMark/>
          </w:tcPr>
          <w:p w14:paraId="0B65F1D9"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27,000</w:t>
            </w:r>
          </w:p>
        </w:tc>
        <w:tc>
          <w:tcPr>
            <w:tcW w:w="1080" w:type="dxa"/>
            <w:tcBorders>
              <w:top w:val="nil"/>
              <w:left w:val="nil"/>
              <w:bottom w:val="single" w:sz="8" w:space="0" w:color="auto"/>
              <w:right w:val="single" w:sz="8" w:space="0" w:color="auto"/>
            </w:tcBorders>
            <w:shd w:val="clear" w:color="auto" w:fill="auto"/>
            <w:noWrap/>
            <w:vAlign w:val="center"/>
            <w:hideMark/>
          </w:tcPr>
          <w:p w14:paraId="60FBB5F2"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27,000</w:t>
            </w:r>
          </w:p>
        </w:tc>
        <w:tc>
          <w:tcPr>
            <w:tcW w:w="1170" w:type="dxa"/>
            <w:tcBorders>
              <w:top w:val="nil"/>
              <w:left w:val="nil"/>
              <w:bottom w:val="single" w:sz="8" w:space="0" w:color="auto"/>
              <w:right w:val="single" w:sz="8" w:space="0" w:color="auto"/>
            </w:tcBorders>
            <w:shd w:val="clear" w:color="auto" w:fill="auto"/>
            <w:vAlign w:val="center"/>
            <w:hideMark/>
          </w:tcPr>
          <w:p w14:paraId="337FF3E2"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27,000</w:t>
            </w:r>
          </w:p>
        </w:tc>
        <w:tc>
          <w:tcPr>
            <w:tcW w:w="1080" w:type="dxa"/>
            <w:tcBorders>
              <w:top w:val="nil"/>
              <w:left w:val="nil"/>
              <w:bottom w:val="single" w:sz="8" w:space="0" w:color="auto"/>
              <w:right w:val="single" w:sz="8" w:space="0" w:color="auto"/>
            </w:tcBorders>
            <w:shd w:val="clear" w:color="auto" w:fill="auto"/>
            <w:noWrap/>
            <w:vAlign w:val="center"/>
            <w:hideMark/>
          </w:tcPr>
          <w:p w14:paraId="4EBBFF51"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157,000</w:t>
            </w:r>
          </w:p>
        </w:tc>
        <w:tc>
          <w:tcPr>
            <w:tcW w:w="900" w:type="dxa"/>
            <w:tcBorders>
              <w:top w:val="nil"/>
              <w:left w:val="nil"/>
              <w:bottom w:val="single" w:sz="8" w:space="0" w:color="auto"/>
              <w:right w:val="single" w:sz="8" w:space="0" w:color="auto"/>
            </w:tcBorders>
            <w:shd w:val="clear" w:color="auto" w:fill="auto"/>
            <w:vAlign w:val="center"/>
            <w:hideMark/>
          </w:tcPr>
          <w:p w14:paraId="1D3E9494" w14:textId="77777777" w:rsidR="00C9656A" w:rsidRPr="00FC6195" w:rsidRDefault="00C9656A">
            <w:pPr>
              <w:jc w:val="center"/>
              <w:rPr>
                <w:rFonts w:eastAsia="Times New Roman"/>
                <w:i/>
                <w:iCs/>
                <w:color w:val="000000"/>
                <w:sz w:val="17"/>
                <w:szCs w:val="17"/>
              </w:rPr>
            </w:pPr>
            <w:r w:rsidRPr="00FC6195">
              <w:rPr>
                <w:rFonts w:eastAsia="Times New Roman"/>
                <w:i/>
                <w:iCs/>
                <w:color w:val="000000"/>
                <w:sz w:val="17"/>
                <w:szCs w:val="17"/>
              </w:rPr>
              <w:t>10</w:t>
            </w:r>
          </w:p>
        </w:tc>
      </w:tr>
      <w:tr w:rsidR="00F01AE3" w:rsidRPr="00FC6195" w14:paraId="56626AF4" w14:textId="77777777" w:rsidTr="007132EE">
        <w:trPr>
          <w:trHeight w:val="340"/>
        </w:trPr>
        <w:tc>
          <w:tcPr>
            <w:tcW w:w="1181" w:type="dxa"/>
            <w:tcBorders>
              <w:top w:val="nil"/>
              <w:left w:val="single" w:sz="8" w:space="0" w:color="auto"/>
              <w:bottom w:val="nil"/>
              <w:right w:val="single" w:sz="8" w:space="0" w:color="auto"/>
            </w:tcBorders>
            <w:shd w:val="clear" w:color="auto" w:fill="auto"/>
            <w:vAlign w:val="center"/>
            <w:hideMark/>
          </w:tcPr>
          <w:p w14:paraId="3C260F52"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 </w:t>
            </w:r>
          </w:p>
        </w:tc>
        <w:tc>
          <w:tcPr>
            <w:tcW w:w="1149" w:type="dxa"/>
            <w:tcBorders>
              <w:top w:val="nil"/>
              <w:left w:val="nil"/>
              <w:bottom w:val="nil"/>
              <w:right w:val="single" w:sz="8" w:space="0" w:color="auto"/>
            </w:tcBorders>
            <w:shd w:val="clear" w:color="auto" w:fill="auto"/>
            <w:vAlign w:val="center"/>
            <w:hideMark/>
          </w:tcPr>
          <w:p w14:paraId="1B269D4D"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bottom w:val="nil"/>
              <w:right w:val="single" w:sz="8" w:space="0" w:color="auto"/>
            </w:tcBorders>
            <w:shd w:val="clear" w:color="auto" w:fill="auto"/>
            <w:vAlign w:val="center"/>
            <w:hideMark/>
          </w:tcPr>
          <w:p w14:paraId="336D44A7"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nil"/>
              <w:right w:val="single" w:sz="8" w:space="0" w:color="auto"/>
            </w:tcBorders>
            <w:shd w:val="clear" w:color="auto" w:fill="auto"/>
            <w:vAlign w:val="center"/>
            <w:hideMark/>
          </w:tcPr>
          <w:p w14:paraId="01EF7E8F"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single" w:sz="8" w:space="0" w:color="auto"/>
              <w:right w:val="single" w:sz="8" w:space="0" w:color="auto"/>
            </w:tcBorders>
            <w:shd w:val="clear" w:color="auto" w:fill="auto"/>
            <w:noWrap/>
            <w:vAlign w:val="center"/>
            <w:hideMark/>
          </w:tcPr>
          <w:p w14:paraId="5BD6D6CA"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71600</w:t>
            </w:r>
          </w:p>
        </w:tc>
        <w:tc>
          <w:tcPr>
            <w:tcW w:w="2070" w:type="dxa"/>
            <w:tcBorders>
              <w:top w:val="nil"/>
              <w:left w:val="nil"/>
              <w:bottom w:val="single" w:sz="8" w:space="0" w:color="auto"/>
              <w:right w:val="single" w:sz="8" w:space="0" w:color="auto"/>
            </w:tcBorders>
            <w:shd w:val="clear" w:color="auto" w:fill="auto"/>
            <w:vAlign w:val="center"/>
            <w:hideMark/>
          </w:tcPr>
          <w:p w14:paraId="5BFAEEFB" w14:textId="77777777" w:rsidR="00C9656A" w:rsidRPr="00FC6195" w:rsidRDefault="00C9656A">
            <w:pPr>
              <w:rPr>
                <w:rFonts w:eastAsia="Times New Roman"/>
                <w:color w:val="000000"/>
                <w:sz w:val="17"/>
                <w:szCs w:val="17"/>
              </w:rPr>
            </w:pPr>
            <w:r w:rsidRPr="00FC6195">
              <w:rPr>
                <w:rFonts w:eastAsia="Times New Roman"/>
                <w:color w:val="000000"/>
                <w:sz w:val="17"/>
                <w:szCs w:val="17"/>
              </w:rPr>
              <w:t>Travel</w:t>
            </w:r>
          </w:p>
        </w:tc>
        <w:tc>
          <w:tcPr>
            <w:tcW w:w="810" w:type="dxa"/>
            <w:tcBorders>
              <w:top w:val="nil"/>
              <w:left w:val="nil"/>
              <w:bottom w:val="single" w:sz="8" w:space="0" w:color="auto"/>
              <w:right w:val="single" w:sz="8" w:space="0" w:color="auto"/>
            </w:tcBorders>
            <w:shd w:val="clear" w:color="auto" w:fill="auto"/>
            <w:noWrap/>
            <w:vAlign w:val="center"/>
            <w:hideMark/>
          </w:tcPr>
          <w:p w14:paraId="44AEFDBB"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10,000</w:t>
            </w:r>
          </w:p>
        </w:tc>
        <w:tc>
          <w:tcPr>
            <w:tcW w:w="1010" w:type="dxa"/>
            <w:tcBorders>
              <w:top w:val="nil"/>
              <w:left w:val="nil"/>
              <w:bottom w:val="single" w:sz="8" w:space="0" w:color="auto"/>
              <w:right w:val="single" w:sz="8" w:space="0" w:color="auto"/>
            </w:tcBorders>
            <w:shd w:val="clear" w:color="auto" w:fill="auto"/>
            <w:noWrap/>
            <w:vAlign w:val="center"/>
            <w:hideMark/>
          </w:tcPr>
          <w:p w14:paraId="0848D404"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10,000</w:t>
            </w:r>
          </w:p>
        </w:tc>
        <w:tc>
          <w:tcPr>
            <w:tcW w:w="970" w:type="dxa"/>
            <w:tcBorders>
              <w:top w:val="nil"/>
              <w:left w:val="nil"/>
              <w:bottom w:val="single" w:sz="8" w:space="0" w:color="auto"/>
              <w:right w:val="single" w:sz="8" w:space="0" w:color="auto"/>
            </w:tcBorders>
            <w:shd w:val="clear" w:color="auto" w:fill="auto"/>
            <w:noWrap/>
            <w:vAlign w:val="center"/>
            <w:hideMark/>
          </w:tcPr>
          <w:p w14:paraId="6CFA5233"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10,000</w:t>
            </w:r>
          </w:p>
        </w:tc>
        <w:tc>
          <w:tcPr>
            <w:tcW w:w="1080" w:type="dxa"/>
            <w:tcBorders>
              <w:top w:val="nil"/>
              <w:left w:val="nil"/>
              <w:bottom w:val="single" w:sz="8" w:space="0" w:color="auto"/>
              <w:right w:val="single" w:sz="8" w:space="0" w:color="auto"/>
            </w:tcBorders>
            <w:shd w:val="clear" w:color="auto" w:fill="auto"/>
            <w:noWrap/>
            <w:vAlign w:val="center"/>
            <w:hideMark/>
          </w:tcPr>
          <w:p w14:paraId="5A3069EF"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10,000</w:t>
            </w:r>
          </w:p>
        </w:tc>
        <w:tc>
          <w:tcPr>
            <w:tcW w:w="1170" w:type="dxa"/>
            <w:tcBorders>
              <w:top w:val="nil"/>
              <w:left w:val="nil"/>
              <w:bottom w:val="single" w:sz="8" w:space="0" w:color="auto"/>
              <w:right w:val="single" w:sz="8" w:space="0" w:color="auto"/>
            </w:tcBorders>
            <w:shd w:val="clear" w:color="auto" w:fill="auto"/>
            <w:vAlign w:val="center"/>
            <w:hideMark/>
          </w:tcPr>
          <w:p w14:paraId="0E5CD5F6"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10,000</w:t>
            </w:r>
          </w:p>
        </w:tc>
        <w:tc>
          <w:tcPr>
            <w:tcW w:w="1080" w:type="dxa"/>
            <w:tcBorders>
              <w:top w:val="nil"/>
              <w:left w:val="nil"/>
              <w:bottom w:val="single" w:sz="8" w:space="0" w:color="auto"/>
              <w:right w:val="single" w:sz="8" w:space="0" w:color="auto"/>
            </w:tcBorders>
            <w:shd w:val="clear" w:color="auto" w:fill="auto"/>
            <w:noWrap/>
            <w:vAlign w:val="center"/>
            <w:hideMark/>
          </w:tcPr>
          <w:p w14:paraId="1A88F392"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50,000</w:t>
            </w:r>
          </w:p>
        </w:tc>
        <w:tc>
          <w:tcPr>
            <w:tcW w:w="900" w:type="dxa"/>
            <w:tcBorders>
              <w:top w:val="nil"/>
              <w:left w:val="nil"/>
              <w:bottom w:val="single" w:sz="8" w:space="0" w:color="auto"/>
              <w:right w:val="single" w:sz="8" w:space="0" w:color="auto"/>
            </w:tcBorders>
            <w:shd w:val="clear" w:color="auto" w:fill="auto"/>
            <w:vAlign w:val="center"/>
            <w:hideMark/>
          </w:tcPr>
          <w:p w14:paraId="12F4DA2B" w14:textId="77777777" w:rsidR="00C9656A" w:rsidRPr="00FC6195" w:rsidRDefault="00C9656A">
            <w:pPr>
              <w:jc w:val="center"/>
              <w:rPr>
                <w:rFonts w:eastAsia="Times New Roman"/>
                <w:i/>
                <w:iCs/>
                <w:color w:val="000000"/>
                <w:sz w:val="17"/>
                <w:szCs w:val="17"/>
              </w:rPr>
            </w:pPr>
            <w:r w:rsidRPr="00FC6195">
              <w:rPr>
                <w:rFonts w:eastAsia="Times New Roman"/>
                <w:i/>
                <w:iCs/>
                <w:color w:val="000000"/>
                <w:sz w:val="17"/>
                <w:szCs w:val="17"/>
              </w:rPr>
              <w:t>11</w:t>
            </w:r>
          </w:p>
        </w:tc>
      </w:tr>
      <w:tr w:rsidR="00F01AE3" w:rsidRPr="00FC6195" w14:paraId="79A73A57" w14:textId="77777777" w:rsidTr="007132EE">
        <w:trPr>
          <w:trHeight w:val="500"/>
        </w:trPr>
        <w:tc>
          <w:tcPr>
            <w:tcW w:w="1181" w:type="dxa"/>
            <w:tcBorders>
              <w:top w:val="nil"/>
              <w:left w:val="single" w:sz="8" w:space="0" w:color="auto"/>
              <w:bottom w:val="nil"/>
              <w:right w:val="single" w:sz="8" w:space="0" w:color="auto"/>
            </w:tcBorders>
            <w:shd w:val="clear" w:color="auto" w:fill="auto"/>
            <w:vAlign w:val="center"/>
            <w:hideMark/>
          </w:tcPr>
          <w:p w14:paraId="18ADE97C" w14:textId="2FBEFD2F" w:rsidR="00C9656A" w:rsidRPr="00FC6195" w:rsidRDefault="00FC6195">
            <w:pPr>
              <w:jc w:val="center"/>
              <w:rPr>
                <w:rFonts w:eastAsia="Times New Roman"/>
                <w:b/>
                <w:color w:val="000000"/>
                <w:sz w:val="17"/>
                <w:szCs w:val="17"/>
              </w:rPr>
            </w:pPr>
            <w:r w:rsidRPr="00FC6195">
              <w:rPr>
                <w:rFonts w:eastAsia="Times New Roman"/>
                <w:b/>
                <w:color w:val="000000"/>
                <w:sz w:val="17"/>
                <w:szCs w:val="17"/>
              </w:rPr>
              <w:t>C</w:t>
            </w:r>
            <w:r>
              <w:rPr>
                <w:rFonts w:eastAsia="Times New Roman"/>
                <w:b/>
                <w:color w:val="000000"/>
                <w:sz w:val="17"/>
                <w:szCs w:val="17"/>
              </w:rPr>
              <w:t>omponent/</w:t>
            </w:r>
            <w:r w:rsidRPr="00FC6195">
              <w:rPr>
                <w:rFonts w:eastAsia="Times New Roman"/>
                <w:b/>
                <w:color w:val="000000"/>
                <w:sz w:val="17"/>
                <w:szCs w:val="17"/>
              </w:rPr>
              <w:t xml:space="preserve"> O</w:t>
            </w:r>
            <w:r>
              <w:rPr>
                <w:rFonts w:eastAsia="Times New Roman"/>
                <w:b/>
                <w:color w:val="000000"/>
                <w:sz w:val="17"/>
                <w:szCs w:val="17"/>
              </w:rPr>
              <w:t xml:space="preserve">utcome </w:t>
            </w:r>
            <w:r w:rsidR="00C9656A" w:rsidRPr="00FC6195">
              <w:rPr>
                <w:rFonts w:eastAsia="Times New Roman"/>
                <w:b/>
                <w:color w:val="000000"/>
                <w:sz w:val="17"/>
                <w:szCs w:val="17"/>
              </w:rPr>
              <w:t>2 (continued)</w:t>
            </w:r>
          </w:p>
        </w:tc>
        <w:tc>
          <w:tcPr>
            <w:tcW w:w="1149" w:type="dxa"/>
            <w:tcBorders>
              <w:top w:val="nil"/>
              <w:left w:val="nil"/>
              <w:bottom w:val="nil"/>
              <w:right w:val="single" w:sz="8" w:space="0" w:color="auto"/>
            </w:tcBorders>
            <w:shd w:val="clear" w:color="auto" w:fill="auto"/>
            <w:vAlign w:val="center"/>
            <w:hideMark/>
          </w:tcPr>
          <w:p w14:paraId="62E30187"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MoE</w:t>
            </w:r>
          </w:p>
        </w:tc>
        <w:tc>
          <w:tcPr>
            <w:tcW w:w="810" w:type="dxa"/>
            <w:tcBorders>
              <w:top w:val="nil"/>
              <w:left w:val="nil"/>
              <w:bottom w:val="nil"/>
              <w:right w:val="single" w:sz="8" w:space="0" w:color="auto"/>
            </w:tcBorders>
            <w:shd w:val="clear" w:color="auto" w:fill="auto"/>
            <w:vAlign w:val="center"/>
            <w:hideMark/>
          </w:tcPr>
          <w:p w14:paraId="39BE7CD2"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62000</w:t>
            </w:r>
          </w:p>
        </w:tc>
        <w:tc>
          <w:tcPr>
            <w:tcW w:w="990" w:type="dxa"/>
            <w:tcBorders>
              <w:top w:val="nil"/>
              <w:left w:val="nil"/>
              <w:bottom w:val="nil"/>
              <w:right w:val="single" w:sz="8" w:space="0" w:color="auto"/>
            </w:tcBorders>
            <w:shd w:val="clear" w:color="auto" w:fill="auto"/>
            <w:vAlign w:val="center"/>
            <w:hideMark/>
          </w:tcPr>
          <w:p w14:paraId="5BC769E4"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GEF</w:t>
            </w:r>
          </w:p>
        </w:tc>
        <w:tc>
          <w:tcPr>
            <w:tcW w:w="990" w:type="dxa"/>
            <w:tcBorders>
              <w:top w:val="nil"/>
              <w:left w:val="nil"/>
              <w:bottom w:val="single" w:sz="8" w:space="0" w:color="auto"/>
              <w:right w:val="single" w:sz="8" w:space="0" w:color="auto"/>
            </w:tcBorders>
            <w:shd w:val="clear" w:color="auto" w:fill="auto"/>
            <w:noWrap/>
            <w:vAlign w:val="center"/>
            <w:hideMark/>
          </w:tcPr>
          <w:p w14:paraId="0C36355C"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72100</w:t>
            </w:r>
          </w:p>
        </w:tc>
        <w:tc>
          <w:tcPr>
            <w:tcW w:w="2070" w:type="dxa"/>
            <w:tcBorders>
              <w:top w:val="nil"/>
              <w:left w:val="nil"/>
              <w:bottom w:val="single" w:sz="8" w:space="0" w:color="auto"/>
              <w:right w:val="single" w:sz="8" w:space="0" w:color="auto"/>
            </w:tcBorders>
            <w:shd w:val="clear" w:color="auto" w:fill="auto"/>
            <w:vAlign w:val="center"/>
            <w:hideMark/>
          </w:tcPr>
          <w:p w14:paraId="16A9C29F" w14:textId="77777777" w:rsidR="00C9656A" w:rsidRPr="00FC6195" w:rsidRDefault="00C9656A">
            <w:pPr>
              <w:rPr>
                <w:rFonts w:eastAsia="Times New Roman"/>
                <w:color w:val="000000"/>
                <w:sz w:val="17"/>
                <w:szCs w:val="17"/>
              </w:rPr>
            </w:pPr>
            <w:r w:rsidRPr="00FC6195">
              <w:rPr>
                <w:rFonts w:eastAsia="Times New Roman"/>
                <w:color w:val="000000"/>
                <w:sz w:val="17"/>
                <w:szCs w:val="17"/>
              </w:rPr>
              <w:t>Contractual Services-Companies</w:t>
            </w:r>
          </w:p>
        </w:tc>
        <w:tc>
          <w:tcPr>
            <w:tcW w:w="810" w:type="dxa"/>
            <w:tcBorders>
              <w:top w:val="nil"/>
              <w:left w:val="nil"/>
              <w:bottom w:val="single" w:sz="8" w:space="0" w:color="auto"/>
              <w:right w:val="single" w:sz="8" w:space="0" w:color="auto"/>
            </w:tcBorders>
            <w:shd w:val="clear" w:color="auto" w:fill="auto"/>
            <w:noWrap/>
            <w:vAlign w:val="center"/>
            <w:hideMark/>
          </w:tcPr>
          <w:p w14:paraId="099C0A15"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0</w:t>
            </w:r>
          </w:p>
        </w:tc>
        <w:tc>
          <w:tcPr>
            <w:tcW w:w="1010" w:type="dxa"/>
            <w:tcBorders>
              <w:top w:val="nil"/>
              <w:left w:val="nil"/>
              <w:bottom w:val="single" w:sz="8" w:space="0" w:color="auto"/>
              <w:right w:val="single" w:sz="8" w:space="0" w:color="auto"/>
            </w:tcBorders>
            <w:shd w:val="clear" w:color="auto" w:fill="auto"/>
            <w:noWrap/>
            <w:vAlign w:val="center"/>
            <w:hideMark/>
          </w:tcPr>
          <w:p w14:paraId="423B8392"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98,000</w:t>
            </w:r>
          </w:p>
        </w:tc>
        <w:tc>
          <w:tcPr>
            <w:tcW w:w="970" w:type="dxa"/>
            <w:tcBorders>
              <w:top w:val="nil"/>
              <w:left w:val="nil"/>
              <w:bottom w:val="single" w:sz="8" w:space="0" w:color="auto"/>
              <w:right w:val="single" w:sz="8" w:space="0" w:color="auto"/>
            </w:tcBorders>
            <w:shd w:val="clear" w:color="auto" w:fill="auto"/>
            <w:noWrap/>
            <w:vAlign w:val="center"/>
            <w:hideMark/>
          </w:tcPr>
          <w:p w14:paraId="00335DDF"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108,000</w:t>
            </w:r>
          </w:p>
        </w:tc>
        <w:tc>
          <w:tcPr>
            <w:tcW w:w="1080" w:type="dxa"/>
            <w:tcBorders>
              <w:top w:val="nil"/>
              <w:left w:val="nil"/>
              <w:bottom w:val="single" w:sz="8" w:space="0" w:color="auto"/>
              <w:right w:val="single" w:sz="8" w:space="0" w:color="auto"/>
            </w:tcBorders>
            <w:shd w:val="clear" w:color="auto" w:fill="auto"/>
            <w:noWrap/>
            <w:vAlign w:val="center"/>
            <w:hideMark/>
          </w:tcPr>
          <w:p w14:paraId="4DA4E1B8"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108,000</w:t>
            </w:r>
          </w:p>
        </w:tc>
        <w:tc>
          <w:tcPr>
            <w:tcW w:w="1170" w:type="dxa"/>
            <w:tcBorders>
              <w:top w:val="nil"/>
              <w:left w:val="nil"/>
              <w:bottom w:val="single" w:sz="8" w:space="0" w:color="auto"/>
              <w:right w:val="single" w:sz="8" w:space="0" w:color="auto"/>
            </w:tcBorders>
            <w:shd w:val="clear" w:color="auto" w:fill="auto"/>
            <w:vAlign w:val="center"/>
            <w:hideMark/>
          </w:tcPr>
          <w:p w14:paraId="4974220B"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88,500</w:t>
            </w:r>
          </w:p>
        </w:tc>
        <w:tc>
          <w:tcPr>
            <w:tcW w:w="1080" w:type="dxa"/>
            <w:tcBorders>
              <w:top w:val="nil"/>
              <w:left w:val="nil"/>
              <w:bottom w:val="single" w:sz="8" w:space="0" w:color="auto"/>
              <w:right w:val="single" w:sz="8" w:space="0" w:color="auto"/>
            </w:tcBorders>
            <w:shd w:val="clear" w:color="auto" w:fill="auto"/>
            <w:noWrap/>
            <w:vAlign w:val="center"/>
            <w:hideMark/>
          </w:tcPr>
          <w:p w14:paraId="074ACBD4"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402,500</w:t>
            </w:r>
          </w:p>
        </w:tc>
        <w:tc>
          <w:tcPr>
            <w:tcW w:w="900" w:type="dxa"/>
            <w:tcBorders>
              <w:top w:val="nil"/>
              <w:left w:val="nil"/>
              <w:bottom w:val="single" w:sz="8" w:space="0" w:color="auto"/>
              <w:right w:val="single" w:sz="8" w:space="0" w:color="auto"/>
            </w:tcBorders>
            <w:shd w:val="clear" w:color="auto" w:fill="auto"/>
            <w:vAlign w:val="center"/>
            <w:hideMark/>
          </w:tcPr>
          <w:p w14:paraId="5B7A3099" w14:textId="77777777" w:rsidR="00C9656A" w:rsidRPr="00FC6195" w:rsidRDefault="00C9656A">
            <w:pPr>
              <w:jc w:val="center"/>
              <w:rPr>
                <w:rFonts w:eastAsia="Times New Roman"/>
                <w:i/>
                <w:iCs/>
                <w:color w:val="000000"/>
                <w:sz w:val="17"/>
                <w:szCs w:val="17"/>
              </w:rPr>
            </w:pPr>
            <w:r w:rsidRPr="00FC6195">
              <w:rPr>
                <w:rFonts w:eastAsia="Times New Roman"/>
                <w:i/>
                <w:iCs/>
                <w:color w:val="000000"/>
                <w:sz w:val="17"/>
                <w:szCs w:val="17"/>
              </w:rPr>
              <w:t>12</w:t>
            </w:r>
          </w:p>
        </w:tc>
      </w:tr>
      <w:tr w:rsidR="00F01AE3" w:rsidRPr="00FC6195" w14:paraId="52FB9DAC" w14:textId="77777777" w:rsidTr="007132EE">
        <w:trPr>
          <w:trHeight w:val="340"/>
        </w:trPr>
        <w:tc>
          <w:tcPr>
            <w:tcW w:w="1181" w:type="dxa"/>
            <w:tcBorders>
              <w:top w:val="nil"/>
              <w:left w:val="single" w:sz="8" w:space="0" w:color="auto"/>
              <w:bottom w:val="nil"/>
              <w:right w:val="nil"/>
            </w:tcBorders>
            <w:shd w:val="clear" w:color="auto" w:fill="auto"/>
            <w:noWrap/>
            <w:vAlign w:val="center"/>
            <w:hideMark/>
          </w:tcPr>
          <w:p w14:paraId="1F7616DD" w14:textId="77777777" w:rsidR="00C9656A" w:rsidRPr="00FC6195" w:rsidRDefault="00C9656A">
            <w:pPr>
              <w:rPr>
                <w:rFonts w:eastAsia="Times New Roman"/>
                <w:color w:val="000000"/>
                <w:sz w:val="17"/>
                <w:szCs w:val="17"/>
              </w:rPr>
            </w:pPr>
            <w:r w:rsidRPr="00FC6195">
              <w:rPr>
                <w:rFonts w:eastAsia="Times New Roman"/>
                <w:color w:val="000000"/>
                <w:sz w:val="17"/>
                <w:szCs w:val="17"/>
              </w:rPr>
              <w:t> </w:t>
            </w:r>
          </w:p>
        </w:tc>
        <w:tc>
          <w:tcPr>
            <w:tcW w:w="1149" w:type="dxa"/>
            <w:tcBorders>
              <w:top w:val="nil"/>
              <w:left w:val="single" w:sz="8" w:space="0" w:color="auto"/>
              <w:bottom w:val="nil"/>
              <w:right w:val="single" w:sz="8" w:space="0" w:color="auto"/>
            </w:tcBorders>
            <w:shd w:val="clear" w:color="auto" w:fill="auto"/>
            <w:vAlign w:val="center"/>
            <w:hideMark/>
          </w:tcPr>
          <w:p w14:paraId="1057EE7C"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bottom w:val="nil"/>
              <w:right w:val="single" w:sz="8" w:space="0" w:color="auto"/>
            </w:tcBorders>
            <w:shd w:val="clear" w:color="auto" w:fill="auto"/>
            <w:vAlign w:val="center"/>
            <w:hideMark/>
          </w:tcPr>
          <w:p w14:paraId="1864C87E"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nil"/>
              <w:right w:val="single" w:sz="8" w:space="0" w:color="auto"/>
            </w:tcBorders>
            <w:shd w:val="clear" w:color="auto" w:fill="auto"/>
            <w:vAlign w:val="center"/>
            <w:hideMark/>
          </w:tcPr>
          <w:p w14:paraId="6D6C3B26"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single" w:sz="8" w:space="0" w:color="auto"/>
              <w:right w:val="single" w:sz="8" w:space="0" w:color="auto"/>
            </w:tcBorders>
            <w:shd w:val="clear" w:color="auto" w:fill="auto"/>
            <w:noWrap/>
            <w:vAlign w:val="center"/>
            <w:hideMark/>
          </w:tcPr>
          <w:p w14:paraId="6C26158A"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75700</w:t>
            </w:r>
          </w:p>
        </w:tc>
        <w:tc>
          <w:tcPr>
            <w:tcW w:w="2070" w:type="dxa"/>
            <w:tcBorders>
              <w:top w:val="nil"/>
              <w:left w:val="nil"/>
              <w:bottom w:val="single" w:sz="8" w:space="0" w:color="auto"/>
              <w:right w:val="single" w:sz="8" w:space="0" w:color="auto"/>
            </w:tcBorders>
            <w:shd w:val="clear" w:color="auto" w:fill="auto"/>
            <w:noWrap/>
            <w:vAlign w:val="center"/>
            <w:hideMark/>
          </w:tcPr>
          <w:p w14:paraId="0C154F57" w14:textId="77777777" w:rsidR="00C9656A" w:rsidRPr="00FC6195" w:rsidRDefault="00C9656A">
            <w:pPr>
              <w:rPr>
                <w:rFonts w:eastAsia="Times New Roman"/>
                <w:color w:val="000000"/>
                <w:sz w:val="17"/>
                <w:szCs w:val="17"/>
              </w:rPr>
            </w:pPr>
            <w:r w:rsidRPr="00FC6195">
              <w:rPr>
                <w:rFonts w:eastAsia="Times New Roman"/>
                <w:color w:val="000000"/>
                <w:sz w:val="17"/>
                <w:szCs w:val="17"/>
              </w:rPr>
              <w:t>Training, Workshops and Confer</w:t>
            </w:r>
          </w:p>
        </w:tc>
        <w:tc>
          <w:tcPr>
            <w:tcW w:w="810" w:type="dxa"/>
            <w:tcBorders>
              <w:top w:val="nil"/>
              <w:left w:val="nil"/>
              <w:bottom w:val="single" w:sz="8" w:space="0" w:color="auto"/>
              <w:right w:val="single" w:sz="8" w:space="0" w:color="auto"/>
            </w:tcBorders>
            <w:shd w:val="clear" w:color="auto" w:fill="auto"/>
            <w:noWrap/>
            <w:vAlign w:val="center"/>
            <w:hideMark/>
          </w:tcPr>
          <w:p w14:paraId="289167FE"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10,000</w:t>
            </w:r>
          </w:p>
        </w:tc>
        <w:tc>
          <w:tcPr>
            <w:tcW w:w="1010" w:type="dxa"/>
            <w:tcBorders>
              <w:top w:val="nil"/>
              <w:left w:val="nil"/>
              <w:bottom w:val="single" w:sz="8" w:space="0" w:color="auto"/>
              <w:right w:val="single" w:sz="8" w:space="0" w:color="auto"/>
            </w:tcBorders>
            <w:shd w:val="clear" w:color="auto" w:fill="auto"/>
            <w:noWrap/>
            <w:vAlign w:val="center"/>
            <w:hideMark/>
          </w:tcPr>
          <w:p w14:paraId="6D4F3544"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10,000</w:t>
            </w:r>
          </w:p>
        </w:tc>
        <w:tc>
          <w:tcPr>
            <w:tcW w:w="970" w:type="dxa"/>
            <w:tcBorders>
              <w:top w:val="nil"/>
              <w:left w:val="nil"/>
              <w:bottom w:val="single" w:sz="8" w:space="0" w:color="auto"/>
              <w:right w:val="single" w:sz="8" w:space="0" w:color="auto"/>
            </w:tcBorders>
            <w:shd w:val="clear" w:color="auto" w:fill="auto"/>
            <w:noWrap/>
            <w:vAlign w:val="center"/>
            <w:hideMark/>
          </w:tcPr>
          <w:p w14:paraId="12BB622C"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10,000</w:t>
            </w:r>
          </w:p>
        </w:tc>
        <w:tc>
          <w:tcPr>
            <w:tcW w:w="1080" w:type="dxa"/>
            <w:tcBorders>
              <w:top w:val="nil"/>
              <w:left w:val="nil"/>
              <w:bottom w:val="single" w:sz="8" w:space="0" w:color="auto"/>
              <w:right w:val="single" w:sz="8" w:space="0" w:color="auto"/>
            </w:tcBorders>
            <w:shd w:val="clear" w:color="auto" w:fill="auto"/>
            <w:noWrap/>
            <w:vAlign w:val="center"/>
            <w:hideMark/>
          </w:tcPr>
          <w:p w14:paraId="39B1FE30"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10,000</w:t>
            </w:r>
          </w:p>
        </w:tc>
        <w:tc>
          <w:tcPr>
            <w:tcW w:w="1170" w:type="dxa"/>
            <w:tcBorders>
              <w:top w:val="nil"/>
              <w:left w:val="nil"/>
              <w:bottom w:val="single" w:sz="8" w:space="0" w:color="auto"/>
              <w:right w:val="single" w:sz="8" w:space="0" w:color="auto"/>
            </w:tcBorders>
            <w:shd w:val="clear" w:color="auto" w:fill="auto"/>
            <w:vAlign w:val="center"/>
            <w:hideMark/>
          </w:tcPr>
          <w:p w14:paraId="7C7146DC"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10,000</w:t>
            </w:r>
          </w:p>
        </w:tc>
        <w:tc>
          <w:tcPr>
            <w:tcW w:w="1080" w:type="dxa"/>
            <w:tcBorders>
              <w:top w:val="nil"/>
              <w:left w:val="nil"/>
              <w:bottom w:val="single" w:sz="8" w:space="0" w:color="auto"/>
              <w:right w:val="single" w:sz="8" w:space="0" w:color="auto"/>
            </w:tcBorders>
            <w:shd w:val="clear" w:color="auto" w:fill="auto"/>
            <w:noWrap/>
            <w:vAlign w:val="center"/>
            <w:hideMark/>
          </w:tcPr>
          <w:p w14:paraId="20B85471"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50,000</w:t>
            </w:r>
          </w:p>
        </w:tc>
        <w:tc>
          <w:tcPr>
            <w:tcW w:w="900" w:type="dxa"/>
            <w:tcBorders>
              <w:top w:val="nil"/>
              <w:left w:val="nil"/>
              <w:bottom w:val="single" w:sz="8" w:space="0" w:color="auto"/>
              <w:right w:val="single" w:sz="8" w:space="0" w:color="auto"/>
            </w:tcBorders>
            <w:shd w:val="clear" w:color="auto" w:fill="auto"/>
            <w:vAlign w:val="center"/>
            <w:hideMark/>
          </w:tcPr>
          <w:p w14:paraId="5A8C49E4" w14:textId="77777777" w:rsidR="00C9656A" w:rsidRPr="00FC6195" w:rsidRDefault="00C9656A">
            <w:pPr>
              <w:jc w:val="center"/>
              <w:rPr>
                <w:rFonts w:eastAsia="Times New Roman"/>
                <w:i/>
                <w:iCs/>
                <w:color w:val="000000"/>
                <w:sz w:val="17"/>
                <w:szCs w:val="17"/>
              </w:rPr>
            </w:pPr>
            <w:r w:rsidRPr="00FC6195">
              <w:rPr>
                <w:rFonts w:eastAsia="Times New Roman"/>
                <w:i/>
                <w:iCs/>
                <w:color w:val="000000"/>
                <w:sz w:val="17"/>
                <w:szCs w:val="17"/>
              </w:rPr>
              <w:t>13</w:t>
            </w:r>
          </w:p>
        </w:tc>
      </w:tr>
      <w:tr w:rsidR="00F01AE3" w:rsidRPr="00FC6195" w14:paraId="36E7F14C" w14:textId="77777777" w:rsidTr="007132EE">
        <w:trPr>
          <w:trHeight w:val="376"/>
        </w:trPr>
        <w:tc>
          <w:tcPr>
            <w:tcW w:w="1181" w:type="dxa"/>
            <w:tcBorders>
              <w:top w:val="nil"/>
              <w:left w:val="single" w:sz="8" w:space="0" w:color="auto"/>
              <w:bottom w:val="nil"/>
              <w:right w:val="nil"/>
            </w:tcBorders>
            <w:shd w:val="clear" w:color="auto" w:fill="auto"/>
            <w:noWrap/>
            <w:vAlign w:val="center"/>
            <w:hideMark/>
          </w:tcPr>
          <w:p w14:paraId="19DCB444" w14:textId="77777777" w:rsidR="00C9656A" w:rsidRPr="00FC6195" w:rsidRDefault="00C9656A">
            <w:pPr>
              <w:rPr>
                <w:rFonts w:eastAsia="Times New Roman"/>
                <w:color w:val="000000"/>
                <w:sz w:val="17"/>
                <w:szCs w:val="17"/>
              </w:rPr>
            </w:pPr>
            <w:r w:rsidRPr="00FC6195">
              <w:rPr>
                <w:rFonts w:eastAsia="Times New Roman"/>
                <w:color w:val="000000"/>
                <w:sz w:val="17"/>
                <w:szCs w:val="17"/>
              </w:rPr>
              <w:t> </w:t>
            </w:r>
          </w:p>
        </w:tc>
        <w:tc>
          <w:tcPr>
            <w:tcW w:w="1149" w:type="dxa"/>
            <w:tcBorders>
              <w:top w:val="nil"/>
              <w:left w:val="single" w:sz="8" w:space="0" w:color="auto"/>
              <w:bottom w:val="nil"/>
              <w:right w:val="single" w:sz="8" w:space="0" w:color="auto"/>
            </w:tcBorders>
            <w:shd w:val="clear" w:color="auto" w:fill="auto"/>
            <w:vAlign w:val="center"/>
            <w:hideMark/>
          </w:tcPr>
          <w:p w14:paraId="42FC53F1"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bottom w:val="nil"/>
              <w:right w:val="single" w:sz="8" w:space="0" w:color="auto"/>
            </w:tcBorders>
            <w:shd w:val="clear" w:color="auto" w:fill="auto"/>
            <w:vAlign w:val="center"/>
            <w:hideMark/>
          </w:tcPr>
          <w:p w14:paraId="652D2A14"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nil"/>
              <w:right w:val="single" w:sz="8" w:space="0" w:color="auto"/>
            </w:tcBorders>
            <w:shd w:val="clear" w:color="auto" w:fill="auto"/>
            <w:vAlign w:val="center"/>
            <w:hideMark/>
          </w:tcPr>
          <w:p w14:paraId="10B41FD4"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single" w:sz="8" w:space="0" w:color="auto"/>
              <w:right w:val="single" w:sz="8" w:space="0" w:color="auto"/>
            </w:tcBorders>
            <w:shd w:val="clear" w:color="auto" w:fill="auto"/>
            <w:noWrap/>
            <w:vAlign w:val="center"/>
            <w:hideMark/>
          </w:tcPr>
          <w:p w14:paraId="6935C455"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74500</w:t>
            </w:r>
          </w:p>
        </w:tc>
        <w:tc>
          <w:tcPr>
            <w:tcW w:w="2070" w:type="dxa"/>
            <w:tcBorders>
              <w:top w:val="nil"/>
              <w:left w:val="nil"/>
              <w:bottom w:val="single" w:sz="8" w:space="0" w:color="auto"/>
              <w:right w:val="single" w:sz="8" w:space="0" w:color="auto"/>
            </w:tcBorders>
            <w:shd w:val="clear" w:color="auto" w:fill="auto"/>
            <w:noWrap/>
            <w:vAlign w:val="center"/>
            <w:hideMark/>
          </w:tcPr>
          <w:p w14:paraId="4EB9D32F" w14:textId="77777777" w:rsidR="00C9656A" w:rsidRPr="00FC6195" w:rsidRDefault="00C9656A">
            <w:pPr>
              <w:rPr>
                <w:rFonts w:eastAsia="Times New Roman"/>
                <w:color w:val="000000"/>
                <w:sz w:val="17"/>
                <w:szCs w:val="17"/>
              </w:rPr>
            </w:pPr>
            <w:r w:rsidRPr="00FC6195">
              <w:rPr>
                <w:rFonts w:eastAsia="Times New Roman"/>
                <w:color w:val="000000"/>
                <w:sz w:val="17"/>
                <w:szCs w:val="17"/>
              </w:rPr>
              <w:t>Miscellaneous</w:t>
            </w:r>
          </w:p>
        </w:tc>
        <w:tc>
          <w:tcPr>
            <w:tcW w:w="810" w:type="dxa"/>
            <w:tcBorders>
              <w:top w:val="nil"/>
              <w:left w:val="nil"/>
              <w:bottom w:val="single" w:sz="8" w:space="0" w:color="auto"/>
              <w:right w:val="single" w:sz="8" w:space="0" w:color="auto"/>
            </w:tcBorders>
            <w:shd w:val="clear" w:color="auto" w:fill="auto"/>
            <w:noWrap/>
            <w:vAlign w:val="center"/>
            <w:hideMark/>
          </w:tcPr>
          <w:p w14:paraId="49E797E7"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1,500</w:t>
            </w:r>
          </w:p>
        </w:tc>
        <w:tc>
          <w:tcPr>
            <w:tcW w:w="1010" w:type="dxa"/>
            <w:tcBorders>
              <w:top w:val="nil"/>
              <w:left w:val="nil"/>
              <w:bottom w:val="single" w:sz="8" w:space="0" w:color="auto"/>
              <w:right w:val="single" w:sz="8" w:space="0" w:color="auto"/>
            </w:tcBorders>
            <w:shd w:val="clear" w:color="auto" w:fill="auto"/>
            <w:noWrap/>
            <w:vAlign w:val="center"/>
            <w:hideMark/>
          </w:tcPr>
          <w:p w14:paraId="54BB4CFD"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1,500</w:t>
            </w:r>
          </w:p>
        </w:tc>
        <w:tc>
          <w:tcPr>
            <w:tcW w:w="970" w:type="dxa"/>
            <w:tcBorders>
              <w:top w:val="nil"/>
              <w:left w:val="nil"/>
              <w:bottom w:val="single" w:sz="8" w:space="0" w:color="auto"/>
              <w:right w:val="single" w:sz="8" w:space="0" w:color="auto"/>
            </w:tcBorders>
            <w:shd w:val="clear" w:color="auto" w:fill="auto"/>
            <w:noWrap/>
            <w:vAlign w:val="center"/>
            <w:hideMark/>
          </w:tcPr>
          <w:p w14:paraId="3085581C"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1,500</w:t>
            </w:r>
          </w:p>
        </w:tc>
        <w:tc>
          <w:tcPr>
            <w:tcW w:w="1080" w:type="dxa"/>
            <w:tcBorders>
              <w:top w:val="nil"/>
              <w:left w:val="nil"/>
              <w:bottom w:val="single" w:sz="8" w:space="0" w:color="auto"/>
              <w:right w:val="single" w:sz="8" w:space="0" w:color="auto"/>
            </w:tcBorders>
            <w:shd w:val="clear" w:color="auto" w:fill="auto"/>
            <w:noWrap/>
            <w:vAlign w:val="center"/>
            <w:hideMark/>
          </w:tcPr>
          <w:p w14:paraId="0691E79E"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1,500</w:t>
            </w:r>
          </w:p>
        </w:tc>
        <w:tc>
          <w:tcPr>
            <w:tcW w:w="1170" w:type="dxa"/>
            <w:tcBorders>
              <w:top w:val="nil"/>
              <w:left w:val="nil"/>
              <w:bottom w:val="single" w:sz="8" w:space="0" w:color="auto"/>
              <w:right w:val="single" w:sz="8" w:space="0" w:color="auto"/>
            </w:tcBorders>
            <w:shd w:val="clear" w:color="auto" w:fill="auto"/>
            <w:vAlign w:val="center"/>
            <w:hideMark/>
          </w:tcPr>
          <w:p w14:paraId="266F49C7"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1,500</w:t>
            </w:r>
          </w:p>
        </w:tc>
        <w:tc>
          <w:tcPr>
            <w:tcW w:w="1080" w:type="dxa"/>
            <w:tcBorders>
              <w:top w:val="nil"/>
              <w:left w:val="nil"/>
              <w:bottom w:val="single" w:sz="8" w:space="0" w:color="auto"/>
              <w:right w:val="single" w:sz="8" w:space="0" w:color="auto"/>
            </w:tcBorders>
            <w:shd w:val="clear" w:color="auto" w:fill="auto"/>
            <w:noWrap/>
            <w:vAlign w:val="center"/>
            <w:hideMark/>
          </w:tcPr>
          <w:p w14:paraId="166E25AC"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7,500</w:t>
            </w:r>
          </w:p>
        </w:tc>
        <w:tc>
          <w:tcPr>
            <w:tcW w:w="900" w:type="dxa"/>
            <w:tcBorders>
              <w:top w:val="nil"/>
              <w:left w:val="nil"/>
              <w:bottom w:val="single" w:sz="8" w:space="0" w:color="auto"/>
              <w:right w:val="single" w:sz="8" w:space="0" w:color="auto"/>
            </w:tcBorders>
            <w:shd w:val="clear" w:color="auto" w:fill="auto"/>
            <w:vAlign w:val="center"/>
            <w:hideMark/>
          </w:tcPr>
          <w:p w14:paraId="1AA7EAD0" w14:textId="77777777" w:rsidR="00C9656A" w:rsidRPr="00FC6195" w:rsidRDefault="00C9656A">
            <w:pPr>
              <w:jc w:val="center"/>
              <w:rPr>
                <w:rFonts w:eastAsia="Times New Roman"/>
                <w:i/>
                <w:iCs/>
                <w:color w:val="000000"/>
                <w:sz w:val="17"/>
                <w:szCs w:val="17"/>
              </w:rPr>
            </w:pPr>
            <w:r w:rsidRPr="00FC6195">
              <w:rPr>
                <w:rFonts w:eastAsia="Times New Roman"/>
                <w:i/>
                <w:iCs/>
                <w:color w:val="000000"/>
                <w:sz w:val="17"/>
                <w:szCs w:val="17"/>
              </w:rPr>
              <w:t>14</w:t>
            </w:r>
          </w:p>
        </w:tc>
      </w:tr>
      <w:tr w:rsidR="00F01AE3" w:rsidRPr="00FC6195" w14:paraId="409BC309" w14:textId="77777777" w:rsidTr="007132EE">
        <w:trPr>
          <w:trHeight w:val="600"/>
        </w:trPr>
        <w:tc>
          <w:tcPr>
            <w:tcW w:w="1181" w:type="dxa"/>
            <w:tcBorders>
              <w:top w:val="nil"/>
              <w:left w:val="single" w:sz="8" w:space="0" w:color="auto"/>
              <w:bottom w:val="double" w:sz="4" w:space="0" w:color="auto"/>
              <w:right w:val="nil"/>
            </w:tcBorders>
            <w:shd w:val="clear" w:color="auto" w:fill="auto"/>
            <w:noWrap/>
            <w:vAlign w:val="center"/>
            <w:hideMark/>
          </w:tcPr>
          <w:p w14:paraId="7B20D23D" w14:textId="77777777" w:rsidR="00C9656A" w:rsidRPr="00FC6195" w:rsidRDefault="00C9656A">
            <w:pPr>
              <w:rPr>
                <w:rFonts w:eastAsia="Times New Roman"/>
                <w:color w:val="000000"/>
                <w:sz w:val="17"/>
                <w:szCs w:val="17"/>
              </w:rPr>
            </w:pPr>
            <w:r w:rsidRPr="00FC6195">
              <w:rPr>
                <w:rFonts w:eastAsia="Times New Roman"/>
                <w:color w:val="000000"/>
                <w:sz w:val="17"/>
                <w:szCs w:val="17"/>
              </w:rPr>
              <w:t> </w:t>
            </w:r>
          </w:p>
        </w:tc>
        <w:tc>
          <w:tcPr>
            <w:tcW w:w="1149" w:type="dxa"/>
            <w:tcBorders>
              <w:top w:val="nil"/>
              <w:left w:val="single" w:sz="8" w:space="0" w:color="auto"/>
              <w:bottom w:val="double" w:sz="4" w:space="0" w:color="auto"/>
              <w:right w:val="single" w:sz="8" w:space="0" w:color="auto"/>
            </w:tcBorders>
            <w:shd w:val="clear" w:color="auto" w:fill="auto"/>
            <w:vAlign w:val="center"/>
            <w:hideMark/>
          </w:tcPr>
          <w:p w14:paraId="352E6200"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bottom w:val="double" w:sz="4" w:space="0" w:color="auto"/>
              <w:right w:val="single" w:sz="8" w:space="0" w:color="auto"/>
            </w:tcBorders>
            <w:shd w:val="clear" w:color="auto" w:fill="auto"/>
            <w:vAlign w:val="center"/>
            <w:hideMark/>
          </w:tcPr>
          <w:p w14:paraId="4F726CF2"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double" w:sz="4" w:space="0" w:color="auto"/>
              <w:right w:val="single" w:sz="8" w:space="0" w:color="auto"/>
            </w:tcBorders>
            <w:shd w:val="clear" w:color="auto" w:fill="auto"/>
            <w:vAlign w:val="center"/>
            <w:hideMark/>
          </w:tcPr>
          <w:p w14:paraId="73CA5CAC"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double" w:sz="4" w:space="0" w:color="auto"/>
              <w:right w:val="single" w:sz="8" w:space="0" w:color="auto"/>
            </w:tcBorders>
            <w:shd w:val="clear" w:color="auto" w:fill="auto"/>
            <w:noWrap/>
            <w:vAlign w:val="center"/>
            <w:hideMark/>
          </w:tcPr>
          <w:p w14:paraId="35522DBE"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 </w:t>
            </w:r>
          </w:p>
        </w:tc>
        <w:tc>
          <w:tcPr>
            <w:tcW w:w="2070" w:type="dxa"/>
            <w:tcBorders>
              <w:top w:val="nil"/>
              <w:left w:val="nil"/>
              <w:bottom w:val="double" w:sz="6" w:space="0" w:color="auto"/>
              <w:right w:val="single" w:sz="8" w:space="0" w:color="auto"/>
            </w:tcBorders>
            <w:shd w:val="clear" w:color="auto" w:fill="auto"/>
            <w:noWrap/>
            <w:vAlign w:val="center"/>
            <w:hideMark/>
          </w:tcPr>
          <w:p w14:paraId="2CB1A439" w14:textId="77777777" w:rsidR="00C9656A" w:rsidRPr="00FC6195" w:rsidRDefault="00C9656A">
            <w:pPr>
              <w:rPr>
                <w:rFonts w:eastAsia="Times New Roman"/>
                <w:b/>
                <w:bCs/>
                <w:color w:val="000000"/>
                <w:sz w:val="17"/>
                <w:szCs w:val="17"/>
              </w:rPr>
            </w:pPr>
            <w:r w:rsidRPr="00FC6195">
              <w:rPr>
                <w:rFonts w:eastAsia="Times New Roman"/>
                <w:b/>
                <w:bCs/>
                <w:color w:val="000000"/>
                <w:sz w:val="17"/>
                <w:szCs w:val="17"/>
              </w:rPr>
              <w:t>Total Outcome 2</w:t>
            </w:r>
          </w:p>
        </w:tc>
        <w:tc>
          <w:tcPr>
            <w:tcW w:w="810" w:type="dxa"/>
            <w:tcBorders>
              <w:top w:val="nil"/>
              <w:left w:val="nil"/>
              <w:bottom w:val="double" w:sz="6" w:space="0" w:color="auto"/>
              <w:right w:val="single" w:sz="8" w:space="0" w:color="auto"/>
            </w:tcBorders>
            <w:shd w:val="clear" w:color="auto" w:fill="auto"/>
            <w:noWrap/>
            <w:vAlign w:val="center"/>
            <w:hideMark/>
          </w:tcPr>
          <w:p w14:paraId="35F5DC26"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93,500</w:t>
            </w:r>
          </w:p>
        </w:tc>
        <w:tc>
          <w:tcPr>
            <w:tcW w:w="1010" w:type="dxa"/>
            <w:tcBorders>
              <w:top w:val="nil"/>
              <w:left w:val="nil"/>
              <w:bottom w:val="double" w:sz="6" w:space="0" w:color="auto"/>
              <w:right w:val="single" w:sz="8" w:space="0" w:color="auto"/>
            </w:tcBorders>
            <w:shd w:val="clear" w:color="auto" w:fill="auto"/>
            <w:noWrap/>
            <w:vAlign w:val="center"/>
            <w:hideMark/>
          </w:tcPr>
          <w:p w14:paraId="340B758C"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323,500</w:t>
            </w:r>
          </w:p>
        </w:tc>
        <w:tc>
          <w:tcPr>
            <w:tcW w:w="970" w:type="dxa"/>
            <w:tcBorders>
              <w:top w:val="nil"/>
              <w:left w:val="nil"/>
              <w:bottom w:val="double" w:sz="6" w:space="0" w:color="auto"/>
              <w:right w:val="single" w:sz="8" w:space="0" w:color="auto"/>
            </w:tcBorders>
            <w:shd w:val="clear" w:color="auto" w:fill="auto"/>
            <w:noWrap/>
            <w:vAlign w:val="center"/>
            <w:hideMark/>
          </w:tcPr>
          <w:p w14:paraId="36A94A3C"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304,500</w:t>
            </w:r>
          </w:p>
        </w:tc>
        <w:tc>
          <w:tcPr>
            <w:tcW w:w="1080" w:type="dxa"/>
            <w:tcBorders>
              <w:top w:val="nil"/>
              <w:left w:val="nil"/>
              <w:bottom w:val="double" w:sz="6" w:space="0" w:color="auto"/>
              <w:right w:val="single" w:sz="8" w:space="0" w:color="auto"/>
            </w:tcBorders>
            <w:shd w:val="clear" w:color="auto" w:fill="auto"/>
            <w:noWrap/>
            <w:vAlign w:val="center"/>
            <w:hideMark/>
          </w:tcPr>
          <w:p w14:paraId="1791B97D"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201,500</w:t>
            </w:r>
          </w:p>
        </w:tc>
        <w:tc>
          <w:tcPr>
            <w:tcW w:w="1170" w:type="dxa"/>
            <w:tcBorders>
              <w:top w:val="nil"/>
              <w:left w:val="nil"/>
              <w:bottom w:val="double" w:sz="6" w:space="0" w:color="auto"/>
              <w:right w:val="single" w:sz="8" w:space="0" w:color="auto"/>
            </w:tcBorders>
            <w:shd w:val="clear" w:color="auto" w:fill="auto"/>
            <w:noWrap/>
            <w:vAlign w:val="center"/>
            <w:hideMark/>
          </w:tcPr>
          <w:p w14:paraId="4C85B425"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177,000</w:t>
            </w:r>
          </w:p>
        </w:tc>
        <w:tc>
          <w:tcPr>
            <w:tcW w:w="1080" w:type="dxa"/>
            <w:tcBorders>
              <w:top w:val="nil"/>
              <w:left w:val="nil"/>
              <w:bottom w:val="double" w:sz="6" w:space="0" w:color="auto"/>
              <w:right w:val="single" w:sz="8" w:space="0" w:color="auto"/>
            </w:tcBorders>
            <w:shd w:val="clear" w:color="auto" w:fill="auto"/>
            <w:noWrap/>
            <w:vAlign w:val="center"/>
            <w:hideMark/>
          </w:tcPr>
          <w:p w14:paraId="405CD113"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1,100,000</w:t>
            </w:r>
          </w:p>
        </w:tc>
        <w:tc>
          <w:tcPr>
            <w:tcW w:w="900" w:type="dxa"/>
            <w:tcBorders>
              <w:top w:val="nil"/>
              <w:left w:val="nil"/>
              <w:bottom w:val="double" w:sz="6" w:space="0" w:color="auto"/>
              <w:right w:val="single" w:sz="8" w:space="0" w:color="auto"/>
            </w:tcBorders>
            <w:shd w:val="clear" w:color="auto" w:fill="auto"/>
            <w:vAlign w:val="center"/>
            <w:hideMark/>
          </w:tcPr>
          <w:p w14:paraId="43CD9361"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 </w:t>
            </w:r>
          </w:p>
        </w:tc>
      </w:tr>
      <w:tr w:rsidR="00F01AE3" w:rsidRPr="00FC6195" w14:paraId="2067EB2B" w14:textId="77777777" w:rsidTr="007132EE">
        <w:trPr>
          <w:trHeight w:val="340"/>
        </w:trPr>
        <w:tc>
          <w:tcPr>
            <w:tcW w:w="1181" w:type="dxa"/>
            <w:tcBorders>
              <w:top w:val="double" w:sz="4" w:space="0" w:color="auto"/>
              <w:left w:val="single" w:sz="8" w:space="0" w:color="auto"/>
              <w:bottom w:val="nil"/>
              <w:right w:val="nil"/>
            </w:tcBorders>
            <w:shd w:val="clear" w:color="auto" w:fill="auto"/>
            <w:noWrap/>
            <w:vAlign w:val="center"/>
            <w:hideMark/>
          </w:tcPr>
          <w:p w14:paraId="3295FF18" w14:textId="77777777" w:rsidR="00C9656A" w:rsidRPr="00FC6195" w:rsidRDefault="00C9656A">
            <w:pPr>
              <w:jc w:val="both"/>
              <w:rPr>
                <w:rFonts w:eastAsia="Times New Roman"/>
                <w:i/>
                <w:iCs/>
                <w:color w:val="000000"/>
                <w:sz w:val="17"/>
                <w:szCs w:val="17"/>
              </w:rPr>
            </w:pPr>
            <w:r w:rsidRPr="00FC6195">
              <w:rPr>
                <w:rFonts w:eastAsia="Times New Roman"/>
                <w:i/>
                <w:iCs/>
                <w:color w:val="000000"/>
                <w:sz w:val="17"/>
                <w:szCs w:val="17"/>
              </w:rPr>
              <w:t> </w:t>
            </w:r>
          </w:p>
        </w:tc>
        <w:tc>
          <w:tcPr>
            <w:tcW w:w="1149" w:type="dxa"/>
            <w:tcBorders>
              <w:top w:val="double" w:sz="4" w:space="0" w:color="auto"/>
              <w:left w:val="single" w:sz="8" w:space="0" w:color="auto"/>
              <w:bottom w:val="nil"/>
              <w:right w:val="single" w:sz="8" w:space="0" w:color="auto"/>
            </w:tcBorders>
            <w:shd w:val="clear" w:color="auto" w:fill="auto"/>
            <w:vAlign w:val="center"/>
            <w:hideMark/>
          </w:tcPr>
          <w:p w14:paraId="3F6818DB"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double" w:sz="4" w:space="0" w:color="auto"/>
              <w:left w:val="nil"/>
              <w:bottom w:val="nil"/>
              <w:right w:val="single" w:sz="8" w:space="0" w:color="auto"/>
            </w:tcBorders>
            <w:shd w:val="clear" w:color="auto" w:fill="auto"/>
            <w:vAlign w:val="center"/>
            <w:hideMark/>
          </w:tcPr>
          <w:p w14:paraId="178E5AEF"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double" w:sz="4" w:space="0" w:color="auto"/>
              <w:left w:val="nil"/>
              <w:bottom w:val="nil"/>
              <w:right w:val="single" w:sz="8" w:space="0" w:color="auto"/>
            </w:tcBorders>
            <w:shd w:val="clear" w:color="auto" w:fill="auto"/>
            <w:vAlign w:val="center"/>
            <w:hideMark/>
          </w:tcPr>
          <w:p w14:paraId="4B434057"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double" w:sz="4" w:space="0" w:color="auto"/>
              <w:left w:val="nil"/>
              <w:bottom w:val="single" w:sz="8" w:space="0" w:color="auto"/>
              <w:right w:val="single" w:sz="8" w:space="0" w:color="auto"/>
            </w:tcBorders>
            <w:shd w:val="clear" w:color="auto" w:fill="auto"/>
            <w:noWrap/>
            <w:vAlign w:val="center"/>
            <w:hideMark/>
          </w:tcPr>
          <w:p w14:paraId="6E082850"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71200</w:t>
            </w:r>
          </w:p>
        </w:tc>
        <w:tc>
          <w:tcPr>
            <w:tcW w:w="2070" w:type="dxa"/>
            <w:tcBorders>
              <w:top w:val="nil"/>
              <w:left w:val="nil"/>
              <w:bottom w:val="single" w:sz="8" w:space="0" w:color="auto"/>
              <w:right w:val="single" w:sz="8" w:space="0" w:color="auto"/>
            </w:tcBorders>
            <w:shd w:val="clear" w:color="auto" w:fill="auto"/>
            <w:vAlign w:val="center"/>
            <w:hideMark/>
          </w:tcPr>
          <w:p w14:paraId="49FF75AE" w14:textId="77777777" w:rsidR="00C9656A" w:rsidRPr="00FC6195" w:rsidRDefault="00C9656A">
            <w:pPr>
              <w:rPr>
                <w:rFonts w:eastAsia="Times New Roman"/>
                <w:color w:val="000000"/>
                <w:sz w:val="17"/>
                <w:szCs w:val="17"/>
              </w:rPr>
            </w:pPr>
            <w:r w:rsidRPr="00FC6195">
              <w:rPr>
                <w:rFonts w:eastAsia="Times New Roman"/>
                <w:color w:val="000000"/>
                <w:sz w:val="17"/>
                <w:szCs w:val="17"/>
              </w:rPr>
              <w:t>International Consultants</w:t>
            </w:r>
          </w:p>
        </w:tc>
        <w:tc>
          <w:tcPr>
            <w:tcW w:w="810" w:type="dxa"/>
            <w:tcBorders>
              <w:top w:val="nil"/>
              <w:left w:val="nil"/>
              <w:bottom w:val="single" w:sz="8" w:space="0" w:color="auto"/>
              <w:right w:val="single" w:sz="8" w:space="0" w:color="auto"/>
            </w:tcBorders>
            <w:shd w:val="clear" w:color="auto" w:fill="auto"/>
            <w:noWrap/>
            <w:vAlign w:val="center"/>
            <w:hideMark/>
          </w:tcPr>
          <w:p w14:paraId="68526E59"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0</w:t>
            </w:r>
          </w:p>
        </w:tc>
        <w:tc>
          <w:tcPr>
            <w:tcW w:w="1010" w:type="dxa"/>
            <w:tcBorders>
              <w:top w:val="nil"/>
              <w:left w:val="nil"/>
              <w:bottom w:val="single" w:sz="8" w:space="0" w:color="auto"/>
              <w:right w:val="single" w:sz="8" w:space="0" w:color="auto"/>
            </w:tcBorders>
            <w:shd w:val="clear" w:color="auto" w:fill="auto"/>
            <w:noWrap/>
            <w:vAlign w:val="center"/>
            <w:hideMark/>
          </w:tcPr>
          <w:p w14:paraId="3D6039E1"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83,000</w:t>
            </w:r>
          </w:p>
        </w:tc>
        <w:tc>
          <w:tcPr>
            <w:tcW w:w="970" w:type="dxa"/>
            <w:tcBorders>
              <w:top w:val="nil"/>
              <w:left w:val="nil"/>
              <w:bottom w:val="single" w:sz="8" w:space="0" w:color="auto"/>
              <w:right w:val="single" w:sz="8" w:space="0" w:color="auto"/>
            </w:tcBorders>
            <w:shd w:val="clear" w:color="auto" w:fill="auto"/>
            <w:noWrap/>
            <w:vAlign w:val="center"/>
            <w:hideMark/>
          </w:tcPr>
          <w:p w14:paraId="2F9935A5"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97,000</w:t>
            </w:r>
          </w:p>
        </w:tc>
        <w:tc>
          <w:tcPr>
            <w:tcW w:w="1080" w:type="dxa"/>
            <w:tcBorders>
              <w:top w:val="nil"/>
              <w:left w:val="nil"/>
              <w:bottom w:val="single" w:sz="8" w:space="0" w:color="auto"/>
              <w:right w:val="single" w:sz="8" w:space="0" w:color="auto"/>
            </w:tcBorders>
            <w:shd w:val="clear" w:color="auto" w:fill="auto"/>
            <w:noWrap/>
            <w:vAlign w:val="center"/>
            <w:hideMark/>
          </w:tcPr>
          <w:p w14:paraId="23ABCAAB"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0</w:t>
            </w:r>
          </w:p>
        </w:tc>
        <w:tc>
          <w:tcPr>
            <w:tcW w:w="1170" w:type="dxa"/>
            <w:tcBorders>
              <w:top w:val="nil"/>
              <w:left w:val="nil"/>
              <w:bottom w:val="single" w:sz="8" w:space="0" w:color="auto"/>
              <w:right w:val="single" w:sz="8" w:space="0" w:color="auto"/>
            </w:tcBorders>
            <w:shd w:val="clear" w:color="auto" w:fill="auto"/>
            <w:noWrap/>
            <w:vAlign w:val="center"/>
            <w:hideMark/>
          </w:tcPr>
          <w:p w14:paraId="108ABFCA"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12,000</w:t>
            </w:r>
          </w:p>
        </w:tc>
        <w:tc>
          <w:tcPr>
            <w:tcW w:w="1080" w:type="dxa"/>
            <w:tcBorders>
              <w:top w:val="nil"/>
              <w:left w:val="nil"/>
              <w:bottom w:val="single" w:sz="8" w:space="0" w:color="auto"/>
              <w:right w:val="single" w:sz="8" w:space="0" w:color="auto"/>
            </w:tcBorders>
            <w:shd w:val="clear" w:color="auto" w:fill="auto"/>
            <w:noWrap/>
            <w:vAlign w:val="center"/>
            <w:hideMark/>
          </w:tcPr>
          <w:p w14:paraId="35EC6EAB"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192,000</w:t>
            </w:r>
          </w:p>
        </w:tc>
        <w:tc>
          <w:tcPr>
            <w:tcW w:w="900" w:type="dxa"/>
            <w:tcBorders>
              <w:top w:val="nil"/>
              <w:left w:val="nil"/>
              <w:bottom w:val="single" w:sz="8" w:space="0" w:color="auto"/>
              <w:right w:val="single" w:sz="8" w:space="0" w:color="auto"/>
            </w:tcBorders>
            <w:shd w:val="clear" w:color="auto" w:fill="auto"/>
            <w:vAlign w:val="center"/>
            <w:hideMark/>
          </w:tcPr>
          <w:p w14:paraId="4A5E5822" w14:textId="77777777" w:rsidR="00C9656A" w:rsidRPr="00FC6195" w:rsidRDefault="00C9656A">
            <w:pPr>
              <w:jc w:val="center"/>
              <w:rPr>
                <w:rFonts w:eastAsia="Times New Roman"/>
                <w:i/>
                <w:iCs/>
                <w:color w:val="000000"/>
                <w:sz w:val="17"/>
                <w:szCs w:val="17"/>
              </w:rPr>
            </w:pPr>
            <w:r w:rsidRPr="00FC6195">
              <w:rPr>
                <w:rFonts w:eastAsia="Times New Roman"/>
                <w:i/>
                <w:iCs/>
                <w:color w:val="000000"/>
                <w:sz w:val="17"/>
                <w:szCs w:val="17"/>
              </w:rPr>
              <w:t>15</w:t>
            </w:r>
          </w:p>
        </w:tc>
      </w:tr>
      <w:tr w:rsidR="00F01AE3" w:rsidRPr="00FC6195" w14:paraId="5B271D9A" w14:textId="77777777" w:rsidTr="007132EE">
        <w:trPr>
          <w:trHeight w:val="340"/>
        </w:trPr>
        <w:tc>
          <w:tcPr>
            <w:tcW w:w="1181" w:type="dxa"/>
            <w:tcBorders>
              <w:top w:val="nil"/>
              <w:left w:val="single" w:sz="8" w:space="0" w:color="auto"/>
              <w:bottom w:val="nil"/>
              <w:right w:val="nil"/>
            </w:tcBorders>
            <w:shd w:val="clear" w:color="auto" w:fill="auto"/>
            <w:noWrap/>
            <w:vAlign w:val="center"/>
            <w:hideMark/>
          </w:tcPr>
          <w:p w14:paraId="4DB589CA" w14:textId="77777777" w:rsidR="00C9656A" w:rsidRPr="00FC6195" w:rsidRDefault="00C9656A">
            <w:pPr>
              <w:rPr>
                <w:rFonts w:eastAsia="Times New Roman"/>
                <w:color w:val="000000"/>
                <w:sz w:val="17"/>
                <w:szCs w:val="17"/>
              </w:rPr>
            </w:pPr>
            <w:r w:rsidRPr="00FC6195">
              <w:rPr>
                <w:rFonts w:eastAsia="Times New Roman"/>
                <w:color w:val="000000"/>
                <w:sz w:val="17"/>
                <w:szCs w:val="17"/>
              </w:rPr>
              <w:t> </w:t>
            </w:r>
          </w:p>
        </w:tc>
        <w:tc>
          <w:tcPr>
            <w:tcW w:w="1149" w:type="dxa"/>
            <w:tcBorders>
              <w:top w:val="nil"/>
              <w:left w:val="single" w:sz="8" w:space="0" w:color="auto"/>
              <w:bottom w:val="nil"/>
              <w:right w:val="single" w:sz="8" w:space="0" w:color="auto"/>
            </w:tcBorders>
            <w:shd w:val="clear" w:color="auto" w:fill="auto"/>
            <w:vAlign w:val="center"/>
            <w:hideMark/>
          </w:tcPr>
          <w:p w14:paraId="4873FAED"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bottom w:val="nil"/>
              <w:right w:val="single" w:sz="8" w:space="0" w:color="auto"/>
            </w:tcBorders>
            <w:shd w:val="clear" w:color="auto" w:fill="auto"/>
            <w:vAlign w:val="center"/>
            <w:hideMark/>
          </w:tcPr>
          <w:p w14:paraId="246E2932"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nil"/>
              <w:right w:val="single" w:sz="8" w:space="0" w:color="auto"/>
            </w:tcBorders>
            <w:shd w:val="clear" w:color="auto" w:fill="auto"/>
            <w:vAlign w:val="center"/>
            <w:hideMark/>
          </w:tcPr>
          <w:p w14:paraId="312F2780"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single" w:sz="8" w:space="0" w:color="auto"/>
              <w:right w:val="single" w:sz="8" w:space="0" w:color="auto"/>
            </w:tcBorders>
            <w:shd w:val="clear" w:color="auto" w:fill="auto"/>
            <w:noWrap/>
            <w:vAlign w:val="center"/>
            <w:hideMark/>
          </w:tcPr>
          <w:p w14:paraId="790B2626"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71300</w:t>
            </w:r>
          </w:p>
        </w:tc>
        <w:tc>
          <w:tcPr>
            <w:tcW w:w="2070" w:type="dxa"/>
            <w:tcBorders>
              <w:top w:val="nil"/>
              <w:left w:val="nil"/>
              <w:bottom w:val="single" w:sz="8" w:space="0" w:color="auto"/>
              <w:right w:val="single" w:sz="8" w:space="0" w:color="auto"/>
            </w:tcBorders>
            <w:shd w:val="clear" w:color="auto" w:fill="auto"/>
            <w:vAlign w:val="center"/>
            <w:hideMark/>
          </w:tcPr>
          <w:p w14:paraId="3BC3790A" w14:textId="77777777" w:rsidR="00C9656A" w:rsidRPr="00FC6195" w:rsidRDefault="00C9656A">
            <w:pPr>
              <w:rPr>
                <w:rFonts w:eastAsia="Times New Roman"/>
                <w:color w:val="000000"/>
                <w:sz w:val="17"/>
                <w:szCs w:val="17"/>
              </w:rPr>
            </w:pPr>
            <w:r w:rsidRPr="00FC6195">
              <w:rPr>
                <w:rFonts w:eastAsia="Times New Roman"/>
                <w:color w:val="000000"/>
                <w:sz w:val="17"/>
                <w:szCs w:val="17"/>
              </w:rPr>
              <w:t>Local Consultants</w:t>
            </w:r>
          </w:p>
        </w:tc>
        <w:tc>
          <w:tcPr>
            <w:tcW w:w="810" w:type="dxa"/>
            <w:tcBorders>
              <w:top w:val="nil"/>
              <w:left w:val="nil"/>
              <w:bottom w:val="single" w:sz="8" w:space="0" w:color="auto"/>
              <w:right w:val="single" w:sz="8" w:space="0" w:color="auto"/>
            </w:tcBorders>
            <w:shd w:val="clear" w:color="auto" w:fill="auto"/>
            <w:noWrap/>
            <w:vAlign w:val="center"/>
            <w:hideMark/>
          </w:tcPr>
          <w:p w14:paraId="55074A93"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0</w:t>
            </w:r>
          </w:p>
        </w:tc>
        <w:tc>
          <w:tcPr>
            <w:tcW w:w="1010" w:type="dxa"/>
            <w:tcBorders>
              <w:top w:val="nil"/>
              <w:left w:val="nil"/>
              <w:bottom w:val="single" w:sz="8" w:space="0" w:color="auto"/>
              <w:right w:val="single" w:sz="8" w:space="0" w:color="auto"/>
            </w:tcBorders>
            <w:shd w:val="clear" w:color="auto" w:fill="auto"/>
            <w:noWrap/>
            <w:vAlign w:val="center"/>
            <w:hideMark/>
          </w:tcPr>
          <w:p w14:paraId="13C4D05B"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46,000</w:t>
            </w:r>
          </w:p>
        </w:tc>
        <w:tc>
          <w:tcPr>
            <w:tcW w:w="970" w:type="dxa"/>
            <w:tcBorders>
              <w:top w:val="nil"/>
              <w:left w:val="nil"/>
              <w:bottom w:val="single" w:sz="8" w:space="0" w:color="auto"/>
              <w:right w:val="single" w:sz="8" w:space="0" w:color="auto"/>
            </w:tcBorders>
            <w:shd w:val="clear" w:color="auto" w:fill="auto"/>
            <w:noWrap/>
            <w:vAlign w:val="center"/>
            <w:hideMark/>
          </w:tcPr>
          <w:p w14:paraId="0079FC91"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50,000</w:t>
            </w:r>
          </w:p>
        </w:tc>
        <w:tc>
          <w:tcPr>
            <w:tcW w:w="1080" w:type="dxa"/>
            <w:tcBorders>
              <w:top w:val="nil"/>
              <w:left w:val="nil"/>
              <w:bottom w:val="single" w:sz="8" w:space="0" w:color="auto"/>
              <w:right w:val="single" w:sz="8" w:space="0" w:color="auto"/>
            </w:tcBorders>
            <w:shd w:val="clear" w:color="auto" w:fill="auto"/>
            <w:noWrap/>
            <w:vAlign w:val="center"/>
            <w:hideMark/>
          </w:tcPr>
          <w:p w14:paraId="62DB016B"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0</w:t>
            </w:r>
          </w:p>
        </w:tc>
        <w:tc>
          <w:tcPr>
            <w:tcW w:w="1170" w:type="dxa"/>
            <w:tcBorders>
              <w:top w:val="nil"/>
              <w:left w:val="nil"/>
              <w:bottom w:val="single" w:sz="8" w:space="0" w:color="auto"/>
              <w:right w:val="single" w:sz="8" w:space="0" w:color="auto"/>
            </w:tcBorders>
            <w:shd w:val="clear" w:color="auto" w:fill="auto"/>
            <w:vAlign w:val="center"/>
            <w:hideMark/>
          </w:tcPr>
          <w:p w14:paraId="06D24F4D"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3,000</w:t>
            </w:r>
          </w:p>
        </w:tc>
        <w:tc>
          <w:tcPr>
            <w:tcW w:w="1080" w:type="dxa"/>
            <w:tcBorders>
              <w:top w:val="nil"/>
              <w:left w:val="nil"/>
              <w:bottom w:val="single" w:sz="8" w:space="0" w:color="auto"/>
              <w:right w:val="single" w:sz="8" w:space="0" w:color="auto"/>
            </w:tcBorders>
            <w:shd w:val="clear" w:color="auto" w:fill="auto"/>
            <w:noWrap/>
            <w:vAlign w:val="center"/>
            <w:hideMark/>
          </w:tcPr>
          <w:p w14:paraId="4D38EB5A"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99,000</w:t>
            </w:r>
          </w:p>
        </w:tc>
        <w:tc>
          <w:tcPr>
            <w:tcW w:w="900" w:type="dxa"/>
            <w:tcBorders>
              <w:top w:val="nil"/>
              <w:left w:val="nil"/>
              <w:bottom w:val="single" w:sz="8" w:space="0" w:color="auto"/>
              <w:right w:val="single" w:sz="8" w:space="0" w:color="auto"/>
            </w:tcBorders>
            <w:shd w:val="clear" w:color="auto" w:fill="auto"/>
            <w:vAlign w:val="center"/>
            <w:hideMark/>
          </w:tcPr>
          <w:p w14:paraId="1BA9C63F" w14:textId="77777777" w:rsidR="00C9656A" w:rsidRPr="00FC6195" w:rsidRDefault="00C9656A">
            <w:pPr>
              <w:jc w:val="center"/>
              <w:rPr>
                <w:rFonts w:eastAsia="Times New Roman"/>
                <w:i/>
                <w:iCs/>
                <w:color w:val="000000"/>
                <w:sz w:val="17"/>
                <w:szCs w:val="17"/>
              </w:rPr>
            </w:pPr>
            <w:r w:rsidRPr="00FC6195">
              <w:rPr>
                <w:rFonts w:eastAsia="Times New Roman"/>
                <w:i/>
                <w:iCs/>
                <w:color w:val="000000"/>
                <w:sz w:val="17"/>
                <w:szCs w:val="17"/>
              </w:rPr>
              <w:t>16</w:t>
            </w:r>
          </w:p>
        </w:tc>
      </w:tr>
      <w:tr w:rsidR="00F01AE3" w:rsidRPr="00FC6195" w14:paraId="3329041D" w14:textId="77777777" w:rsidTr="007132EE">
        <w:trPr>
          <w:trHeight w:val="340"/>
        </w:trPr>
        <w:tc>
          <w:tcPr>
            <w:tcW w:w="1181" w:type="dxa"/>
            <w:tcBorders>
              <w:top w:val="nil"/>
              <w:left w:val="single" w:sz="8" w:space="0" w:color="auto"/>
              <w:bottom w:val="nil"/>
              <w:right w:val="nil"/>
            </w:tcBorders>
            <w:shd w:val="clear" w:color="auto" w:fill="auto"/>
            <w:noWrap/>
            <w:vAlign w:val="center"/>
            <w:hideMark/>
          </w:tcPr>
          <w:p w14:paraId="06A77810"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 </w:t>
            </w:r>
          </w:p>
        </w:tc>
        <w:tc>
          <w:tcPr>
            <w:tcW w:w="1149" w:type="dxa"/>
            <w:tcBorders>
              <w:top w:val="nil"/>
              <w:left w:val="single" w:sz="8" w:space="0" w:color="auto"/>
              <w:bottom w:val="nil"/>
              <w:right w:val="single" w:sz="8" w:space="0" w:color="auto"/>
            </w:tcBorders>
            <w:shd w:val="clear" w:color="auto" w:fill="auto"/>
            <w:vAlign w:val="center"/>
            <w:hideMark/>
          </w:tcPr>
          <w:p w14:paraId="61B5AC7E"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bottom w:val="nil"/>
              <w:right w:val="single" w:sz="8" w:space="0" w:color="auto"/>
            </w:tcBorders>
            <w:shd w:val="clear" w:color="auto" w:fill="auto"/>
            <w:vAlign w:val="center"/>
            <w:hideMark/>
          </w:tcPr>
          <w:p w14:paraId="11A73DD6"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nil"/>
              <w:right w:val="single" w:sz="8" w:space="0" w:color="auto"/>
            </w:tcBorders>
            <w:shd w:val="clear" w:color="auto" w:fill="auto"/>
            <w:vAlign w:val="center"/>
            <w:hideMark/>
          </w:tcPr>
          <w:p w14:paraId="57FBE8F9"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single" w:sz="8" w:space="0" w:color="auto"/>
              <w:right w:val="single" w:sz="8" w:space="0" w:color="auto"/>
            </w:tcBorders>
            <w:shd w:val="clear" w:color="auto" w:fill="auto"/>
            <w:noWrap/>
            <w:vAlign w:val="center"/>
            <w:hideMark/>
          </w:tcPr>
          <w:p w14:paraId="76257511"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71400</w:t>
            </w:r>
          </w:p>
        </w:tc>
        <w:tc>
          <w:tcPr>
            <w:tcW w:w="2070" w:type="dxa"/>
            <w:tcBorders>
              <w:top w:val="nil"/>
              <w:left w:val="nil"/>
              <w:bottom w:val="single" w:sz="8" w:space="0" w:color="auto"/>
              <w:right w:val="single" w:sz="8" w:space="0" w:color="auto"/>
            </w:tcBorders>
            <w:shd w:val="clear" w:color="auto" w:fill="auto"/>
            <w:vAlign w:val="center"/>
            <w:hideMark/>
          </w:tcPr>
          <w:p w14:paraId="1608FA80" w14:textId="77777777" w:rsidR="004E7E28" w:rsidRPr="00FC6195" w:rsidRDefault="004E7E28">
            <w:pPr>
              <w:jc w:val="both"/>
              <w:rPr>
                <w:rFonts w:eastAsia="Times New Roman"/>
                <w:color w:val="000000"/>
                <w:sz w:val="17"/>
                <w:szCs w:val="17"/>
              </w:rPr>
            </w:pPr>
            <w:r w:rsidRPr="00FC6195">
              <w:rPr>
                <w:rFonts w:eastAsia="Times New Roman"/>
                <w:color w:val="000000"/>
                <w:sz w:val="17"/>
                <w:szCs w:val="17"/>
              </w:rPr>
              <w:t xml:space="preserve">Contractual Services – Individ </w:t>
            </w:r>
          </w:p>
        </w:tc>
        <w:tc>
          <w:tcPr>
            <w:tcW w:w="810" w:type="dxa"/>
            <w:tcBorders>
              <w:top w:val="nil"/>
              <w:left w:val="nil"/>
              <w:bottom w:val="single" w:sz="8" w:space="0" w:color="auto"/>
              <w:right w:val="single" w:sz="8" w:space="0" w:color="auto"/>
            </w:tcBorders>
            <w:shd w:val="clear" w:color="auto" w:fill="auto"/>
            <w:noWrap/>
            <w:vAlign w:val="center"/>
            <w:hideMark/>
          </w:tcPr>
          <w:p w14:paraId="717EB493" w14:textId="4D03B8B5" w:rsidR="004E7E28" w:rsidRPr="00FC6195" w:rsidRDefault="004E7E28">
            <w:pPr>
              <w:jc w:val="center"/>
              <w:rPr>
                <w:rFonts w:eastAsia="Times New Roman"/>
                <w:color w:val="000000"/>
                <w:sz w:val="17"/>
                <w:szCs w:val="17"/>
              </w:rPr>
            </w:pPr>
            <w:r w:rsidRPr="00FC6195">
              <w:rPr>
                <w:rFonts w:cs="Calibri"/>
                <w:color w:val="000000"/>
                <w:sz w:val="17"/>
                <w:szCs w:val="17"/>
              </w:rPr>
              <w:t>28,000</w:t>
            </w:r>
          </w:p>
        </w:tc>
        <w:tc>
          <w:tcPr>
            <w:tcW w:w="1010" w:type="dxa"/>
            <w:tcBorders>
              <w:top w:val="nil"/>
              <w:left w:val="nil"/>
              <w:bottom w:val="single" w:sz="8" w:space="0" w:color="auto"/>
              <w:right w:val="single" w:sz="8" w:space="0" w:color="auto"/>
            </w:tcBorders>
            <w:shd w:val="clear" w:color="auto" w:fill="auto"/>
            <w:noWrap/>
            <w:vAlign w:val="center"/>
            <w:hideMark/>
          </w:tcPr>
          <w:p w14:paraId="24E24E76" w14:textId="22D1E048" w:rsidR="004E7E28" w:rsidRPr="00FC6195" w:rsidRDefault="004E7E28">
            <w:pPr>
              <w:jc w:val="center"/>
              <w:rPr>
                <w:rFonts w:eastAsia="Times New Roman"/>
                <w:color w:val="000000"/>
                <w:sz w:val="17"/>
                <w:szCs w:val="17"/>
              </w:rPr>
            </w:pPr>
            <w:r w:rsidRPr="00FC6195">
              <w:rPr>
                <w:rFonts w:cs="Calibri"/>
                <w:color w:val="000000"/>
                <w:sz w:val="17"/>
                <w:szCs w:val="17"/>
              </w:rPr>
              <w:t>37,000</w:t>
            </w:r>
          </w:p>
        </w:tc>
        <w:tc>
          <w:tcPr>
            <w:tcW w:w="970" w:type="dxa"/>
            <w:tcBorders>
              <w:top w:val="nil"/>
              <w:left w:val="nil"/>
              <w:bottom w:val="single" w:sz="8" w:space="0" w:color="auto"/>
              <w:right w:val="single" w:sz="8" w:space="0" w:color="auto"/>
            </w:tcBorders>
            <w:shd w:val="clear" w:color="auto" w:fill="auto"/>
            <w:noWrap/>
            <w:vAlign w:val="center"/>
            <w:hideMark/>
          </w:tcPr>
          <w:p w14:paraId="18E8BD71" w14:textId="6895EC8A" w:rsidR="004E7E28" w:rsidRPr="00FC6195" w:rsidRDefault="004E7E28">
            <w:pPr>
              <w:jc w:val="center"/>
              <w:rPr>
                <w:rFonts w:eastAsia="Times New Roman"/>
                <w:color w:val="000000"/>
                <w:sz w:val="17"/>
                <w:szCs w:val="17"/>
              </w:rPr>
            </w:pPr>
            <w:r w:rsidRPr="00FC6195">
              <w:rPr>
                <w:rFonts w:cs="Calibri"/>
                <w:color w:val="000000"/>
                <w:sz w:val="17"/>
                <w:szCs w:val="17"/>
              </w:rPr>
              <w:t>54,000</w:t>
            </w:r>
          </w:p>
        </w:tc>
        <w:tc>
          <w:tcPr>
            <w:tcW w:w="1080" w:type="dxa"/>
            <w:tcBorders>
              <w:top w:val="nil"/>
              <w:left w:val="nil"/>
              <w:bottom w:val="single" w:sz="8" w:space="0" w:color="auto"/>
              <w:right w:val="single" w:sz="8" w:space="0" w:color="auto"/>
            </w:tcBorders>
            <w:shd w:val="clear" w:color="auto" w:fill="auto"/>
            <w:noWrap/>
            <w:vAlign w:val="center"/>
            <w:hideMark/>
          </w:tcPr>
          <w:p w14:paraId="33B850D9" w14:textId="5AA067C9" w:rsidR="004E7E28" w:rsidRPr="00FC6195" w:rsidRDefault="004E7E28">
            <w:pPr>
              <w:jc w:val="center"/>
              <w:rPr>
                <w:rFonts w:eastAsia="Times New Roman"/>
                <w:color w:val="000000"/>
                <w:sz w:val="17"/>
                <w:szCs w:val="17"/>
              </w:rPr>
            </w:pPr>
            <w:r w:rsidRPr="00FC6195">
              <w:rPr>
                <w:rFonts w:cs="Calibri"/>
                <w:color w:val="000000"/>
                <w:sz w:val="17"/>
                <w:szCs w:val="17"/>
              </w:rPr>
              <w:t>54,000</w:t>
            </w:r>
          </w:p>
        </w:tc>
        <w:tc>
          <w:tcPr>
            <w:tcW w:w="1170" w:type="dxa"/>
            <w:tcBorders>
              <w:top w:val="nil"/>
              <w:left w:val="nil"/>
              <w:bottom w:val="single" w:sz="8" w:space="0" w:color="auto"/>
              <w:right w:val="single" w:sz="8" w:space="0" w:color="auto"/>
            </w:tcBorders>
            <w:shd w:val="clear" w:color="auto" w:fill="auto"/>
            <w:vAlign w:val="center"/>
            <w:hideMark/>
          </w:tcPr>
          <w:p w14:paraId="41026288" w14:textId="56BA7B4F" w:rsidR="004E7E28" w:rsidRPr="00FC6195" w:rsidRDefault="004E7E28">
            <w:pPr>
              <w:jc w:val="center"/>
              <w:rPr>
                <w:rFonts w:eastAsia="Times New Roman"/>
                <w:color w:val="000000"/>
                <w:sz w:val="17"/>
                <w:szCs w:val="17"/>
              </w:rPr>
            </w:pPr>
            <w:r w:rsidRPr="00FC6195">
              <w:rPr>
                <w:rFonts w:cs="Calibri"/>
                <w:color w:val="000000"/>
                <w:sz w:val="17"/>
                <w:szCs w:val="17"/>
              </w:rPr>
              <w:t>54,000</w:t>
            </w:r>
          </w:p>
        </w:tc>
        <w:tc>
          <w:tcPr>
            <w:tcW w:w="1080" w:type="dxa"/>
            <w:tcBorders>
              <w:top w:val="nil"/>
              <w:left w:val="nil"/>
              <w:bottom w:val="single" w:sz="8" w:space="0" w:color="auto"/>
              <w:right w:val="single" w:sz="8" w:space="0" w:color="auto"/>
            </w:tcBorders>
            <w:shd w:val="clear" w:color="auto" w:fill="auto"/>
            <w:noWrap/>
            <w:vAlign w:val="center"/>
            <w:hideMark/>
          </w:tcPr>
          <w:p w14:paraId="138AE31C" w14:textId="4B19781D" w:rsidR="004E7E28" w:rsidRPr="00FC6195" w:rsidRDefault="004E7E28">
            <w:pPr>
              <w:jc w:val="center"/>
              <w:rPr>
                <w:rFonts w:eastAsia="Times New Roman"/>
                <w:b/>
                <w:bCs/>
                <w:color w:val="000000"/>
                <w:sz w:val="17"/>
                <w:szCs w:val="17"/>
              </w:rPr>
            </w:pPr>
            <w:r w:rsidRPr="00FC6195">
              <w:rPr>
                <w:rFonts w:cs="Calibri"/>
                <w:b/>
                <w:bCs/>
                <w:color w:val="000000"/>
                <w:sz w:val="17"/>
                <w:szCs w:val="17"/>
              </w:rPr>
              <w:t>227,000</w:t>
            </w:r>
          </w:p>
        </w:tc>
        <w:tc>
          <w:tcPr>
            <w:tcW w:w="900" w:type="dxa"/>
            <w:tcBorders>
              <w:top w:val="nil"/>
              <w:left w:val="nil"/>
              <w:bottom w:val="single" w:sz="8" w:space="0" w:color="auto"/>
              <w:right w:val="single" w:sz="8" w:space="0" w:color="auto"/>
            </w:tcBorders>
            <w:shd w:val="clear" w:color="auto" w:fill="auto"/>
            <w:vAlign w:val="center"/>
            <w:hideMark/>
          </w:tcPr>
          <w:p w14:paraId="52376BA2" w14:textId="77777777" w:rsidR="004E7E28" w:rsidRPr="00FC6195" w:rsidRDefault="004E7E28">
            <w:pPr>
              <w:jc w:val="center"/>
              <w:rPr>
                <w:rFonts w:eastAsia="Times New Roman"/>
                <w:i/>
                <w:iCs/>
                <w:color w:val="000000"/>
                <w:sz w:val="17"/>
                <w:szCs w:val="17"/>
              </w:rPr>
            </w:pPr>
            <w:r w:rsidRPr="00FC6195">
              <w:rPr>
                <w:rFonts w:eastAsia="Times New Roman"/>
                <w:i/>
                <w:iCs/>
                <w:color w:val="000000"/>
                <w:sz w:val="17"/>
                <w:szCs w:val="17"/>
              </w:rPr>
              <w:t>17</w:t>
            </w:r>
          </w:p>
        </w:tc>
      </w:tr>
      <w:tr w:rsidR="00F01AE3" w:rsidRPr="00FC6195" w14:paraId="2DDD166D" w14:textId="77777777" w:rsidTr="007132EE">
        <w:trPr>
          <w:trHeight w:val="340"/>
        </w:trPr>
        <w:tc>
          <w:tcPr>
            <w:tcW w:w="1181" w:type="dxa"/>
            <w:tcBorders>
              <w:top w:val="nil"/>
              <w:left w:val="single" w:sz="8" w:space="0" w:color="auto"/>
              <w:bottom w:val="nil"/>
              <w:right w:val="nil"/>
            </w:tcBorders>
            <w:shd w:val="clear" w:color="auto" w:fill="auto"/>
            <w:noWrap/>
            <w:vAlign w:val="center"/>
            <w:hideMark/>
          </w:tcPr>
          <w:p w14:paraId="478F9358" w14:textId="77777777" w:rsidR="00C9656A" w:rsidRPr="00FC6195" w:rsidRDefault="00C9656A">
            <w:pPr>
              <w:rPr>
                <w:rFonts w:eastAsia="Times New Roman"/>
                <w:color w:val="000000"/>
                <w:sz w:val="17"/>
                <w:szCs w:val="17"/>
              </w:rPr>
            </w:pPr>
            <w:r w:rsidRPr="00FC6195">
              <w:rPr>
                <w:rFonts w:eastAsia="Times New Roman"/>
                <w:color w:val="000000"/>
                <w:sz w:val="17"/>
                <w:szCs w:val="17"/>
              </w:rPr>
              <w:t> </w:t>
            </w:r>
          </w:p>
        </w:tc>
        <w:tc>
          <w:tcPr>
            <w:tcW w:w="1149" w:type="dxa"/>
            <w:tcBorders>
              <w:top w:val="nil"/>
              <w:left w:val="single" w:sz="8" w:space="0" w:color="auto"/>
              <w:bottom w:val="nil"/>
              <w:right w:val="single" w:sz="8" w:space="0" w:color="auto"/>
            </w:tcBorders>
            <w:shd w:val="clear" w:color="auto" w:fill="auto"/>
            <w:vAlign w:val="center"/>
            <w:hideMark/>
          </w:tcPr>
          <w:p w14:paraId="6A146365"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bottom w:val="nil"/>
              <w:right w:val="single" w:sz="8" w:space="0" w:color="auto"/>
            </w:tcBorders>
            <w:shd w:val="clear" w:color="auto" w:fill="auto"/>
            <w:vAlign w:val="center"/>
            <w:hideMark/>
          </w:tcPr>
          <w:p w14:paraId="2B35FE06"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nil"/>
              <w:right w:val="single" w:sz="8" w:space="0" w:color="auto"/>
            </w:tcBorders>
            <w:shd w:val="clear" w:color="auto" w:fill="auto"/>
            <w:vAlign w:val="center"/>
            <w:hideMark/>
          </w:tcPr>
          <w:p w14:paraId="515EE7F9"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single" w:sz="8" w:space="0" w:color="auto"/>
              <w:right w:val="single" w:sz="8" w:space="0" w:color="auto"/>
            </w:tcBorders>
            <w:shd w:val="clear" w:color="auto" w:fill="auto"/>
            <w:noWrap/>
            <w:vAlign w:val="center"/>
            <w:hideMark/>
          </w:tcPr>
          <w:p w14:paraId="40F61359"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71600</w:t>
            </w:r>
          </w:p>
        </w:tc>
        <w:tc>
          <w:tcPr>
            <w:tcW w:w="2070" w:type="dxa"/>
            <w:tcBorders>
              <w:top w:val="nil"/>
              <w:left w:val="nil"/>
              <w:bottom w:val="single" w:sz="8" w:space="0" w:color="auto"/>
              <w:right w:val="single" w:sz="8" w:space="0" w:color="auto"/>
            </w:tcBorders>
            <w:shd w:val="clear" w:color="auto" w:fill="auto"/>
            <w:vAlign w:val="center"/>
            <w:hideMark/>
          </w:tcPr>
          <w:p w14:paraId="3B5119A5" w14:textId="77777777" w:rsidR="00C9656A" w:rsidRPr="00FC6195" w:rsidRDefault="00C9656A">
            <w:pPr>
              <w:rPr>
                <w:rFonts w:eastAsia="Times New Roman"/>
                <w:color w:val="000000"/>
                <w:sz w:val="17"/>
                <w:szCs w:val="17"/>
              </w:rPr>
            </w:pPr>
            <w:r w:rsidRPr="00FC6195">
              <w:rPr>
                <w:rFonts w:eastAsia="Times New Roman"/>
                <w:color w:val="000000"/>
                <w:sz w:val="17"/>
                <w:szCs w:val="17"/>
              </w:rPr>
              <w:t>Travel</w:t>
            </w:r>
          </w:p>
        </w:tc>
        <w:tc>
          <w:tcPr>
            <w:tcW w:w="810" w:type="dxa"/>
            <w:tcBorders>
              <w:top w:val="nil"/>
              <w:left w:val="nil"/>
              <w:bottom w:val="single" w:sz="8" w:space="0" w:color="auto"/>
              <w:right w:val="single" w:sz="8" w:space="0" w:color="auto"/>
            </w:tcBorders>
            <w:shd w:val="clear" w:color="auto" w:fill="auto"/>
            <w:noWrap/>
            <w:vAlign w:val="center"/>
            <w:hideMark/>
          </w:tcPr>
          <w:p w14:paraId="3151A064"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0</w:t>
            </w:r>
          </w:p>
        </w:tc>
        <w:tc>
          <w:tcPr>
            <w:tcW w:w="1010" w:type="dxa"/>
            <w:tcBorders>
              <w:top w:val="nil"/>
              <w:left w:val="nil"/>
              <w:bottom w:val="single" w:sz="8" w:space="0" w:color="auto"/>
              <w:right w:val="single" w:sz="8" w:space="0" w:color="auto"/>
            </w:tcBorders>
            <w:shd w:val="clear" w:color="auto" w:fill="auto"/>
            <w:noWrap/>
            <w:vAlign w:val="center"/>
            <w:hideMark/>
          </w:tcPr>
          <w:p w14:paraId="2382E0D1"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7,000</w:t>
            </w:r>
          </w:p>
        </w:tc>
        <w:tc>
          <w:tcPr>
            <w:tcW w:w="970" w:type="dxa"/>
            <w:tcBorders>
              <w:top w:val="nil"/>
              <w:left w:val="nil"/>
              <w:bottom w:val="single" w:sz="8" w:space="0" w:color="auto"/>
              <w:right w:val="single" w:sz="8" w:space="0" w:color="auto"/>
            </w:tcBorders>
            <w:shd w:val="clear" w:color="auto" w:fill="auto"/>
            <w:noWrap/>
            <w:vAlign w:val="center"/>
            <w:hideMark/>
          </w:tcPr>
          <w:p w14:paraId="6EF76626"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8,000</w:t>
            </w:r>
          </w:p>
        </w:tc>
        <w:tc>
          <w:tcPr>
            <w:tcW w:w="1080" w:type="dxa"/>
            <w:tcBorders>
              <w:top w:val="nil"/>
              <w:left w:val="nil"/>
              <w:bottom w:val="single" w:sz="8" w:space="0" w:color="auto"/>
              <w:right w:val="single" w:sz="8" w:space="0" w:color="auto"/>
            </w:tcBorders>
            <w:shd w:val="clear" w:color="auto" w:fill="auto"/>
            <w:noWrap/>
            <w:vAlign w:val="center"/>
            <w:hideMark/>
          </w:tcPr>
          <w:p w14:paraId="2416B0CC"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8,000</w:t>
            </w:r>
          </w:p>
        </w:tc>
        <w:tc>
          <w:tcPr>
            <w:tcW w:w="1170" w:type="dxa"/>
            <w:tcBorders>
              <w:top w:val="nil"/>
              <w:left w:val="nil"/>
              <w:bottom w:val="single" w:sz="8" w:space="0" w:color="auto"/>
              <w:right w:val="single" w:sz="8" w:space="0" w:color="auto"/>
            </w:tcBorders>
            <w:shd w:val="clear" w:color="auto" w:fill="auto"/>
            <w:vAlign w:val="center"/>
            <w:hideMark/>
          </w:tcPr>
          <w:p w14:paraId="158958A8"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7,000</w:t>
            </w:r>
          </w:p>
        </w:tc>
        <w:tc>
          <w:tcPr>
            <w:tcW w:w="1080" w:type="dxa"/>
            <w:tcBorders>
              <w:top w:val="nil"/>
              <w:left w:val="nil"/>
              <w:bottom w:val="single" w:sz="8" w:space="0" w:color="auto"/>
              <w:right w:val="single" w:sz="8" w:space="0" w:color="auto"/>
            </w:tcBorders>
            <w:shd w:val="clear" w:color="auto" w:fill="auto"/>
            <w:noWrap/>
            <w:vAlign w:val="center"/>
            <w:hideMark/>
          </w:tcPr>
          <w:p w14:paraId="511AD0A4"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30,000</w:t>
            </w:r>
          </w:p>
        </w:tc>
        <w:tc>
          <w:tcPr>
            <w:tcW w:w="900" w:type="dxa"/>
            <w:tcBorders>
              <w:top w:val="nil"/>
              <w:left w:val="nil"/>
              <w:bottom w:val="single" w:sz="8" w:space="0" w:color="auto"/>
              <w:right w:val="single" w:sz="8" w:space="0" w:color="auto"/>
            </w:tcBorders>
            <w:shd w:val="clear" w:color="auto" w:fill="auto"/>
            <w:vAlign w:val="center"/>
            <w:hideMark/>
          </w:tcPr>
          <w:p w14:paraId="0CC2F27B" w14:textId="77777777" w:rsidR="00C9656A" w:rsidRPr="00FC6195" w:rsidRDefault="00C9656A">
            <w:pPr>
              <w:jc w:val="center"/>
              <w:rPr>
                <w:rFonts w:eastAsia="Times New Roman"/>
                <w:i/>
                <w:iCs/>
                <w:color w:val="000000"/>
                <w:sz w:val="17"/>
                <w:szCs w:val="17"/>
              </w:rPr>
            </w:pPr>
            <w:r w:rsidRPr="00FC6195">
              <w:rPr>
                <w:rFonts w:eastAsia="Times New Roman"/>
                <w:i/>
                <w:iCs/>
                <w:color w:val="000000"/>
                <w:sz w:val="17"/>
                <w:szCs w:val="17"/>
              </w:rPr>
              <w:t>18</w:t>
            </w:r>
          </w:p>
        </w:tc>
      </w:tr>
      <w:tr w:rsidR="00F01AE3" w:rsidRPr="00FC6195" w14:paraId="135C0782" w14:textId="77777777" w:rsidTr="007132EE">
        <w:trPr>
          <w:trHeight w:val="500"/>
        </w:trPr>
        <w:tc>
          <w:tcPr>
            <w:tcW w:w="1181" w:type="dxa"/>
            <w:tcBorders>
              <w:top w:val="nil"/>
              <w:left w:val="single" w:sz="8" w:space="0" w:color="auto"/>
              <w:bottom w:val="nil"/>
              <w:right w:val="single" w:sz="8" w:space="0" w:color="auto"/>
            </w:tcBorders>
            <w:shd w:val="clear" w:color="auto" w:fill="auto"/>
            <w:vAlign w:val="center"/>
            <w:hideMark/>
          </w:tcPr>
          <w:p w14:paraId="15B220DA" w14:textId="2B21D863" w:rsidR="00C9656A" w:rsidRPr="00FC6195" w:rsidRDefault="00FC6195">
            <w:pPr>
              <w:jc w:val="center"/>
              <w:rPr>
                <w:rFonts w:eastAsia="Times New Roman"/>
                <w:b/>
                <w:color w:val="000000"/>
                <w:sz w:val="17"/>
                <w:szCs w:val="17"/>
              </w:rPr>
            </w:pPr>
            <w:r w:rsidRPr="00FC6195">
              <w:rPr>
                <w:rFonts w:eastAsia="Times New Roman"/>
                <w:b/>
                <w:color w:val="000000"/>
                <w:sz w:val="17"/>
                <w:szCs w:val="17"/>
              </w:rPr>
              <w:t>C</w:t>
            </w:r>
            <w:r>
              <w:rPr>
                <w:rFonts w:eastAsia="Times New Roman"/>
                <w:b/>
                <w:color w:val="000000"/>
                <w:sz w:val="17"/>
                <w:szCs w:val="17"/>
              </w:rPr>
              <w:t>omponent/</w:t>
            </w:r>
            <w:r w:rsidRPr="00FC6195">
              <w:rPr>
                <w:rFonts w:eastAsia="Times New Roman"/>
                <w:b/>
                <w:color w:val="000000"/>
                <w:sz w:val="17"/>
                <w:szCs w:val="17"/>
              </w:rPr>
              <w:t xml:space="preserve"> O</w:t>
            </w:r>
            <w:r>
              <w:rPr>
                <w:rFonts w:eastAsia="Times New Roman"/>
                <w:b/>
                <w:color w:val="000000"/>
                <w:sz w:val="17"/>
                <w:szCs w:val="17"/>
              </w:rPr>
              <w:t xml:space="preserve">utcome </w:t>
            </w:r>
            <w:r w:rsidR="00C9656A" w:rsidRPr="00FC6195">
              <w:rPr>
                <w:rFonts w:eastAsia="Times New Roman"/>
                <w:b/>
                <w:color w:val="000000"/>
                <w:sz w:val="17"/>
                <w:szCs w:val="17"/>
              </w:rPr>
              <w:t>3</w:t>
            </w:r>
          </w:p>
        </w:tc>
        <w:tc>
          <w:tcPr>
            <w:tcW w:w="1149" w:type="dxa"/>
            <w:tcBorders>
              <w:top w:val="nil"/>
              <w:left w:val="nil"/>
              <w:bottom w:val="nil"/>
              <w:right w:val="single" w:sz="8" w:space="0" w:color="auto"/>
            </w:tcBorders>
            <w:shd w:val="clear" w:color="auto" w:fill="auto"/>
            <w:vAlign w:val="center"/>
            <w:hideMark/>
          </w:tcPr>
          <w:p w14:paraId="6DA30915"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MoE</w:t>
            </w:r>
          </w:p>
        </w:tc>
        <w:tc>
          <w:tcPr>
            <w:tcW w:w="810" w:type="dxa"/>
            <w:tcBorders>
              <w:top w:val="nil"/>
              <w:left w:val="nil"/>
              <w:bottom w:val="nil"/>
              <w:right w:val="single" w:sz="8" w:space="0" w:color="auto"/>
            </w:tcBorders>
            <w:shd w:val="clear" w:color="auto" w:fill="auto"/>
            <w:vAlign w:val="center"/>
            <w:hideMark/>
          </w:tcPr>
          <w:p w14:paraId="22A06C2F"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62000</w:t>
            </w:r>
          </w:p>
        </w:tc>
        <w:tc>
          <w:tcPr>
            <w:tcW w:w="990" w:type="dxa"/>
            <w:tcBorders>
              <w:top w:val="nil"/>
              <w:left w:val="nil"/>
              <w:bottom w:val="nil"/>
              <w:right w:val="single" w:sz="8" w:space="0" w:color="auto"/>
            </w:tcBorders>
            <w:shd w:val="clear" w:color="auto" w:fill="auto"/>
            <w:vAlign w:val="center"/>
            <w:hideMark/>
          </w:tcPr>
          <w:p w14:paraId="7F62FCCB"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GEF</w:t>
            </w:r>
          </w:p>
        </w:tc>
        <w:tc>
          <w:tcPr>
            <w:tcW w:w="990" w:type="dxa"/>
            <w:tcBorders>
              <w:top w:val="nil"/>
              <w:left w:val="nil"/>
              <w:bottom w:val="single" w:sz="8" w:space="0" w:color="auto"/>
              <w:right w:val="single" w:sz="8" w:space="0" w:color="auto"/>
            </w:tcBorders>
            <w:shd w:val="clear" w:color="auto" w:fill="auto"/>
            <w:noWrap/>
            <w:vAlign w:val="center"/>
            <w:hideMark/>
          </w:tcPr>
          <w:p w14:paraId="13890105"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72100</w:t>
            </w:r>
          </w:p>
        </w:tc>
        <w:tc>
          <w:tcPr>
            <w:tcW w:w="2070" w:type="dxa"/>
            <w:tcBorders>
              <w:top w:val="nil"/>
              <w:left w:val="nil"/>
              <w:bottom w:val="single" w:sz="8" w:space="0" w:color="auto"/>
              <w:right w:val="single" w:sz="8" w:space="0" w:color="auto"/>
            </w:tcBorders>
            <w:shd w:val="clear" w:color="auto" w:fill="auto"/>
            <w:vAlign w:val="center"/>
            <w:hideMark/>
          </w:tcPr>
          <w:p w14:paraId="09F8C74E" w14:textId="77777777" w:rsidR="00C9656A" w:rsidRPr="00FC6195" w:rsidRDefault="00C9656A">
            <w:pPr>
              <w:rPr>
                <w:rFonts w:eastAsia="Times New Roman"/>
                <w:color w:val="000000"/>
                <w:sz w:val="17"/>
                <w:szCs w:val="17"/>
              </w:rPr>
            </w:pPr>
            <w:r w:rsidRPr="00FC6195">
              <w:rPr>
                <w:rFonts w:eastAsia="Times New Roman"/>
                <w:color w:val="000000"/>
                <w:sz w:val="17"/>
                <w:szCs w:val="17"/>
              </w:rPr>
              <w:t>Contractual Services-Companies</w:t>
            </w:r>
          </w:p>
        </w:tc>
        <w:tc>
          <w:tcPr>
            <w:tcW w:w="810" w:type="dxa"/>
            <w:tcBorders>
              <w:top w:val="nil"/>
              <w:left w:val="nil"/>
              <w:bottom w:val="single" w:sz="8" w:space="0" w:color="auto"/>
              <w:right w:val="single" w:sz="8" w:space="0" w:color="auto"/>
            </w:tcBorders>
            <w:shd w:val="clear" w:color="auto" w:fill="auto"/>
            <w:noWrap/>
            <w:vAlign w:val="center"/>
            <w:hideMark/>
          </w:tcPr>
          <w:p w14:paraId="2802AE70" w14:textId="77777777" w:rsidR="00C9656A" w:rsidRPr="00FC6195" w:rsidRDefault="00C9656A">
            <w:pPr>
              <w:jc w:val="center"/>
              <w:rPr>
                <w:rFonts w:eastAsia="Times New Roman"/>
                <w:bCs/>
                <w:color w:val="000000"/>
                <w:sz w:val="17"/>
                <w:szCs w:val="17"/>
              </w:rPr>
            </w:pPr>
            <w:r w:rsidRPr="00FC6195">
              <w:rPr>
                <w:rFonts w:eastAsia="Times New Roman"/>
                <w:bCs/>
                <w:color w:val="000000"/>
                <w:sz w:val="17"/>
                <w:szCs w:val="17"/>
              </w:rPr>
              <w:t>0</w:t>
            </w:r>
          </w:p>
        </w:tc>
        <w:tc>
          <w:tcPr>
            <w:tcW w:w="1010" w:type="dxa"/>
            <w:tcBorders>
              <w:top w:val="nil"/>
              <w:left w:val="nil"/>
              <w:bottom w:val="single" w:sz="8" w:space="0" w:color="auto"/>
              <w:right w:val="single" w:sz="8" w:space="0" w:color="auto"/>
            </w:tcBorders>
            <w:shd w:val="clear" w:color="auto" w:fill="auto"/>
            <w:noWrap/>
            <w:vAlign w:val="center"/>
            <w:hideMark/>
          </w:tcPr>
          <w:p w14:paraId="09EAD3E2" w14:textId="77777777" w:rsidR="00C9656A" w:rsidRPr="00FC6195" w:rsidRDefault="00C9656A">
            <w:pPr>
              <w:jc w:val="center"/>
              <w:rPr>
                <w:rFonts w:eastAsia="Times New Roman"/>
                <w:bCs/>
                <w:color w:val="000000"/>
                <w:sz w:val="17"/>
                <w:szCs w:val="17"/>
              </w:rPr>
            </w:pPr>
            <w:r w:rsidRPr="00FC6195">
              <w:rPr>
                <w:rFonts w:eastAsia="Times New Roman"/>
                <w:bCs/>
                <w:color w:val="000000"/>
                <w:sz w:val="17"/>
                <w:szCs w:val="17"/>
              </w:rPr>
              <w:t>0</w:t>
            </w:r>
          </w:p>
        </w:tc>
        <w:tc>
          <w:tcPr>
            <w:tcW w:w="970" w:type="dxa"/>
            <w:tcBorders>
              <w:top w:val="nil"/>
              <w:left w:val="nil"/>
              <w:bottom w:val="single" w:sz="8" w:space="0" w:color="auto"/>
              <w:right w:val="single" w:sz="8" w:space="0" w:color="auto"/>
            </w:tcBorders>
            <w:shd w:val="clear" w:color="auto" w:fill="auto"/>
            <w:noWrap/>
            <w:vAlign w:val="center"/>
            <w:hideMark/>
          </w:tcPr>
          <w:p w14:paraId="10CF4CBC"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450,000</w:t>
            </w:r>
          </w:p>
        </w:tc>
        <w:tc>
          <w:tcPr>
            <w:tcW w:w="1080" w:type="dxa"/>
            <w:tcBorders>
              <w:top w:val="nil"/>
              <w:left w:val="nil"/>
              <w:bottom w:val="single" w:sz="8" w:space="0" w:color="auto"/>
              <w:right w:val="single" w:sz="8" w:space="0" w:color="auto"/>
            </w:tcBorders>
            <w:shd w:val="clear" w:color="auto" w:fill="auto"/>
            <w:noWrap/>
            <w:vAlign w:val="center"/>
            <w:hideMark/>
          </w:tcPr>
          <w:p w14:paraId="7BBF94A5"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600,000</w:t>
            </w:r>
          </w:p>
        </w:tc>
        <w:tc>
          <w:tcPr>
            <w:tcW w:w="1170" w:type="dxa"/>
            <w:tcBorders>
              <w:top w:val="nil"/>
              <w:left w:val="nil"/>
              <w:bottom w:val="single" w:sz="8" w:space="0" w:color="auto"/>
              <w:right w:val="single" w:sz="8" w:space="0" w:color="auto"/>
            </w:tcBorders>
            <w:shd w:val="clear" w:color="auto" w:fill="auto"/>
            <w:vAlign w:val="center"/>
            <w:hideMark/>
          </w:tcPr>
          <w:p w14:paraId="7FB681A9" w14:textId="77777777" w:rsidR="00C9656A" w:rsidRPr="00FC6195" w:rsidRDefault="00C9656A">
            <w:pPr>
              <w:jc w:val="center"/>
              <w:rPr>
                <w:rFonts w:eastAsia="Times New Roman"/>
                <w:color w:val="000000"/>
                <w:sz w:val="17"/>
                <w:szCs w:val="17"/>
              </w:rPr>
            </w:pPr>
            <w:r w:rsidRPr="00FC6195">
              <w:rPr>
                <w:rFonts w:eastAsia="Times New Roman"/>
                <w:color w:val="000000"/>
                <w:sz w:val="17"/>
                <w:szCs w:val="17"/>
              </w:rPr>
              <w:t>850,000</w:t>
            </w:r>
          </w:p>
        </w:tc>
        <w:tc>
          <w:tcPr>
            <w:tcW w:w="1080" w:type="dxa"/>
            <w:tcBorders>
              <w:top w:val="nil"/>
              <w:left w:val="nil"/>
              <w:bottom w:val="single" w:sz="8" w:space="0" w:color="auto"/>
              <w:right w:val="single" w:sz="8" w:space="0" w:color="auto"/>
            </w:tcBorders>
            <w:shd w:val="clear" w:color="auto" w:fill="auto"/>
            <w:noWrap/>
            <w:vAlign w:val="center"/>
            <w:hideMark/>
          </w:tcPr>
          <w:p w14:paraId="17993D30" w14:textId="77777777" w:rsidR="00C9656A" w:rsidRPr="00FC6195" w:rsidRDefault="00C9656A">
            <w:pPr>
              <w:jc w:val="center"/>
              <w:rPr>
                <w:rFonts w:eastAsia="Times New Roman"/>
                <w:b/>
                <w:bCs/>
                <w:color w:val="000000"/>
                <w:sz w:val="17"/>
                <w:szCs w:val="17"/>
              </w:rPr>
            </w:pPr>
            <w:r w:rsidRPr="00FC6195">
              <w:rPr>
                <w:rFonts w:eastAsia="Times New Roman"/>
                <w:b/>
                <w:bCs/>
                <w:color w:val="000000"/>
                <w:sz w:val="17"/>
                <w:szCs w:val="17"/>
              </w:rPr>
              <w:t>1,900,000</w:t>
            </w:r>
          </w:p>
        </w:tc>
        <w:tc>
          <w:tcPr>
            <w:tcW w:w="900" w:type="dxa"/>
            <w:tcBorders>
              <w:top w:val="nil"/>
              <w:left w:val="nil"/>
              <w:bottom w:val="single" w:sz="8" w:space="0" w:color="auto"/>
              <w:right w:val="single" w:sz="8" w:space="0" w:color="auto"/>
            </w:tcBorders>
            <w:shd w:val="clear" w:color="auto" w:fill="auto"/>
            <w:vAlign w:val="center"/>
            <w:hideMark/>
          </w:tcPr>
          <w:p w14:paraId="6CCD199A" w14:textId="77777777" w:rsidR="00C9656A" w:rsidRPr="00FC6195" w:rsidRDefault="00C9656A">
            <w:pPr>
              <w:jc w:val="center"/>
              <w:rPr>
                <w:rFonts w:eastAsia="Times New Roman"/>
                <w:i/>
                <w:iCs/>
                <w:color w:val="000000"/>
                <w:sz w:val="17"/>
                <w:szCs w:val="17"/>
              </w:rPr>
            </w:pPr>
            <w:r w:rsidRPr="00FC6195">
              <w:rPr>
                <w:rFonts w:eastAsia="Times New Roman"/>
                <w:i/>
                <w:iCs/>
                <w:color w:val="000000"/>
                <w:sz w:val="17"/>
                <w:szCs w:val="17"/>
              </w:rPr>
              <w:t>19</w:t>
            </w:r>
          </w:p>
        </w:tc>
      </w:tr>
      <w:tr w:rsidR="00246445" w:rsidRPr="00FC6195" w14:paraId="299C1EA8" w14:textId="77777777" w:rsidTr="007132EE">
        <w:trPr>
          <w:trHeight w:val="340"/>
        </w:trPr>
        <w:tc>
          <w:tcPr>
            <w:tcW w:w="1181" w:type="dxa"/>
            <w:tcBorders>
              <w:top w:val="nil"/>
              <w:left w:val="single" w:sz="8" w:space="0" w:color="auto"/>
              <w:bottom w:val="nil"/>
              <w:right w:val="nil"/>
            </w:tcBorders>
            <w:shd w:val="clear" w:color="auto" w:fill="auto"/>
            <w:noWrap/>
            <w:vAlign w:val="center"/>
          </w:tcPr>
          <w:p w14:paraId="05A39F18" w14:textId="77777777" w:rsidR="00246445" w:rsidRPr="00FC6195" w:rsidRDefault="00246445">
            <w:pPr>
              <w:rPr>
                <w:rFonts w:eastAsia="Times New Roman"/>
                <w:color w:val="000000"/>
                <w:sz w:val="17"/>
                <w:szCs w:val="17"/>
              </w:rPr>
            </w:pPr>
          </w:p>
        </w:tc>
        <w:tc>
          <w:tcPr>
            <w:tcW w:w="1149" w:type="dxa"/>
            <w:tcBorders>
              <w:top w:val="nil"/>
              <w:left w:val="single" w:sz="8" w:space="0" w:color="auto"/>
              <w:bottom w:val="nil"/>
              <w:right w:val="single" w:sz="8" w:space="0" w:color="auto"/>
            </w:tcBorders>
            <w:shd w:val="clear" w:color="auto" w:fill="auto"/>
            <w:vAlign w:val="center"/>
          </w:tcPr>
          <w:p w14:paraId="711B199B" w14:textId="77777777" w:rsidR="00246445" w:rsidRPr="00FC6195" w:rsidRDefault="00246445">
            <w:pPr>
              <w:jc w:val="center"/>
              <w:rPr>
                <w:rFonts w:eastAsia="Times New Roman"/>
                <w:b/>
                <w:bCs/>
                <w:color w:val="000000"/>
                <w:sz w:val="17"/>
                <w:szCs w:val="17"/>
              </w:rPr>
            </w:pPr>
          </w:p>
        </w:tc>
        <w:tc>
          <w:tcPr>
            <w:tcW w:w="810" w:type="dxa"/>
            <w:tcBorders>
              <w:top w:val="nil"/>
              <w:left w:val="nil"/>
              <w:bottom w:val="nil"/>
              <w:right w:val="nil"/>
            </w:tcBorders>
            <w:shd w:val="clear" w:color="auto" w:fill="auto"/>
            <w:noWrap/>
            <w:vAlign w:val="bottom"/>
          </w:tcPr>
          <w:p w14:paraId="37B250DC" w14:textId="77777777" w:rsidR="00246445" w:rsidRPr="00FC6195" w:rsidRDefault="00246445">
            <w:pPr>
              <w:jc w:val="center"/>
              <w:rPr>
                <w:rFonts w:eastAsia="Times New Roman"/>
                <w:b/>
                <w:bCs/>
                <w:color w:val="000000"/>
                <w:sz w:val="17"/>
                <w:szCs w:val="17"/>
              </w:rPr>
            </w:pPr>
          </w:p>
        </w:tc>
        <w:tc>
          <w:tcPr>
            <w:tcW w:w="990" w:type="dxa"/>
            <w:tcBorders>
              <w:top w:val="nil"/>
              <w:left w:val="single" w:sz="8" w:space="0" w:color="auto"/>
              <w:bottom w:val="nil"/>
              <w:right w:val="single" w:sz="8" w:space="0" w:color="auto"/>
            </w:tcBorders>
            <w:shd w:val="clear" w:color="auto" w:fill="auto"/>
            <w:vAlign w:val="center"/>
          </w:tcPr>
          <w:p w14:paraId="4ED4E402" w14:textId="77777777" w:rsidR="00246445" w:rsidRPr="00FC6195" w:rsidRDefault="00246445">
            <w:pPr>
              <w:jc w:val="center"/>
              <w:rPr>
                <w:rFonts w:eastAsia="Times New Roman"/>
                <w:b/>
                <w:bCs/>
                <w:color w:val="000000"/>
                <w:sz w:val="17"/>
                <w:szCs w:val="17"/>
              </w:rPr>
            </w:pPr>
          </w:p>
        </w:tc>
        <w:tc>
          <w:tcPr>
            <w:tcW w:w="990" w:type="dxa"/>
            <w:tcBorders>
              <w:top w:val="nil"/>
              <w:left w:val="nil"/>
              <w:bottom w:val="single" w:sz="8" w:space="0" w:color="auto"/>
              <w:right w:val="single" w:sz="8" w:space="0" w:color="auto"/>
            </w:tcBorders>
            <w:shd w:val="clear" w:color="auto" w:fill="auto"/>
            <w:noWrap/>
            <w:vAlign w:val="center"/>
          </w:tcPr>
          <w:p w14:paraId="583C03A1" w14:textId="05C370B1" w:rsidR="00246445" w:rsidRPr="00FC6195" w:rsidRDefault="00246445">
            <w:pPr>
              <w:jc w:val="center"/>
              <w:rPr>
                <w:rFonts w:cs="Calibri"/>
                <w:color w:val="000000"/>
                <w:sz w:val="17"/>
                <w:szCs w:val="17"/>
              </w:rPr>
            </w:pPr>
            <w:r>
              <w:rPr>
                <w:rFonts w:cs="Calibri"/>
                <w:color w:val="000000"/>
                <w:sz w:val="18"/>
                <w:szCs w:val="18"/>
              </w:rPr>
              <w:t>72400</w:t>
            </w:r>
          </w:p>
        </w:tc>
        <w:tc>
          <w:tcPr>
            <w:tcW w:w="2070" w:type="dxa"/>
            <w:tcBorders>
              <w:top w:val="nil"/>
              <w:left w:val="nil"/>
              <w:bottom w:val="single" w:sz="8" w:space="0" w:color="auto"/>
              <w:right w:val="single" w:sz="8" w:space="0" w:color="auto"/>
            </w:tcBorders>
            <w:shd w:val="clear" w:color="auto" w:fill="auto"/>
            <w:noWrap/>
            <w:vAlign w:val="center"/>
          </w:tcPr>
          <w:p w14:paraId="11642EB4" w14:textId="35C6EF2C" w:rsidR="00246445" w:rsidRPr="00FC6195" w:rsidRDefault="00246445">
            <w:pPr>
              <w:rPr>
                <w:rFonts w:cs="Calibri"/>
                <w:color w:val="000000"/>
                <w:sz w:val="17"/>
                <w:szCs w:val="17"/>
              </w:rPr>
            </w:pPr>
            <w:r>
              <w:rPr>
                <w:rFonts w:cs="Calibri"/>
                <w:color w:val="000000"/>
                <w:sz w:val="18"/>
                <w:szCs w:val="18"/>
              </w:rPr>
              <w:t xml:space="preserve">Communications </w:t>
            </w:r>
          </w:p>
        </w:tc>
        <w:tc>
          <w:tcPr>
            <w:tcW w:w="810" w:type="dxa"/>
            <w:tcBorders>
              <w:top w:val="nil"/>
              <w:left w:val="nil"/>
              <w:bottom w:val="single" w:sz="8" w:space="0" w:color="auto"/>
              <w:right w:val="single" w:sz="8" w:space="0" w:color="auto"/>
            </w:tcBorders>
            <w:shd w:val="clear" w:color="auto" w:fill="auto"/>
            <w:noWrap/>
            <w:vAlign w:val="center"/>
          </w:tcPr>
          <w:p w14:paraId="4B60627E" w14:textId="2BD23FA8" w:rsidR="00246445" w:rsidRPr="00C05B71" w:rsidRDefault="00246445">
            <w:pPr>
              <w:jc w:val="center"/>
              <w:rPr>
                <w:rFonts w:cs="Calibri"/>
                <w:bCs/>
                <w:color w:val="000000"/>
                <w:sz w:val="17"/>
                <w:szCs w:val="17"/>
              </w:rPr>
            </w:pPr>
            <w:r w:rsidRPr="00C05B71">
              <w:rPr>
                <w:rFonts w:cs="Calibri"/>
                <w:color w:val="000000"/>
                <w:sz w:val="17"/>
                <w:szCs w:val="17"/>
              </w:rPr>
              <w:t>1,500</w:t>
            </w:r>
          </w:p>
        </w:tc>
        <w:tc>
          <w:tcPr>
            <w:tcW w:w="1010" w:type="dxa"/>
            <w:tcBorders>
              <w:top w:val="nil"/>
              <w:left w:val="nil"/>
              <w:bottom w:val="single" w:sz="8" w:space="0" w:color="auto"/>
              <w:right w:val="single" w:sz="8" w:space="0" w:color="auto"/>
            </w:tcBorders>
            <w:shd w:val="clear" w:color="auto" w:fill="auto"/>
            <w:noWrap/>
            <w:vAlign w:val="center"/>
          </w:tcPr>
          <w:p w14:paraId="4BAF50F7" w14:textId="3BE0CD40" w:rsidR="00246445" w:rsidRPr="00C05B71" w:rsidRDefault="00246445">
            <w:pPr>
              <w:jc w:val="center"/>
              <w:rPr>
                <w:rFonts w:cs="Calibri"/>
                <w:bCs/>
                <w:color w:val="000000"/>
                <w:sz w:val="17"/>
                <w:szCs w:val="17"/>
              </w:rPr>
            </w:pPr>
            <w:r w:rsidRPr="00C05B71">
              <w:rPr>
                <w:rFonts w:cs="Calibri"/>
                <w:color w:val="000000"/>
                <w:sz w:val="17"/>
                <w:szCs w:val="17"/>
              </w:rPr>
              <w:t>1,500</w:t>
            </w:r>
          </w:p>
        </w:tc>
        <w:tc>
          <w:tcPr>
            <w:tcW w:w="970" w:type="dxa"/>
            <w:tcBorders>
              <w:top w:val="nil"/>
              <w:left w:val="nil"/>
              <w:bottom w:val="single" w:sz="8" w:space="0" w:color="auto"/>
              <w:right w:val="single" w:sz="8" w:space="0" w:color="auto"/>
            </w:tcBorders>
            <w:shd w:val="clear" w:color="auto" w:fill="auto"/>
            <w:noWrap/>
            <w:vAlign w:val="center"/>
          </w:tcPr>
          <w:p w14:paraId="1FC201BA" w14:textId="3A2ED316" w:rsidR="00246445" w:rsidRPr="00C05B71" w:rsidRDefault="00246445">
            <w:pPr>
              <w:jc w:val="center"/>
              <w:rPr>
                <w:rFonts w:cs="Calibri"/>
                <w:bCs/>
                <w:color w:val="000000"/>
                <w:sz w:val="17"/>
                <w:szCs w:val="17"/>
              </w:rPr>
            </w:pPr>
            <w:r w:rsidRPr="00C05B71">
              <w:rPr>
                <w:rFonts w:cs="Calibri"/>
                <w:color w:val="000000"/>
                <w:sz w:val="17"/>
                <w:szCs w:val="17"/>
              </w:rPr>
              <w:t>1,500</w:t>
            </w:r>
          </w:p>
        </w:tc>
        <w:tc>
          <w:tcPr>
            <w:tcW w:w="1080" w:type="dxa"/>
            <w:tcBorders>
              <w:top w:val="nil"/>
              <w:left w:val="nil"/>
              <w:bottom w:val="single" w:sz="8" w:space="0" w:color="auto"/>
              <w:right w:val="single" w:sz="8" w:space="0" w:color="auto"/>
            </w:tcBorders>
            <w:shd w:val="clear" w:color="auto" w:fill="auto"/>
            <w:noWrap/>
            <w:vAlign w:val="center"/>
          </w:tcPr>
          <w:p w14:paraId="70C908EB" w14:textId="3164CDBB" w:rsidR="00246445" w:rsidRPr="00C05B71" w:rsidRDefault="00246445">
            <w:pPr>
              <w:jc w:val="center"/>
              <w:rPr>
                <w:rFonts w:cs="Calibri"/>
                <w:bCs/>
                <w:color w:val="000000"/>
                <w:sz w:val="17"/>
                <w:szCs w:val="17"/>
              </w:rPr>
            </w:pPr>
            <w:r w:rsidRPr="00C05B71">
              <w:rPr>
                <w:rFonts w:cs="Calibri"/>
                <w:color w:val="000000"/>
                <w:sz w:val="17"/>
                <w:szCs w:val="17"/>
              </w:rPr>
              <w:t>1,500</w:t>
            </w:r>
          </w:p>
        </w:tc>
        <w:tc>
          <w:tcPr>
            <w:tcW w:w="1170" w:type="dxa"/>
            <w:tcBorders>
              <w:top w:val="nil"/>
              <w:left w:val="nil"/>
              <w:bottom w:val="single" w:sz="8" w:space="0" w:color="auto"/>
              <w:right w:val="single" w:sz="8" w:space="0" w:color="auto"/>
            </w:tcBorders>
            <w:shd w:val="clear" w:color="auto" w:fill="auto"/>
            <w:vAlign w:val="center"/>
          </w:tcPr>
          <w:p w14:paraId="6B682318" w14:textId="03355781" w:rsidR="00246445" w:rsidRPr="00C05B71" w:rsidRDefault="00246445">
            <w:pPr>
              <w:jc w:val="center"/>
              <w:rPr>
                <w:rFonts w:cs="Calibri"/>
                <w:bCs/>
                <w:color w:val="000000"/>
                <w:sz w:val="17"/>
                <w:szCs w:val="17"/>
              </w:rPr>
            </w:pPr>
            <w:r w:rsidRPr="00C05B71">
              <w:rPr>
                <w:rFonts w:cs="Calibri"/>
                <w:color w:val="000000"/>
                <w:sz w:val="17"/>
                <w:szCs w:val="17"/>
              </w:rPr>
              <w:t>1,500</w:t>
            </w:r>
          </w:p>
        </w:tc>
        <w:tc>
          <w:tcPr>
            <w:tcW w:w="1080" w:type="dxa"/>
            <w:tcBorders>
              <w:top w:val="nil"/>
              <w:left w:val="nil"/>
              <w:bottom w:val="single" w:sz="8" w:space="0" w:color="auto"/>
              <w:right w:val="single" w:sz="8" w:space="0" w:color="auto"/>
            </w:tcBorders>
            <w:shd w:val="clear" w:color="auto" w:fill="auto"/>
            <w:noWrap/>
            <w:vAlign w:val="center"/>
          </w:tcPr>
          <w:p w14:paraId="15173626" w14:textId="306A97CD" w:rsidR="00246445" w:rsidRPr="00C05B71" w:rsidRDefault="00246445" w:rsidP="004E7E28">
            <w:pPr>
              <w:jc w:val="center"/>
              <w:rPr>
                <w:rFonts w:cs="Calibri"/>
                <w:b/>
                <w:bCs/>
                <w:color w:val="000000"/>
                <w:sz w:val="17"/>
                <w:szCs w:val="17"/>
              </w:rPr>
            </w:pPr>
            <w:r w:rsidRPr="00C05B71">
              <w:rPr>
                <w:rFonts w:cs="Calibri"/>
                <w:b/>
                <w:bCs/>
                <w:color w:val="000000"/>
                <w:sz w:val="17"/>
                <w:szCs w:val="17"/>
              </w:rPr>
              <w:t>7,500</w:t>
            </w:r>
          </w:p>
        </w:tc>
        <w:tc>
          <w:tcPr>
            <w:tcW w:w="900" w:type="dxa"/>
            <w:tcBorders>
              <w:top w:val="nil"/>
              <w:left w:val="nil"/>
              <w:bottom w:val="single" w:sz="8" w:space="0" w:color="auto"/>
              <w:right w:val="single" w:sz="8" w:space="0" w:color="auto"/>
            </w:tcBorders>
            <w:shd w:val="clear" w:color="auto" w:fill="auto"/>
            <w:vAlign w:val="center"/>
          </w:tcPr>
          <w:p w14:paraId="36850EF8" w14:textId="3874EE39" w:rsidR="00246445" w:rsidRPr="00FC6195" w:rsidRDefault="00C05B71">
            <w:pPr>
              <w:jc w:val="center"/>
              <w:rPr>
                <w:rFonts w:cs="Calibri"/>
                <w:i/>
                <w:iCs/>
                <w:sz w:val="17"/>
                <w:szCs w:val="17"/>
              </w:rPr>
            </w:pPr>
            <w:r>
              <w:rPr>
                <w:rFonts w:cs="Calibri"/>
                <w:i/>
                <w:iCs/>
                <w:sz w:val="17"/>
                <w:szCs w:val="17"/>
              </w:rPr>
              <w:t>20</w:t>
            </w:r>
          </w:p>
        </w:tc>
      </w:tr>
      <w:tr w:rsidR="00246445" w:rsidRPr="00FC6195" w14:paraId="18483C6E" w14:textId="77777777" w:rsidTr="007132EE">
        <w:trPr>
          <w:trHeight w:val="340"/>
        </w:trPr>
        <w:tc>
          <w:tcPr>
            <w:tcW w:w="1181" w:type="dxa"/>
            <w:tcBorders>
              <w:top w:val="nil"/>
              <w:left w:val="single" w:sz="8" w:space="0" w:color="auto"/>
              <w:bottom w:val="nil"/>
              <w:right w:val="nil"/>
            </w:tcBorders>
            <w:shd w:val="clear" w:color="auto" w:fill="auto"/>
            <w:noWrap/>
            <w:vAlign w:val="center"/>
          </w:tcPr>
          <w:p w14:paraId="7A2B5A47" w14:textId="77777777" w:rsidR="00246445" w:rsidRPr="00FC6195" w:rsidRDefault="00246445">
            <w:pPr>
              <w:rPr>
                <w:rFonts w:eastAsia="Times New Roman"/>
                <w:color w:val="000000"/>
                <w:sz w:val="17"/>
                <w:szCs w:val="17"/>
              </w:rPr>
            </w:pPr>
          </w:p>
        </w:tc>
        <w:tc>
          <w:tcPr>
            <w:tcW w:w="1149" w:type="dxa"/>
            <w:tcBorders>
              <w:top w:val="nil"/>
              <w:left w:val="single" w:sz="8" w:space="0" w:color="auto"/>
              <w:bottom w:val="nil"/>
              <w:right w:val="single" w:sz="8" w:space="0" w:color="auto"/>
            </w:tcBorders>
            <w:shd w:val="clear" w:color="auto" w:fill="auto"/>
            <w:vAlign w:val="center"/>
          </w:tcPr>
          <w:p w14:paraId="6C335F22" w14:textId="77777777" w:rsidR="00246445" w:rsidRPr="00FC6195" w:rsidRDefault="00246445">
            <w:pPr>
              <w:jc w:val="center"/>
              <w:rPr>
                <w:rFonts w:eastAsia="Times New Roman"/>
                <w:b/>
                <w:bCs/>
                <w:color w:val="000000"/>
                <w:sz w:val="17"/>
                <w:szCs w:val="17"/>
              </w:rPr>
            </w:pPr>
          </w:p>
        </w:tc>
        <w:tc>
          <w:tcPr>
            <w:tcW w:w="810" w:type="dxa"/>
            <w:tcBorders>
              <w:top w:val="nil"/>
              <w:left w:val="nil"/>
              <w:bottom w:val="nil"/>
              <w:right w:val="nil"/>
            </w:tcBorders>
            <w:shd w:val="clear" w:color="auto" w:fill="auto"/>
            <w:noWrap/>
            <w:vAlign w:val="bottom"/>
          </w:tcPr>
          <w:p w14:paraId="09D5999C" w14:textId="77777777" w:rsidR="00246445" w:rsidRPr="00FC6195" w:rsidRDefault="00246445">
            <w:pPr>
              <w:jc w:val="center"/>
              <w:rPr>
                <w:rFonts w:eastAsia="Times New Roman"/>
                <w:b/>
                <w:bCs/>
                <w:color w:val="000000"/>
                <w:sz w:val="17"/>
                <w:szCs w:val="17"/>
              </w:rPr>
            </w:pPr>
          </w:p>
        </w:tc>
        <w:tc>
          <w:tcPr>
            <w:tcW w:w="990" w:type="dxa"/>
            <w:tcBorders>
              <w:top w:val="nil"/>
              <w:left w:val="single" w:sz="8" w:space="0" w:color="auto"/>
              <w:bottom w:val="nil"/>
              <w:right w:val="single" w:sz="8" w:space="0" w:color="auto"/>
            </w:tcBorders>
            <w:shd w:val="clear" w:color="auto" w:fill="auto"/>
            <w:vAlign w:val="center"/>
          </w:tcPr>
          <w:p w14:paraId="6272ABB2" w14:textId="77777777" w:rsidR="00246445" w:rsidRPr="00FC6195" w:rsidRDefault="00246445">
            <w:pPr>
              <w:jc w:val="center"/>
              <w:rPr>
                <w:rFonts w:eastAsia="Times New Roman"/>
                <w:b/>
                <w:bCs/>
                <w:color w:val="000000"/>
                <w:sz w:val="17"/>
                <w:szCs w:val="17"/>
              </w:rPr>
            </w:pPr>
          </w:p>
        </w:tc>
        <w:tc>
          <w:tcPr>
            <w:tcW w:w="990" w:type="dxa"/>
            <w:tcBorders>
              <w:top w:val="nil"/>
              <w:left w:val="nil"/>
              <w:bottom w:val="single" w:sz="8" w:space="0" w:color="auto"/>
              <w:right w:val="single" w:sz="8" w:space="0" w:color="auto"/>
            </w:tcBorders>
            <w:shd w:val="clear" w:color="auto" w:fill="auto"/>
            <w:noWrap/>
            <w:vAlign w:val="center"/>
          </w:tcPr>
          <w:p w14:paraId="6431A414" w14:textId="044E6633" w:rsidR="00246445" w:rsidRPr="00FC6195" w:rsidRDefault="00246445">
            <w:pPr>
              <w:jc w:val="center"/>
              <w:rPr>
                <w:rFonts w:cs="Calibri"/>
                <w:color w:val="000000"/>
                <w:sz w:val="17"/>
                <w:szCs w:val="17"/>
              </w:rPr>
            </w:pPr>
            <w:r>
              <w:rPr>
                <w:rFonts w:cs="Calibri"/>
                <w:color w:val="000000"/>
                <w:sz w:val="18"/>
                <w:szCs w:val="18"/>
              </w:rPr>
              <w:t>72500</w:t>
            </w:r>
          </w:p>
        </w:tc>
        <w:tc>
          <w:tcPr>
            <w:tcW w:w="2070" w:type="dxa"/>
            <w:tcBorders>
              <w:top w:val="nil"/>
              <w:left w:val="nil"/>
              <w:bottom w:val="single" w:sz="8" w:space="0" w:color="auto"/>
              <w:right w:val="single" w:sz="8" w:space="0" w:color="auto"/>
            </w:tcBorders>
            <w:shd w:val="clear" w:color="auto" w:fill="auto"/>
            <w:noWrap/>
            <w:vAlign w:val="center"/>
          </w:tcPr>
          <w:p w14:paraId="5F7079FE" w14:textId="4EB36B06" w:rsidR="00246445" w:rsidRPr="00FC6195" w:rsidRDefault="00246445">
            <w:pPr>
              <w:rPr>
                <w:rFonts w:cs="Calibri"/>
                <w:color w:val="000000"/>
                <w:sz w:val="17"/>
                <w:szCs w:val="17"/>
              </w:rPr>
            </w:pPr>
            <w:r>
              <w:rPr>
                <w:rFonts w:cs="Calibri"/>
                <w:color w:val="000000"/>
                <w:sz w:val="18"/>
                <w:szCs w:val="18"/>
              </w:rPr>
              <w:t>Supplies</w:t>
            </w:r>
          </w:p>
        </w:tc>
        <w:tc>
          <w:tcPr>
            <w:tcW w:w="810" w:type="dxa"/>
            <w:tcBorders>
              <w:top w:val="nil"/>
              <w:left w:val="nil"/>
              <w:bottom w:val="single" w:sz="8" w:space="0" w:color="auto"/>
              <w:right w:val="single" w:sz="8" w:space="0" w:color="auto"/>
            </w:tcBorders>
            <w:shd w:val="clear" w:color="auto" w:fill="auto"/>
            <w:noWrap/>
            <w:vAlign w:val="center"/>
          </w:tcPr>
          <w:p w14:paraId="7904E03C" w14:textId="541D9D5F" w:rsidR="00246445" w:rsidRPr="00C05B71" w:rsidRDefault="00246445">
            <w:pPr>
              <w:jc w:val="center"/>
              <w:rPr>
                <w:rFonts w:cs="Calibri"/>
                <w:bCs/>
                <w:color w:val="000000"/>
                <w:sz w:val="17"/>
                <w:szCs w:val="17"/>
              </w:rPr>
            </w:pPr>
            <w:r w:rsidRPr="00C05B71">
              <w:rPr>
                <w:rFonts w:cs="Calibri"/>
                <w:color w:val="000000"/>
                <w:sz w:val="17"/>
                <w:szCs w:val="17"/>
              </w:rPr>
              <w:t>1,000</w:t>
            </w:r>
          </w:p>
        </w:tc>
        <w:tc>
          <w:tcPr>
            <w:tcW w:w="1010" w:type="dxa"/>
            <w:tcBorders>
              <w:top w:val="nil"/>
              <w:left w:val="nil"/>
              <w:bottom w:val="single" w:sz="8" w:space="0" w:color="auto"/>
              <w:right w:val="single" w:sz="8" w:space="0" w:color="auto"/>
            </w:tcBorders>
            <w:shd w:val="clear" w:color="auto" w:fill="auto"/>
            <w:noWrap/>
            <w:vAlign w:val="center"/>
          </w:tcPr>
          <w:p w14:paraId="4B1B4B44" w14:textId="0F2B1756" w:rsidR="00246445" w:rsidRPr="00C05B71" w:rsidRDefault="00246445">
            <w:pPr>
              <w:jc w:val="center"/>
              <w:rPr>
                <w:rFonts w:cs="Calibri"/>
                <w:bCs/>
                <w:color w:val="000000"/>
                <w:sz w:val="17"/>
                <w:szCs w:val="17"/>
              </w:rPr>
            </w:pPr>
            <w:r w:rsidRPr="00C05B71">
              <w:rPr>
                <w:rFonts w:cs="Calibri"/>
                <w:color w:val="000000"/>
                <w:sz w:val="17"/>
                <w:szCs w:val="17"/>
              </w:rPr>
              <w:t>1,000</w:t>
            </w:r>
          </w:p>
        </w:tc>
        <w:tc>
          <w:tcPr>
            <w:tcW w:w="970" w:type="dxa"/>
            <w:tcBorders>
              <w:top w:val="nil"/>
              <w:left w:val="nil"/>
              <w:bottom w:val="single" w:sz="8" w:space="0" w:color="auto"/>
              <w:right w:val="single" w:sz="8" w:space="0" w:color="auto"/>
            </w:tcBorders>
            <w:shd w:val="clear" w:color="auto" w:fill="auto"/>
            <w:noWrap/>
            <w:vAlign w:val="center"/>
          </w:tcPr>
          <w:p w14:paraId="71235813" w14:textId="032AFF36" w:rsidR="00246445" w:rsidRPr="00C05B71" w:rsidRDefault="00246445">
            <w:pPr>
              <w:jc w:val="center"/>
              <w:rPr>
                <w:rFonts w:cs="Calibri"/>
                <w:bCs/>
                <w:color w:val="000000"/>
                <w:sz w:val="17"/>
                <w:szCs w:val="17"/>
              </w:rPr>
            </w:pPr>
            <w:r w:rsidRPr="00C05B71">
              <w:rPr>
                <w:rFonts w:cs="Calibri"/>
                <w:color w:val="000000"/>
                <w:sz w:val="17"/>
                <w:szCs w:val="17"/>
              </w:rPr>
              <w:t>1,000</w:t>
            </w:r>
          </w:p>
        </w:tc>
        <w:tc>
          <w:tcPr>
            <w:tcW w:w="1080" w:type="dxa"/>
            <w:tcBorders>
              <w:top w:val="nil"/>
              <w:left w:val="nil"/>
              <w:bottom w:val="single" w:sz="8" w:space="0" w:color="auto"/>
              <w:right w:val="single" w:sz="8" w:space="0" w:color="auto"/>
            </w:tcBorders>
            <w:shd w:val="clear" w:color="auto" w:fill="auto"/>
            <w:noWrap/>
            <w:vAlign w:val="center"/>
          </w:tcPr>
          <w:p w14:paraId="73F6D213" w14:textId="238D5A3D" w:rsidR="00246445" w:rsidRPr="00C05B71" w:rsidRDefault="00246445">
            <w:pPr>
              <w:jc w:val="center"/>
              <w:rPr>
                <w:rFonts w:cs="Calibri"/>
                <w:bCs/>
                <w:color w:val="000000"/>
                <w:sz w:val="17"/>
                <w:szCs w:val="17"/>
              </w:rPr>
            </w:pPr>
            <w:r w:rsidRPr="00C05B71">
              <w:rPr>
                <w:rFonts w:cs="Calibri"/>
                <w:color w:val="000000"/>
                <w:sz w:val="17"/>
                <w:szCs w:val="17"/>
              </w:rPr>
              <w:t>1,000</w:t>
            </w:r>
          </w:p>
        </w:tc>
        <w:tc>
          <w:tcPr>
            <w:tcW w:w="1170" w:type="dxa"/>
            <w:tcBorders>
              <w:top w:val="nil"/>
              <w:left w:val="nil"/>
              <w:bottom w:val="single" w:sz="8" w:space="0" w:color="auto"/>
              <w:right w:val="single" w:sz="8" w:space="0" w:color="auto"/>
            </w:tcBorders>
            <w:shd w:val="clear" w:color="auto" w:fill="auto"/>
            <w:vAlign w:val="center"/>
          </w:tcPr>
          <w:p w14:paraId="5EE628CC" w14:textId="00CBA2AB" w:rsidR="00246445" w:rsidRPr="00C05B71" w:rsidRDefault="00246445">
            <w:pPr>
              <w:jc w:val="center"/>
              <w:rPr>
                <w:rFonts w:cs="Calibri"/>
                <w:bCs/>
                <w:color w:val="000000"/>
                <w:sz w:val="17"/>
                <w:szCs w:val="17"/>
              </w:rPr>
            </w:pPr>
            <w:r w:rsidRPr="00C05B71">
              <w:rPr>
                <w:rFonts w:cs="Calibri"/>
                <w:color w:val="000000"/>
                <w:sz w:val="17"/>
                <w:szCs w:val="17"/>
              </w:rPr>
              <w:t>1,000</w:t>
            </w:r>
          </w:p>
        </w:tc>
        <w:tc>
          <w:tcPr>
            <w:tcW w:w="1080" w:type="dxa"/>
            <w:tcBorders>
              <w:top w:val="nil"/>
              <w:left w:val="nil"/>
              <w:bottom w:val="single" w:sz="8" w:space="0" w:color="auto"/>
              <w:right w:val="single" w:sz="8" w:space="0" w:color="auto"/>
            </w:tcBorders>
            <w:shd w:val="clear" w:color="auto" w:fill="auto"/>
            <w:noWrap/>
            <w:vAlign w:val="center"/>
          </w:tcPr>
          <w:p w14:paraId="3EB80ABA" w14:textId="1F2C2FB2" w:rsidR="00246445" w:rsidRPr="00C05B71" w:rsidRDefault="00246445" w:rsidP="004E7E28">
            <w:pPr>
              <w:jc w:val="center"/>
              <w:rPr>
                <w:rFonts w:cs="Calibri"/>
                <w:b/>
                <w:bCs/>
                <w:color w:val="000000"/>
                <w:sz w:val="17"/>
                <w:szCs w:val="17"/>
              </w:rPr>
            </w:pPr>
            <w:r w:rsidRPr="00C05B71">
              <w:rPr>
                <w:rFonts w:cs="Calibri"/>
                <w:b/>
                <w:bCs/>
                <w:color w:val="000000"/>
                <w:sz w:val="17"/>
                <w:szCs w:val="17"/>
              </w:rPr>
              <w:t>5,000</w:t>
            </w:r>
          </w:p>
        </w:tc>
        <w:tc>
          <w:tcPr>
            <w:tcW w:w="900" w:type="dxa"/>
            <w:tcBorders>
              <w:top w:val="nil"/>
              <w:left w:val="nil"/>
              <w:bottom w:val="single" w:sz="8" w:space="0" w:color="auto"/>
              <w:right w:val="single" w:sz="8" w:space="0" w:color="auto"/>
            </w:tcBorders>
            <w:shd w:val="clear" w:color="auto" w:fill="auto"/>
            <w:vAlign w:val="center"/>
          </w:tcPr>
          <w:p w14:paraId="35805BA3" w14:textId="78E3CB1C" w:rsidR="00246445" w:rsidRPr="00FC6195" w:rsidRDefault="00C05B71">
            <w:pPr>
              <w:jc w:val="center"/>
              <w:rPr>
                <w:rFonts w:cs="Calibri"/>
                <w:i/>
                <w:iCs/>
                <w:sz w:val="17"/>
                <w:szCs w:val="17"/>
              </w:rPr>
            </w:pPr>
            <w:r>
              <w:rPr>
                <w:rFonts w:cs="Calibri"/>
                <w:i/>
                <w:iCs/>
                <w:sz w:val="17"/>
                <w:szCs w:val="17"/>
              </w:rPr>
              <w:t>21</w:t>
            </w:r>
          </w:p>
        </w:tc>
      </w:tr>
      <w:tr w:rsidR="00FC6195" w:rsidRPr="00FC6195" w14:paraId="11C54ADF" w14:textId="77777777" w:rsidTr="007132EE">
        <w:trPr>
          <w:trHeight w:val="340"/>
        </w:trPr>
        <w:tc>
          <w:tcPr>
            <w:tcW w:w="1181" w:type="dxa"/>
            <w:tcBorders>
              <w:top w:val="nil"/>
              <w:left w:val="single" w:sz="8" w:space="0" w:color="auto"/>
              <w:bottom w:val="nil"/>
              <w:right w:val="nil"/>
            </w:tcBorders>
            <w:shd w:val="clear" w:color="auto" w:fill="auto"/>
            <w:noWrap/>
            <w:vAlign w:val="center"/>
          </w:tcPr>
          <w:p w14:paraId="4D6E72B9" w14:textId="77777777" w:rsidR="004E7E28" w:rsidRPr="00FC6195" w:rsidRDefault="004E7E28">
            <w:pPr>
              <w:rPr>
                <w:rFonts w:eastAsia="Times New Roman"/>
                <w:color w:val="000000"/>
                <w:sz w:val="17"/>
                <w:szCs w:val="17"/>
              </w:rPr>
            </w:pPr>
          </w:p>
        </w:tc>
        <w:tc>
          <w:tcPr>
            <w:tcW w:w="1149" w:type="dxa"/>
            <w:tcBorders>
              <w:top w:val="nil"/>
              <w:left w:val="single" w:sz="8" w:space="0" w:color="auto"/>
              <w:bottom w:val="nil"/>
              <w:right w:val="single" w:sz="8" w:space="0" w:color="auto"/>
            </w:tcBorders>
            <w:shd w:val="clear" w:color="auto" w:fill="auto"/>
            <w:vAlign w:val="center"/>
          </w:tcPr>
          <w:p w14:paraId="2133FE8C" w14:textId="77777777" w:rsidR="004E7E28" w:rsidRPr="00FC6195" w:rsidRDefault="004E7E28">
            <w:pPr>
              <w:jc w:val="center"/>
              <w:rPr>
                <w:rFonts w:eastAsia="Times New Roman"/>
                <w:b/>
                <w:bCs/>
                <w:color w:val="000000"/>
                <w:sz w:val="17"/>
                <w:szCs w:val="17"/>
              </w:rPr>
            </w:pPr>
          </w:p>
        </w:tc>
        <w:tc>
          <w:tcPr>
            <w:tcW w:w="810" w:type="dxa"/>
            <w:tcBorders>
              <w:top w:val="nil"/>
              <w:left w:val="nil"/>
              <w:bottom w:val="nil"/>
              <w:right w:val="nil"/>
            </w:tcBorders>
            <w:shd w:val="clear" w:color="auto" w:fill="auto"/>
            <w:noWrap/>
            <w:vAlign w:val="bottom"/>
          </w:tcPr>
          <w:p w14:paraId="62B90471" w14:textId="77777777" w:rsidR="004E7E28" w:rsidRPr="00FC6195" w:rsidRDefault="004E7E28">
            <w:pPr>
              <w:jc w:val="center"/>
              <w:rPr>
                <w:rFonts w:eastAsia="Times New Roman"/>
                <w:b/>
                <w:bCs/>
                <w:color w:val="000000"/>
                <w:sz w:val="17"/>
                <w:szCs w:val="17"/>
              </w:rPr>
            </w:pPr>
          </w:p>
        </w:tc>
        <w:tc>
          <w:tcPr>
            <w:tcW w:w="990" w:type="dxa"/>
            <w:tcBorders>
              <w:top w:val="nil"/>
              <w:left w:val="single" w:sz="8" w:space="0" w:color="auto"/>
              <w:bottom w:val="nil"/>
              <w:right w:val="single" w:sz="8" w:space="0" w:color="auto"/>
            </w:tcBorders>
            <w:shd w:val="clear" w:color="auto" w:fill="auto"/>
            <w:vAlign w:val="center"/>
          </w:tcPr>
          <w:p w14:paraId="6EEC5D1B" w14:textId="77777777" w:rsidR="004E7E28" w:rsidRPr="00FC6195" w:rsidRDefault="004E7E28">
            <w:pPr>
              <w:jc w:val="center"/>
              <w:rPr>
                <w:rFonts w:eastAsia="Times New Roman"/>
                <w:b/>
                <w:bCs/>
                <w:color w:val="000000"/>
                <w:sz w:val="17"/>
                <w:szCs w:val="17"/>
              </w:rPr>
            </w:pPr>
          </w:p>
        </w:tc>
        <w:tc>
          <w:tcPr>
            <w:tcW w:w="990" w:type="dxa"/>
            <w:tcBorders>
              <w:top w:val="nil"/>
              <w:left w:val="nil"/>
              <w:bottom w:val="single" w:sz="8" w:space="0" w:color="auto"/>
              <w:right w:val="single" w:sz="8" w:space="0" w:color="auto"/>
            </w:tcBorders>
            <w:shd w:val="clear" w:color="auto" w:fill="auto"/>
            <w:noWrap/>
            <w:vAlign w:val="center"/>
          </w:tcPr>
          <w:p w14:paraId="7CBCD0E3" w14:textId="25F674D0" w:rsidR="004E7E28" w:rsidRPr="00FC6195" w:rsidRDefault="004E7E28">
            <w:pPr>
              <w:jc w:val="center"/>
              <w:rPr>
                <w:rFonts w:eastAsia="Times New Roman"/>
                <w:color w:val="000000"/>
                <w:sz w:val="17"/>
                <w:szCs w:val="17"/>
              </w:rPr>
            </w:pPr>
            <w:r w:rsidRPr="00FC6195">
              <w:rPr>
                <w:rFonts w:cs="Calibri"/>
                <w:color w:val="000000"/>
                <w:sz w:val="17"/>
                <w:szCs w:val="17"/>
              </w:rPr>
              <w:t>74200</w:t>
            </w:r>
          </w:p>
        </w:tc>
        <w:tc>
          <w:tcPr>
            <w:tcW w:w="2070" w:type="dxa"/>
            <w:tcBorders>
              <w:top w:val="nil"/>
              <w:left w:val="nil"/>
              <w:bottom w:val="single" w:sz="8" w:space="0" w:color="auto"/>
              <w:right w:val="single" w:sz="8" w:space="0" w:color="auto"/>
            </w:tcBorders>
            <w:shd w:val="clear" w:color="auto" w:fill="auto"/>
            <w:noWrap/>
            <w:vAlign w:val="center"/>
          </w:tcPr>
          <w:p w14:paraId="72A68CDF" w14:textId="7AEC1B9D" w:rsidR="004E7E28" w:rsidRPr="00FC6195" w:rsidRDefault="004E7E28">
            <w:pPr>
              <w:rPr>
                <w:rFonts w:eastAsia="Times New Roman"/>
                <w:color w:val="000000"/>
                <w:sz w:val="17"/>
                <w:szCs w:val="17"/>
              </w:rPr>
            </w:pPr>
            <w:r w:rsidRPr="00FC6195">
              <w:rPr>
                <w:rFonts w:cs="Calibri"/>
                <w:color w:val="000000"/>
                <w:sz w:val="17"/>
                <w:szCs w:val="17"/>
              </w:rPr>
              <w:t>Audio Visual&amp;Print Prod Costs</w:t>
            </w:r>
          </w:p>
        </w:tc>
        <w:tc>
          <w:tcPr>
            <w:tcW w:w="810" w:type="dxa"/>
            <w:tcBorders>
              <w:top w:val="nil"/>
              <w:left w:val="nil"/>
              <w:bottom w:val="single" w:sz="8" w:space="0" w:color="auto"/>
              <w:right w:val="single" w:sz="8" w:space="0" w:color="auto"/>
            </w:tcBorders>
            <w:shd w:val="clear" w:color="auto" w:fill="auto"/>
            <w:noWrap/>
            <w:vAlign w:val="center"/>
          </w:tcPr>
          <w:p w14:paraId="7A774351" w14:textId="4EEC3DE3" w:rsidR="004E7E28" w:rsidRPr="00C05B71" w:rsidDel="004E7E28" w:rsidRDefault="004E7E28">
            <w:pPr>
              <w:jc w:val="center"/>
              <w:rPr>
                <w:rFonts w:eastAsia="Times New Roman"/>
                <w:color w:val="000000"/>
                <w:sz w:val="17"/>
                <w:szCs w:val="17"/>
              </w:rPr>
            </w:pPr>
            <w:r w:rsidRPr="00C05B71">
              <w:rPr>
                <w:rFonts w:cs="Calibri"/>
                <w:bCs/>
                <w:color w:val="000000"/>
                <w:sz w:val="17"/>
                <w:szCs w:val="17"/>
              </w:rPr>
              <w:t>900</w:t>
            </w:r>
          </w:p>
        </w:tc>
        <w:tc>
          <w:tcPr>
            <w:tcW w:w="1010" w:type="dxa"/>
            <w:tcBorders>
              <w:top w:val="nil"/>
              <w:left w:val="nil"/>
              <w:bottom w:val="single" w:sz="8" w:space="0" w:color="auto"/>
              <w:right w:val="single" w:sz="8" w:space="0" w:color="auto"/>
            </w:tcBorders>
            <w:shd w:val="clear" w:color="auto" w:fill="auto"/>
            <w:noWrap/>
            <w:vAlign w:val="center"/>
          </w:tcPr>
          <w:p w14:paraId="4C5E6174" w14:textId="580EFE03" w:rsidR="004E7E28" w:rsidRPr="00C05B71" w:rsidRDefault="004E7E28">
            <w:pPr>
              <w:jc w:val="center"/>
              <w:rPr>
                <w:rFonts w:eastAsia="Times New Roman"/>
                <w:color w:val="000000"/>
                <w:sz w:val="17"/>
                <w:szCs w:val="17"/>
              </w:rPr>
            </w:pPr>
            <w:r w:rsidRPr="00C05B71">
              <w:rPr>
                <w:rFonts w:cs="Calibri"/>
                <w:bCs/>
                <w:color w:val="000000"/>
                <w:sz w:val="17"/>
                <w:szCs w:val="17"/>
              </w:rPr>
              <w:t>0</w:t>
            </w:r>
          </w:p>
        </w:tc>
        <w:tc>
          <w:tcPr>
            <w:tcW w:w="970" w:type="dxa"/>
            <w:tcBorders>
              <w:top w:val="nil"/>
              <w:left w:val="nil"/>
              <w:bottom w:val="single" w:sz="8" w:space="0" w:color="auto"/>
              <w:right w:val="single" w:sz="8" w:space="0" w:color="auto"/>
            </w:tcBorders>
            <w:shd w:val="clear" w:color="auto" w:fill="auto"/>
            <w:noWrap/>
            <w:vAlign w:val="center"/>
          </w:tcPr>
          <w:p w14:paraId="5BCD6FB0" w14:textId="52339D0B" w:rsidR="004E7E28" w:rsidRPr="00C05B71" w:rsidRDefault="004E7E28">
            <w:pPr>
              <w:jc w:val="center"/>
              <w:rPr>
                <w:rFonts w:eastAsia="Times New Roman"/>
                <w:color w:val="000000"/>
                <w:sz w:val="17"/>
                <w:szCs w:val="17"/>
              </w:rPr>
            </w:pPr>
            <w:r w:rsidRPr="00C05B71">
              <w:rPr>
                <w:rFonts w:cs="Calibri"/>
                <w:bCs/>
                <w:color w:val="000000"/>
                <w:sz w:val="17"/>
                <w:szCs w:val="17"/>
              </w:rPr>
              <w:t>2,000</w:t>
            </w:r>
          </w:p>
        </w:tc>
        <w:tc>
          <w:tcPr>
            <w:tcW w:w="1080" w:type="dxa"/>
            <w:tcBorders>
              <w:top w:val="nil"/>
              <w:left w:val="nil"/>
              <w:bottom w:val="single" w:sz="8" w:space="0" w:color="auto"/>
              <w:right w:val="single" w:sz="8" w:space="0" w:color="auto"/>
            </w:tcBorders>
            <w:shd w:val="clear" w:color="auto" w:fill="auto"/>
            <w:noWrap/>
            <w:vAlign w:val="center"/>
          </w:tcPr>
          <w:p w14:paraId="734296E4" w14:textId="211C94AD" w:rsidR="004E7E28" w:rsidRPr="00C05B71" w:rsidRDefault="004E7E28">
            <w:pPr>
              <w:jc w:val="center"/>
              <w:rPr>
                <w:rFonts w:eastAsia="Times New Roman"/>
                <w:color w:val="000000"/>
                <w:sz w:val="17"/>
                <w:szCs w:val="17"/>
              </w:rPr>
            </w:pPr>
            <w:r w:rsidRPr="00C05B71">
              <w:rPr>
                <w:rFonts w:cs="Calibri"/>
                <w:bCs/>
                <w:color w:val="000000"/>
                <w:sz w:val="17"/>
                <w:szCs w:val="17"/>
              </w:rPr>
              <w:t>0</w:t>
            </w:r>
          </w:p>
        </w:tc>
        <w:tc>
          <w:tcPr>
            <w:tcW w:w="1170" w:type="dxa"/>
            <w:tcBorders>
              <w:top w:val="nil"/>
              <w:left w:val="nil"/>
              <w:bottom w:val="single" w:sz="8" w:space="0" w:color="auto"/>
              <w:right w:val="single" w:sz="8" w:space="0" w:color="auto"/>
            </w:tcBorders>
            <w:shd w:val="clear" w:color="auto" w:fill="auto"/>
            <w:vAlign w:val="center"/>
          </w:tcPr>
          <w:p w14:paraId="5CA38E81" w14:textId="608076FB" w:rsidR="004E7E28" w:rsidRPr="00C05B71" w:rsidRDefault="004E7E28">
            <w:pPr>
              <w:jc w:val="center"/>
              <w:rPr>
                <w:rFonts w:eastAsia="Times New Roman"/>
                <w:color w:val="000000"/>
                <w:sz w:val="17"/>
                <w:szCs w:val="17"/>
              </w:rPr>
            </w:pPr>
            <w:r w:rsidRPr="00C05B71">
              <w:rPr>
                <w:rFonts w:cs="Calibri"/>
                <w:bCs/>
                <w:color w:val="000000"/>
                <w:sz w:val="17"/>
                <w:szCs w:val="17"/>
              </w:rPr>
              <w:t>2,500</w:t>
            </w:r>
          </w:p>
        </w:tc>
        <w:tc>
          <w:tcPr>
            <w:tcW w:w="1080" w:type="dxa"/>
            <w:tcBorders>
              <w:top w:val="nil"/>
              <w:left w:val="nil"/>
              <w:bottom w:val="single" w:sz="8" w:space="0" w:color="auto"/>
              <w:right w:val="single" w:sz="8" w:space="0" w:color="auto"/>
            </w:tcBorders>
            <w:shd w:val="clear" w:color="auto" w:fill="auto"/>
            <w:noWrap/>
            <w:vAlign w:val="center"/>
          </w:tcPr>
          <w:p w14:paraId="099ED770" w14:textId="3B61559F" w:rsidR="004E7E28" w:rsidRPr="00C05B71" w:rsidDel="004E7E28" w:rsidRDefault="004E7E28" w:rsidP="004E7E28">
            <w:pPr>
              <w:jc w:val="center"/>
              <w:rPr>
                <w:rFonts w:eastAsia="Times New Roman"/>
                <w:b/>
                <w:bCs/>
                <w:color w:val="000000"/>
                <w:sz w:val="17"/>
                <w:szCs w:val="17"/>
              </w:rPr>
            </w:pPr>
            <w:r w:rsidRPr="00C05B71">
              <w:rPr>
                <w:rFonts w:cs="Calibri"/>
                <w:b/>
                <w:bCs/>
                <w:color w:val="000000"/>
                <w:sz w:val="17"/>
                <w:szCs w:val="17"/>
              </w:rPr>
              <w:t>5,400</w:t>
            </w:r>
          </w:p>
        </w:tc>
        <w:tc>
          <w:tcPr>
            <w:tcW w:w="900" w:type="dxa"/>
            <w:tcBorders>
              <w:top w:val="nil"/>
              <w:left w:val="nil"/>
              <w:bottom w:val="single" w:sz="8" w:space="0" w:color="auto"/>
              <w:right w:val="single" w:sz="8" w:space="0" w:color="auto"/>
            </w:tcBorders>
            <w:shd w:val="clear" w:color="auto" w:fill="auto"/>
            <w:vAlign w:val="center"/>
          </w:tcPr>
          <w:p w14:paraId="2DBB9EBC" w14:textId="06DF4B53" w:rsidR="004E7E28" w:rsidRPr="00FC6195" w:rsidRDefault="00824C89">
            <w:pPr>
              <w:jc w:val="center"/>
              <w:rPr>
                <w:rFonts w:eastAsia="Times New Roman"/>
                <w:i/>
                <w:iCs/>
                <w:color w:val="000000"/>
                <w:sz w:val="17"/>
                <w:szCs w:val="17"/>
              </w:rPr>
            </w:pPr>
            <w:r w:rsidRPr="00FC6195">
              <w:rPr>
                <w:rFonts w:cs="Calibri"/>
                <w:i/>
                <w:iCs/>
                <w:sz w:val="17"/>
                <w:szCs w:val="17"/>
              </w:rPr>
              <w:t>2</w:t>
            </w:r>
            <w:r w:rsidR="00C05B71">
              <w:rPr>
                <w:rFonts w:cs="Calibri"/>
                <w:i/>
                <w:iCs/>
                <w:sz w:val="17"/>
                <w:szCs w:val="17"/>
              </w:rPr>
              <w:t>2</w:t>
            </w:r>
          </w:p>
        </w:tc>
      </w:tr>
      <w:tr w:rsidR="00246445" w:rsidRPr="00FC6195" w14:paraId="240B0914" w14:textId="77777777" w:rsidTr="007132EE">
        <w:trPr>
          <w:trHeight w:val="484"/>
        </w:trPr>
        <w:tc>
          <w:tcPr>
            <w:tcW w:w="1181" w:type="dxa"/>
            <w:tcBorders>
              <w:top w:val="nil"/>
              <w:left w:val="single" w:sz="8" w:space="0" w:color="auto"/>
              <w:bottom w:val="nil"/>
              <w:right w:val="nil"/>
            </w:tcBorders>
            <w:shd w:val="clear" w:color="auto" w:fill="auto"/>
            <w:noWrap/>
            <w:vAlign w:val="center"/>
            <w:hideMark/>
          </w:tcPr>
          <w:p w14:paraId="76F8E16F" w14:textId="77777777" w:rsidR="00246445" w:rsidRPr="00FC6195" w:rsidRDefault="00246445">
            <w:pPr>
              <w:rPr>
                <w:rFonts w:eastAsia="Times New Roman"/>
                <w:color w:val="000000"/>
                <w:sz w:val="17"/>
                <w:szCs w:val="17"/>
              </w:rPr>
            </w:pPr>
            <w:r w:rsidRPr="00FC6195">
              <w:rPr>
                <w:rFonts w:eastAsia="Times New Roman"/>
                <w:color w:val="000000"/>
                <w:sz w:val="17"/>
                <w:szCs w:val="17"/>
              </w:rPr>
              <w:t> </w:t>
            </w:r>
          </w:p>
        </w:tc>
        <w:tc>
          <w:tcPr>
            <w:tcW w:w="1149" w:type="dxa"/>
            <w:tcBorders>
              <w:top w:val="nil"/>
              <w:left w:val="single" w:sz="8" w:space="0" w:color="auto"/>
              <w:bottom w:val="nil"/>
              <w:right w:val="single" w:sz="8" w:space="0" w:color="auto"/>
            </w:tcBorders>
            <w:shd w:val="clear" w:color="auto" w:fill="auto"/>
            <w:vAlign w:val="center"/>
            <w:hideMark/>
          </w:tcPr>
          <w:p w14:paraId="44ED5F01" w14:textId="77777777" w:rsidR="00246445" w:rsidRPr="00FC6195" w:rsidRDefault="00246445">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bottom w:val="nil"/>
              <w:right w:val="nil"/>
            </w:tcBorders>
            <w:shd w:val="clear" w:color="auto" w:fill="auto"/>
            <w:noWrap/>
            <w:vAlign w:val="bottom"/>
            <w:hideMark/>
          </w:tcPr>
          <w:p w14:paraId="6162709E" w14:textId="77777777" w:rsidR="00246445" w:rsidRPr="00FC6195" w:rsidRDefault="00246445">
            <w:pPr>
              <w:jc w:val="center"/>
              <w:rPr>
                <w:rFonts w:eastAsia="Times New Roman"/>
                <w:b/>
                <w:bCs/>
                <w:color w:val="000000"/>
                <w:sz w:val="17"/>
                <w:szCs w:val="17"/>
              </w:rPr>
            </w:pPr>
          </w:p>
        </w:tc>
        <w:tc>
          <w:tcPr>
            <w:tcW w:w="990" w:type="dxa"/>
            <w:tcBorders>
              <w:top w:val="nil"/>
              <w:left w:val="single" w:sz="8" w:space="0" w:color="auto"/>
              <w:bottom w:val="nil"/>
              <w:right w:val="single" w:sz="8" w:space="0" w:color="auto"/>
            </w:tcBorders>
            <w:shd w:val="clear" w:color="auto" w:fill="auto"/>
            <w:vAlign w:val="center"/>
            <w:hideMark/>
          </w:tcPr>
          <w:p w14:paraId="188753A3" w14:textId="77777777" w:rsidR="00246445" w:rsidRPr="00FC6195" w:rsidRDefault="00246445">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single" w:sz="8" w:space="0" w:color="auto"/>
              <w:right w:val="single" w:sz="8" w:space="0" w:color="auto"/>
            </w:tcBorders>
            <w:shd w:val="clear" w:color="auto" w:fill="auto"/>
            <w:noWrap/>
            <w:vAlign w:val="center"/>
            <w:hideMark/>
          </w:tcPr>
          <w:p w14:paraId="1AA05FD2" w14:textId="77777777" w:rsidR="00246445" w:rsidRPr="00FC6195" w:rsidRDefault="00246445">
            <w:pPr>
              <w:jc w:val="center"/>
              <w:rPr>
                <w:rFonts w:eastAsia="Times New Roman"/>
                <w:color w:val="000000"/>
                <w:sz w:val="17"/>
                <w:szCs w:val="17"/>
              </w:rPr>
            </w:pPr>
            <w:r w:rsidRPr="00FC6195">
              <w:rPr>
                <w:rFonts w:eastAsia="Times New Roman"/>
                <w:color w:val="000000"/>
                <w:sz w:val="17"/>
                <w:szCs w:val="17"/>
              </w:rPr>
              <w:t>75700</w:t>
            </w:r>
          </w:p>
        </w:tc>
        <w:tc>
          <w:tcPr>
            <w:tcW w:w="2070" w:type="dxa"/>
            <w:tcBorders>
              <w:top w:val="nil"/>
              <w:left w:val="nil"/>
              <w:bottom w:val="single" w:sz="8" w:space="0" w:color="auto"/>
              <w:right w:val="single" w:sz="8" w:space="0" w:color="auto"/>
            </w:tcBorders>
            <w:shd w:val="clear" w:color="auto" w:fill="auto"/>
            <w:noWrap/>
            <w:vAlign w:val="center"/>
            <w:hideMark/>
          </w:tcPr>
          <w:p w14:paraId="1588B955" w14:textId="77777777" w:rsidR="00246445" w:rsidRPr="00FC6195" w:rsidRDefault="00246445">
            <w:pPr>
              <w:rPr>
                <w:rFonts w:eastAsia="Times New Roman"/>
                <w:color w:val="000000"/>
                <w:sz w:val="17"/>
                <w:szCs w:val="17"/>
              </w:rPr>
            </w:pPr>
            <w:r w:rsidRPr="00FC6195">
              <w:rPr>
                <w:rFonts w:eastAsia="Times New Roman"/>
                <w:color w:val="000000"/>
                <w:sz w:val="17"/>
                <w:szCs w:val="17"/>
              </w:rPr>
              <w:t>Training, Workshops and Confer</w:t>
            </w:r>
          </w:p>
        </w:tc>
        <w:tc>
          <w:tcPr>
            <w:tcW w:w="810" w:type="dxa"/>
            <w:tcBorders>
              <w:top w:val="nil"/>
              <w:left w:val="nil"/>
              <w:bottom w:val="single" w:sz="8" w:space="0" w:color="auto"/>
              <w:right w:val="single" w:sz="8" w:space="0" w:color="auto"/>
            </w:tcBorders>
            <w:shd w:val="clear" w:color="auto" w:fill="auto"/>
            <w:noWrap/>
            <w:vAlign w:val="center"/>
            <w:hideMark/>
          </w:tcPr>
          <w:p w14:paraId="393AB4A4" w14:textId="4C771E5D" w:rsidR="00246445" w:rsidRPr="00C05B71" w:rsidRDefault="00246445" w:rsidP="009321C5">
            <w:pPr>
              <w:jc w:val="center"/>
              <w:rPr>
                <w:rFonts w:cs="Calibri"/>
                <w:bCs/>
                <w:color w:val="000000"/>
                <w:sz w:val="17"/>
                <w:szCs w:val="17"/>
              </w:rPr>
            </w:pPr>
            <w:r w:rsidRPr="00C05B71">
              <w:rPr>
                <w:rFonts w:eastAsia="Times New Roman"/>
                <w:color w:val="000000"/>
                <w:sz w:val="17"/>
                <w:szCs w:val="17"/>
              </w:rPr>
              <w:t>5,500</w:t>
            </w:r>
          </w:p>
        </w:tc>
        <w:tc>
          <w:tcPr>
            <w:tcW w:w="1010" w:type="dxa"/>
            <w:tcBorders>
              <w:top w:val="nil"/>
              <w:left w:val="nil"/>
              <w:bottom w:val="single" w:sz="8" w:space="0" w:color="auto"/>
              <w:right w:val="single" w:sz="8" w:space="0" w:color="auto"/>
            </w:tcBorders>
            <w:shd w:val="clear" w:color="auto" w:fill="auto"/>
            <w:noWrap/>
            <w:vAlign w:val="center"/>
            <w:hideMark/>
          </w:tcPr>
          <w:p w14:paraId="1C30CB5A" w14:textId="10D4ABCE" w:rsidR="00246445" w:rsidRPr="00C05B71" w:rsidRDefault="00246445" w:rsidP="009321C5">
            <w:pPr>
              <w:jc w:val="center"/>
              <w:rPr>
                <w:rFonts w:cs="Calibri"/>
                <w:bCs/>
                <w:color w:val="000000"/>
                <w:sz w:val="17"/>
                <w:szCs w:val="17"/>
              </w:rPr>
            </w:pPr>
            <w:r w:rsidRPr="00C05B71">
              <w:rPr>
                <w:rFonts w:eastAsia="Times New Roman"/>
                <w:color w:val="000000"/>
                <w:sz w:val="17"/>
                <w:szCs w:val="17"/>
              </w:rPr>
              <w:t>20,000</w:t>
            </w:r>
          </w:p>
        </w:tc>
        <w:tc>
          <w:tcPr>
            <w:tcW w:w="970" w:type="dxa"/>
            <w:tcBorders>
              <w:top w:val="nil"/>
              <w:left w:val="nil"/>
              <w:bottom w:val="single" w:sz="8" w:space="0" w:color="auto"/>
              <w:right w:val="single" w:sz="8" w:space="0" w:color="auto"/>
            </w:tcBorders>
            <w:shd w:val="clear" w:color="auto" w:fill="auto"/>
            <w:noWrap/>
            <w:vAlign w:val="center"/>
            <w:hideMark/>
          </w:tcPr>
          <w:p w14:paraId="16F5F205" w14:textId="49CFC564" w:rsidR="00246445" w:rsidRPr="00C05B71" w:rsidRDefault="00246445" w:rsidP="009321C5">
            <w:pPr>
              <w:jc w:val="center"/>
              <w:rPr>
                <w:rFonts w:cs="Calibri"/>
                <w:bCs/>
                <w:color w:val="000000"/>
                <w:sz w:val="17"/>
                <w:szCs w:val="17"/>
              </w:rPr>
            </w:pPr>
            <w:r w:rsidRPr="00C05B71">
              <w:rPr>
                <w:rFonts w:eastAsia="Times New Roman"/>
                <w:color w:val="000000"/>
                <w:sz w:val="17"/>
                <w:szCs w:val="17"/>
              </w:rPr>
              <w:t>0</w:t>
            </w:r>
          </w:p>
        </w:tc>
        <w:tc>
          <w:tcPr>
            <w:tcW w:w="1080" w:type="dxa"/>
            <w:tcBorders>
              <w:top w:val="nil"/>
              <w:left w:val="nil"/>
              <w:bottom w:val="single" w:sz="8" w:space="0" w:color="auto"/>
              <w:right w:val="single" w:sz="8" w:space="0" w:color="auto"/>
            </w:tcBorders>
            <w:shd w:val="clear" w:color="auto" w:fill="auto"/>
            <w:noWrap/>
            <w:vAlign w:val="center"/>
            <w:hideMark/>
          </w:tcPr>
          <w:p w14:paraId="745277BD" w14:textId="42D47913" w:rsidR="00246445" w:rsidRPr="00C05B71" w:rsidRDefault="00246445" w:rsidP="009321C5">
            <w:pPr>
              <w:jc w:val="center"/>
              <w:rPr>
                <w:rFonts w:cs="Calibri"/>
                <w:bCs/>
                <w:color w:val="000000"/>
                <w:sz w:val="17"/>
                <w:szCs w:val="17"/>
              </w:rPr>
            </w:pPr>
            <w:r w:rsidRPr="00C05B71">
              <w:rPr>
                <w:rFonts w:eastAsia="Times New Roman"/>
                <w:color w:val="000000"/>
                <w:sz w:val="17"/>
                <w:szCs w:val="17"/>
              </w:rPr>
              <w:t>0</w:t>
            </w:r>
          </w:p>
        </w:tc>
        <w:tc>
          <w:tcPr>
            <w:tcW w:w="1170" w:type="dxa"/>
            <w:tcBorders>
              <w:top w:val="nil"/>
              <w:left w:val="nil"/>
              <w:bottom w:val="single" w:sz="8" w:space="0" w:color="auto"/>
              <w:right w:val="single" w:sz="8" w:space="0" w:color="auto"/>
            </w:tcBorders>
            <w:shd w:val="clear" w:color="auto" w:fill="auto"/>
            <w:vAlign w:val="center"/>
            <w:hideMark/>
          </w:tcPr>
          <w:p w14:paraId="1AC88A45" w14:textId="6C35AF62" w:rsidR="00246445" w:rsidRPr="00C05B71" w:rsidRDefault="00246445" w:rsidP="009321C5">
            <w:pPr>
              <w:jc w:val="center"/>
              <w:rPr>
                <w:rFonts w:cs="Calibri"/>
                <w:bCs/>
                <w:color w:val="000000"/>
                <w:sz w:val="17"/>
                <w:szCs w:val="17"/>
              </w:rPr>
            </w:pPr>
            <w:r w:rsidRPr="00C05B71">
              <w:rPr>
                <w:rFonts w:eastAsia="Times New Roman"/>
                <w:color w:val="000000"/>
                <w:sz w:val="17"/>
                <w:szCs w:val="17"/>
              </w:rPr>
              <w:t>0</w:t>
            </w:r>
          </w:p>
        </w:tc>
        <w:tc>
          <w:tcPr>
            <w:tcW w:w="1080" w:type="dxa"/>
            <w:tcBorders>
              <w:top w:val="nil"/>
              <w:left w:val="nil"/>
              <w:bottom w:val="single" w:sz="8" w:space="0" w:color="auto"/>
              <w:right w:val="single" w:sz="8" w:space="0" w:color="auto"/>
            </w:tcBorders>
            <w:shd w:val="clear" w:color="auto" w:fill="auto"/>
            <w:noWrap/>
            <w:vAlign w:val="center"/>
            <w:hideMark/>
          </w:tcPr>
          <w:p w14:paraId="1A6D2F3E" w14:textId="5847E6FE" w:rsidR="00246445" w:rsidRPr="00C05B71" w:rsidRDefault="00246445" w:rsidP="009321C5">
            <w:pPr>
              <w:jc w:val="center"/>
              <w:rPr>
                <w:rFonts w:cs="Calibri"/>
                <w:b/>
                <w:bCs/>
                <w:color w:val="000000"/>
                <w:sz w:val="17"/>
                <w:szCs w:val="17"/>
              </w:rPr>
            </w:pPr>
            <w:r w:rsidRPr="00C05B71">
              <w:rPr>
                <w:rFonts w:eastAsia="Times New Roman"/>
                <w:b/>
                <w:bCs/>
                <w:color w:val="000000"/>
                <w:sz w:val="17"/>
                <w:szCs w:val="17"/>
              </w:rPr>
              <w:t>25,500</w:t>
            </w:r>
          </w:p>
        </w:tc>
        <w:tc>
          <w:tcPr>
            <w:tcW w:w="900" w:type="dxa"/>
            <w:tcBorders>
              <w:top w:val="nil"/>
              <w:left w:val="nil"/>
              <w:bottom w:val="single" w:sz="8" w:space="0" w:color="auto"/>
              <w:right w:val="single" w:sz="8" w:space="0" w:color="auto"/>
            </w:tcBorders>
            <w:shd w:val="clear" w:color="auto" w:fill="auto"/>
            <w:vAlign w:val="center"/>
            <w:hideMark/>
          </w:tcPr>
          <w:p w14:paraId="69BA1D83" w14:textId="59758274" w:rsidR="00246445" w:rsidRPr="00FC6195" w:rsidRDefault="00246445" w:rsidP="00824C89">
            <w:pPr>
              <w:jc w:val="center"/>
              <w:rPr>
                <w:rFonts w:eastAsia="Times New Roman"/>
                <w:i/>
                <w:iCs/>
                <w:color w:val="000000"/>
                <w:sz w:val="17"/>
                <w:szCs w:val="17"/>
              </w:rPr>
            </w:pPr>
            <w:r w:rsidRPr="00FC6195">
              <w:rPr>
                <w:rFonts w:eastAsia="Times New Roman"/>
                <w:i/>
                <w:iCs/>
                <w:color w:val="000000"/>
                <w:sz w:val="17"/>
                <w:szCs w:val="17"/>
              </w:rPr>
              <w:t>2</w:t>
            </w:r>
            <w:r w:rsidR="00C05B71">
              <w:rPr>
                <w:rFonts w:eastAsia="Times New Roman"/>
                <w:i/>
                <w:iCs/>
                <w:color w:val="000000"/>
                <w:sz w:val="17"/>
                <w:szCs w:val="17"/>
              </w:rPr>
              <w:t>3</w:t>
            </w:r>
          </w:p>
        </w:tc>
      </w:tr>
      <w:tr w:rsidR="00F01AE3" w:rsidRPr="00FC6195" w14:paraId="2BBD24DA" w14:textId="77777777" w:rsidTr="007132EE">
        <w:trPr>
          <w:trHeight w:val="340"/>
        </w:trPr>
        <w:tc>
          <w:tcPr>
            <w:tcW w:w="1181" w:type="dxa"/>
            <w:tcBorders>
              <w:top w:val="nil"/>
              <w:left w:val="single" w:sz="8" w:space="0" w:color="auto"/>
              <w:bottom w:val="nil"/>
              <w:right w:val="nil"/>
            </w:tcBorders>
            <w:shd w:val="clear" w:color="auto" w:fill="auto"/>
            <w:noWrap/>
            <w:vAlign w:val="center"/>
            <w:hideMark/>
          </w:tcPr>
          <w:p w14:paraId="5667F99D" w14:textId="77777777" w:rsidR="004E7E28" w:rsidRPr="00FC6195" w:rsidRDefault="004E7E28">
            <w:pPr>
              <w:rPr>
                <w:rFonts w:eastAsia="Times New Roman"/>
                <w:color w:val="000000"/>
                <w:sz w:val="17"/>
                <w:szCs w:val="17"/>
              </w:rPr>
            </w:pPr>
            <w:r w:rsidRPr="00FC6195">
              <w:rPr>
                <w:rFonts w:eastAsia="Times New Roman"/>
                <w:color w:val="000000"/>
                <w:sz w:val="17"/>
                <w:szCs w:val="17"/>
              </w:rPr>
              <w:t> </w:t>
            </w:r>
          </w:p>
        </w:tc>
        <w:tc>
          <w:tcPr>
            <w:tcW w:w="1149" w:type="dxa"/>
            <w:tcBorders>
              <w:top w:val="nil"/>
              <w:left w:val="single" w:sz="8" w:space="0" w:color="auto"/>
              <w:bottom w:val="nil"/>
              <w:right w:val="single" w:sz="8" w:space="0" w:color="auto"/>
            </w:tcBorders>
            <w:shd w:val="clear" w:color="auto" w:fill="auto"/>
            <w:vAlign w:val="center"/>
            <w:hideMark/>
          </w:tcPr>
          <w:p w14:paraId="6DDFE276"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bottom w:val="nil"/>
              <w:right w:val="single" w:sz="8" w:space="0" w:color="auto"/>
            </w:tcBorders>
            <w:shd w:val="clear" w:color="auto" w:fill="auto"/>
            <w:vAlign w:val="center"/>
            <w:hideMark/>
          </w:tcPr>
          <w:p w14:paraId="40FFAE52"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nil"/>
              <w:right w:val="single" w:sz="8" w:space="0" w:color="auto"/>
            </w:tcBorders>
            <w:shd w:val="clear" w:color="auto" w:fill="auto"/>
            <w:vAlign w:val="center"/>
            <w:hideMark/>
          </w:tcPr>
          <w:p w14:paraId="2BCF5788"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single" w:sz="8" w:space="0" w:color="auto"/>
              <w:right w:val="single" w:sz="8" w:space="0" w:color="auto"/>
            </w:tcBorders>
            <w:shd w:val="clear" w:color="auto" w:fill="auto"/>
            <w:noWrap/>
            <w:vAlign w:val="center"/>
            <w:hideMark/>
          </w:tcPr>
          <w:p w14:paraId="4C5DCAC8"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74500</w:t>
            </w:r>
          </w:p>
        </w:tc>
        <w:tc>
          <w:tcPr>
            <w:tcW w:w="2070" w:type="dxa"/>
            <w:tcBorders>
              <w:top w:val="nil"/>
              <w:left w:val="nil"/>
              <w:bottom w:val="single" w:sz="8" w:space="0" w:color="auto"/>
              <w:right w:val="single" w:sz="8" w:space="0" w:color="auto"/>
            </w:tcBorders>
            <w:shd w:val="clear" w:color="auto" w:fill="auto"/>
            <w:noWrap/>
            <w:vAlign w:val="center"/>
            <w:hideMark/>
          </w:tcPr>
          <w:p w14:paraId="45393458" w14:textId="77777777" w:rsidR="004E7E28" w:rsidRPr="00FC6195" w:rsidRDefault="004E7E28">
            <w:pPr>
              <w:rPr>
                <w:rFonts w:eastAsia="Times New Roman"/>
                <w:color w:val="000000"/>
                <w:sz w:val="17"/>
                <w:szCs w:val="17"/>
              </w:rPr>
            </w:pPr>
            <w:r w:rsidRPr="00FC6195">
              <w:rPr>
                <w:rFonts w:eastAsia="Times New Roman"/>
                <w:color w:val="000000"/>
                <w:sz w:val="17"/>
                <w:szCs w:val="17"/>
              </w:rPr>
              <w:t xml:space="preserve">Miscellaneous </w:t>
            </w:r>
          </w:p>
        </w:tc>
        <w:tc>
          <w:tcPr>
            <w:tcW w:w="810" w:type="dxa"/>
            <w:tcBorders>
              <w:top w:val="nil"/>
              <w:left w:val="nil"/>
              <w:bottom w:val="single" w:sz="8" w:space="0" w:color="auto"/>
              <w:right w:val="single" w:sz="8" w:space="0" w:color="auto"/>
            </w:tcBorders>
            <w:shd w:val="clear" w:color="auto" w:fill="auto"/>
            <w:noWrap/>
            <w:vAlign w:val="center"/>
            <w:hideMark/>
          </w:tcPr>
          <w:p w14:paraId="3E99FE11" w14:textId="0C1A705D" w:rsidR="004E7E28" w:rsidRPr="00C05B71" w:rsidRDefault="004E7E28">
            <w:pPr>
              <w:jc w:val="center"/>
              <w:rPr>
                <w:rFonts w:eastAsia="Times New Roman"/>
                <w:color w:val="000000"/>
                <w:sz w:val="17"/>
                <w:szCs w:val="17"/>
              </w:rPr>
            </w:pPr>
            <w:r w:rsidRPr="00C05B71">
              <w:rPr>
                <w:rFonts w:cs="Calibri"/>
                <w:color w:val="000000"/>
                <w:sz w:val="17"/>
                <w:szCs w:val="17"/>
              </w:rPr>
              <w:t>1,000</w:t>
            </w:r>
          </w:p>
        </w:tc>
        <w:tc>
          <w:tcPr>
            <w:tcW w:w="1010" w:type="dxa"/>
            <w:tcBorders>
              <w:top w:val="nil"/>
              <w:left w:val="nil"/>
              <w:bottom w:val="single" w:sz="8" w:space="0" w:color="auto"/>
              <w:right w:val="single" w:sz="8" w:space="0" w:color="auto"/>
            </w:tcBorders>
            <w:shd w:val="clear" w:color="auto" w:fill="auto"/>
            <w:noWrap/>
            <w:vAlign w:val="center"/>
            <w:hideMark/>
          </w:tcPr>
          <w:p w14:paraId="34B4B3CF" w14:textId="6D55598D" w:rsidR="004E7E28" w:rsidRPr="00C05B71" w:rsidRDefault="004E7E28">
            <w:pPr>
              <w:jc w:val="center"/>
              <w:rPr>
                <w:rFonts w:eastAsia="Times New Roman"/>
                <w:color w:val="000000"/>
                <w:sz w:val="17"/>
                <w:szCs w:val="17"/>
              </w:rPr>
            </w:pPr>
            <w:r w:rsidRPr="00C05B71">
              <w:rPr>
                <w:rFonts w:cs="Calibri"/>
                <w:color w:val="000000"/>
                <w:sz w:val="17"/>
                <w:szCs w:val="17"/>
              </w:rPr>
              <w:t>2,000</w:t>
            </w:r>
          </w:p>
        </w:tc>
        <w:tc>
          <w:tcPr>
            <w:tcW w:w="970" w:type="dxa"/>
            <w:tcBorders>
              <w:top w:val="nil"/>
              <w:left w:val="nil"/>
              <w:bottom w:val="single" w:sz="8" w:space="0" w:color="auto"/>
              <w:right w:val="single" w:sz="8" w:space="0" w:color="auto"/>
            </w:tcBorders>
            <w:shd w:val="clear" w:color="auto" w:fill="auto"/>
            <w:noWrap/>
            <w:vAlign w:val="center"/>
            <w:hideMark/>
          </w:tcPr>
          <w:p w14:paraId="1362D9AE" w14:textId="7E597825" w:rsidR="004E7E28" w:rsidRPr="00C05B71" w:rsidRDefault="004E7E28">
            <w:pPr>
              <w:jc w:val="center"/>
              <w:rPr>
                <w:rFonts w:eastAsia="Times New Roman"/>
                <w:color w:val="000000"/>
                <w:sz w:val="17"/>
                <w:szCs w:val="17"/>
              </w:rPr>
            </w:pPr>
            <w:r w:rsidRPr="00C05B71">
              <w:rPr>
                <w:rFonts w:cs="Calibri"/>
                <w:color w:val="000000"/>
                <w:sz w:val="17"/>
                <w:szCs w:val="17"/>
              </w:rPr>
              <w:t>2,000</w:t>
            </w:r>
          </w:p>
        </w:tc>
        <w:tc>
          <w:tcPr>
            <w:tcW w:w="1080" w:type="dxa"/>
            <w:tcBorders>
              <w:top w:val="nil"/>
              <w:left w:val="nil"/>
              <w:bottom w:val="single" w:sz="8" w:space="0" w:color="auto"/>
              <w:right w:val="single" w:sz="8" w:space="0" w:color="auto"/>
            </w:tcBorders>
            <w:shd w:val="clear" w:color="auto" w:fill="auto"/>
            <w:noWrap/>
            <w:vAlign w:val="center"/>
            <w:hideMark/>
          </w:tcPr>
          <w:p w14:paraId="524594A5" w14:textId="49632272" w:rsidR="004E7E28" w:rsidRPr="00C05B71" w:rsidRDefault="004E7E28">
            <w:pPr>
              <w:jc w:val="center"/>
              <w:rPr>
                <w:rFonts w:eastAsia="Times New Roman"/>
                <w:color w:val="000000"/>
                <w:sz w:val="17"/>
                <w:szCs w:val="17"/>
              </w:rPr>
            </w:pPr>
            <w:r w:rsidRPr="00C05B71">
              <w:rPr>
                <w:rFonts w:cs="Calibri"/>
                <w:color w:val="000000"/>
                <w:sz w:val="17"/>
                <w:szCs w:val="17"/>
              </w:rPr>
              <w:t>2,000</w:t>
            </w:r>
          </w:p>
        </w:tc>
        <w:tc>
          <w:tcPr>
            <w:tcW w:w="1170" w:type="dxa"/>
            <w:tcBorders>
              <w:top w:val="nil"/>
              <w:left w:val="nil"/>
              <w:bottom w:val="single" w:sz="8" w:space="0" w:color="auto"/>
              <w:right w:val="single" w:sz="8" w:space="0" w:color="auto"/>
            </w:tcBorders>
            <w:shd w:val="clear" w:color="auto" w:fill="auto"/>
            <w:vAlign w:val="center"/>
            <w:hideMark/>
          </w:tcPr>
          <w:p w14:paraId="52644CC4" w14:textId="7B2D44C1" w:rsidR="004E7E28" w:rsidRPr="00C05B71" w:rsidRDefault="004E7E28">
            <w:pPr>
              <w:jc w:val="center"/>
              <w:rPr>
                <w:rFonts w:eastAsia="Times New Roman"/>
                <w:color w:val="000000"/>
                <w:sz w:val="17"/>
                <w:szCs w:val="17"/>
              </w:rPr>
            </w:pPr>
            <w:r w:rsidRPr="00C05B71">
              <w:rPr>
                <w:rFonts w:cs="Calibri"/>
                <w:color w:val="000000"/>
                <w:sz w:val="17"/>
                <w:szCs w:val="17"/>
              </w:rPr>
              <w:t>1,600</w:t>
            </w:r>
          </w:p>
        </w:tc>
        <w:tc>
          <w:tcPr>
            <w:tcW w:w="1080" w:type="dxa"/>
            <w:tcBorders>
              <w:top w:val="nil"/>
              <w:left w:val="nil"/>
              <w:bottom w:val="single" w:sz="8" w:space="0" w:color="auto"/>
              <w:right w:val="single" w:sz="8" w:space="0" w:color="auto"/>
            </w:tcBorders>
            <w:shd w:val="clear" w:color="auto" w:fill="auto"/>
            <w:noWrap/>
            <w:vAlign w:val="center"/>
            <w:hideMark/>
          </w:tcPr>
          <w:p w14:paraId="6CE1D856" w14:textId="12B39C0C" w:rsidR="004E7E28" w:rsidRPr="00C05B71" w:rsidRDefault="004E7E28">
            <w:pPr>
              <w:jc w:val="center"/>
              <w:rPr>
                <w:rFonts w:eastAsia="Times New Roman"/>
                <w:b/>
                <w:bCs/>
                <w:color w:val="000000"/>
                <w:sz w:val="17"/>
                <w:szCs w:val="17"/>
              </w:rPr>
            </w:pPr>
            <w:r w:rsidRPr="00C05B71">
              <w:rPr>
                <w:rFonts w:cs="Calibri"/>
                <w:b/>
                <w:bCs/>
                <w:color w:val="000000"/>
                <w:sz w:val="17"/>
                <w:szCs w:val="17"/>
              </w:rPr>
              <w:t>8,600</w:t>
            </w:r>
          </w:p>
        </w:tc>
        <w:tc>
          <w:tcPr>
            <w:tcW w:w="900" w:type="dxa"/>
            <w:tcBorders>
              <w:top w:val="nil"/>
              <w:left w:val="nil"/>
              <w:bottom w:val="single" w:sz="8" w:space="0" w:color="auto"/>
              <w:right w:val="single" w:sz="8" w:space="0" w:color="auto"/>
            </w:tcBorders>
            <w:shd w:val="clear" w:color="auto" w:fill="auto"/>
            <w:vAlign w:val="center"/>
            <w:hideMark/>
          </w:tcPr>
          <w:p w14:paraId="2F3552FB" w14:textId="0F763C9F" w:rsidR="004E7E28" w:rsidRPr="00FC6195" w:rsidRDefault="004E7E28" w:rsidP="00824C89">
            <w:pPr>
              <w:jc w:val="center"/>
              <w:rPr>
                <w:rFonts w:eastAsia="Times New Roman"/>
                <w:i/>
                <w:iCs/>
                <w:color w:val="000000"/>
                <w:sz w:val="17"/>
                <w:szCs w:val="17"/>
              </w:rPr>
            </w:pPr>
            <w:r w:rsidRPr="00FC6195">
              <w:rPr>
                <w:rFonts w:eastAsia="Times New Roman"/>
                <w:i/>
                <w:iCs/>
                <w:color w:val="000000"/>
                <w:sz w:val="17"/>
                <w:szCs w:val="17"/>
              </w:rPr>
              <w:t>2</w:t>
            </w:r>
            <w:r w:rsidR="00C05B71">
              <w:rPr>
                <w:rFonts w:eastAsia="Times New Roman"/>
                <w:i/>
                <w:iCs/>
                <w:color w:val="000000"/>
                <w:sz w:val="17"/>
                <w:szCs w:val="17"/>
              </w:rPr>
              <w:t>4</w:t>
            </w:r>
          </w:p>
        </w:tc>
      </w:tr>
      <w:tr w:rsidR="00F01AE3" w:rsidRPr="00FC6195" w14:paraId="5F316506" w14:textId="77777777" w:rsidTr="007132EE">
        <w:trPr>
          <w:trHeight w:val="720"/>
        </w:trPr>
        <w:tc>
          <w:tcPr>
            <w:tcW w:w="1181" w:type="dxa"/>
            <w:tcBorders>
              <w:top w:val="nil"/>
              <w:left w:val="single" w:sz="8" w:space="0" w:color="auto"/>
              <w:bottom w:val="double" w:sz="4" w:space="0" w:color="auto"/>
              <w:right w:val="nil"/>
            </w:tcBorders>
            <w:shd w:val="clear" w:color="auto" w:fill="auto"/>
            <w:noWrap/>
            <w:vAlign w:val="center"/>
            <w:hideMark/>
          </w:tcPr>
          <w:p w14:paraId="123B857B" w14:textId="77777777" w:rsidR="00824C89" w:rsidRPr="00FC6195" w:rsidRDefault="00824C89">
            <w:pPr>
              <w:rPr>
                <w:rFonts w:eastAsia="Times New Roman"/>
                <w:color w:val="000000"/>
                <w:sz w:val="17"/>
                <w:szCs w:val="17"/>
              </w:rPr>
            </w:pPr>
            <w:r w:rsidRPr="00FC6195">
              <w:rPr>
                <w:rFonts w:eastAsia="Times New Roman"/>
                <w:color w:val="000000"/>
                <w:sz w:val="17"/>
                <w:szCs w:val="17"/>
              </w:rPr>
              <w:t> </w:t>
            </w:r>
          </w:p>
        </w:tc>
        <w:tc>
          <w:tcPr>
            <w:tcW w:w="1149" w:type="dxa"/>
            <w:tcBorders>
              <w:top w:val="nil"/>
              <w:left w:val="single" w:sz="8" w:space="0" w:color="auto"/>
              <w:bottom w:val="double" w:sz="4" w:space="0" w:color="auto"/>
              <w:right w:val="single" w:sz="8" w:space="0" w:color="auto"/>
            </w:tcBorders>
            <w:shd w:val="clear" w:color="auto" w:fill="auto"/>
            <w:vAlign w:val="center"/>
            <w:hideMark/>
          </w:tcPr>
          <w:p w14:paraId="107C81B3" w14:textId="77777777" w:rsidR="00824C89" w:rsidRPr="00FC6195" w:rsidRDefault="00824C89">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bottom w:val="double" w:sz="4" w:space="0" w:color="auto"/>
              <w:right w:val="single" w:sz="8" w:space="0" w:color="auto"/>
            </w:tcBorders>
            <w:shd w:val="clear" w:color="auto" w:fill="auto"/>
            <w:vAlign w:val="center"/>
            <w:hideMark/>
          </w:tcPr>
          <w:p w14:paraId="1388647B" w14:textId="77777777" w:rsidR="00824C89" w:rsidRPr="00FC6195" w:rsidRDefault="00824C89">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double" w:sz="4" w:space="0" w:color="auto"/>
              <w:right w:val="single" w:sz="8" w:space="0" w:color="auto"/>
            </w:tcBorders>
            <w:shd w:val="clear" w:color="auto" w:fill="auto"/>
            <w:vAlign w:val="center"/>
            <w:hideMark/>
          </w:tcPr>
          <w:p w14:paraId="72837BDA" w14:textId="77777777" w:rsidR="00824C89" w:rsidRPr="00FC6195" w:rsidRDefault="00824C89">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double" w:sz="4" w:space="0" w:color="auto"/>
              <w:right w:val="double" w:sz="6" w:space="0" w:color="auto"/>
            </w:tcBorders>
            <w:shd w:val="clear" w:color="auto" w:fill="auto"/>
            <w:noWrap/>
            <w:vAlign w:val="center"/>
            <w:hideMark/>
          </w:tcPr>
          <w:p w14:paraId="39334ABD" w14:textId="77777777" w:rsidR="00824C89" w:rsidRPr="00FC6195" w:rsidRDefault="00824C89">
            <w:pPr>
              <w:jc w:val="center"/>
              <w:rPr>
                <w:rFonts w:eastAsia="Times New Roman"/>
                <w:color w:val="000000"/>
                <w:sz w:val="17"/>
                <w:szCs w:val="17"/>
              </w:rPr>
            </w:pPr>
            <w:r w:rsidRPr="00FC6195">
              <w:rPr>
                <w:rFonts w:eastAsia="Times New Roman"/>
                <w:color w:val="000000"/>
                <w:sz w:val="17"/>
                <w:szCs w:val="17"/>
              </w:rPr>
              <w:t> </w:t>
            </w:r>
          </w:p>
        </w:tc>
        <w:tc>
          <w:tcPr>
            <w:tcW w:w="2070" w:type="dxa"/>
            <w:tcBorders>
              <w:top w:val="nil"/>
              <w:left w:val="nil"/>
              <w:bottom w:val="double" w:sz="6" w:space="0" w:color="auto"/>
              <w:right w:val="single" w:sz="8" w:space="0" w:color="auto"/>
            </w:tcBorders>
            <w:shd w:val="clear" w:color="auto" w:fill="auto"/>
            <w:noWrap/>
            <w:vAlign w:val="center"/>
            <w:hideMark/>
          </w:tcPr>
          <w:p w14:paraId="7FC707E7" w14:textId="77777777" w:rsidR="00824C89" w:rsidRPr="00FC6195" w:rsidRDefault="00824C89">
            <w:pPr>
              <w:rPr>
                <w:rFonts w:eastAsia="Times New Roman"/>
                <w:b/>
                <w:bCs/>
                <w:color w:val="000000"/>
                <w:sz w:val="17"/>
                <w:szCs w:val="17"/>
              </w:rPr>
            </w:pPr>
            <w:r w:rsidRPr="00FC6195">
              <w:rPr>
                <w:rFonts w:eastAsia="Times New Roman"/>
                <w:b/>
                <w:bCs/>
                <w:color w:val="000000"/>
                <w:sz w:val="17"/>
                <w:szCs w:val="17"/>
              </w:rPr>
              <w:t>Total Outcome 3</w:t>
            </w:r>
          </w:p>
        </w:tc>
        <w:tc>
          <w:tcPr>
            <w:tcW w:w="810" w:type="dxa"/>
            <w:tcBorders>
              <w:top w:val="nil"/>
              <w:left w:val="nil"/>
              <w:bottom w:val="double" w:sz="6" w:space="0" w:color="auto"/>
              <w:right w:val="single" w:sz="8" w:space="0" w:color="auto"/>
            </w:tcBorders>
            <w:shd w:val="clear" w:color="auto" w:fill="auto"/>
            <w:noWrap/>
            <w:vAlign w:val="center"/>
            <w:hideMark/>
          </w:tcPr>
          <w:p w14:paraId="1187218E" w14:textId="46006572" w:rsidR="00824C89" w:rsidRPr="00FC6195" w:rsidRDefault="00824C89">
            <w:pPr>
              <w:jc w:val="center"/>
              <w:rPr>
                <w:rFonts w:eastAsia="Times New Roman"/>
                <w:b/>
                <w:bCs/>
                <w:color w:val="000000"/>
                <w:sz w:val="17"/>
                <w:szCs w:val="17"/>
              </w:rPr>
            </w:pPr>
            <w:r w:rsidRPr="00FC6195">
              <w:rPr>
                <w:rFonts w:eastAsia="Times New Roman"/>
                <w:b/>
                <w:bCs/>
                <w:color w:val="000000"/>
                <w:sz w:val="17"/>
                <w:szCs w:val="17"/>
              </w:rPr>
              <w:t>37,900</w:t>
            </w:r>
          </w:p>
        </w:tc>
        <w:tc>
          <w:tcPr>
            <w:tcW w:w="1010" w:type="dxa"/>
            <w:tcBorders>
              <w:top w:val="nil"/>
              <w:left w:val="nil"/>
              <w:bottom w:val="double" w:sz="6" w:space="0" w:color="auto"/>
              <w:right w:val="single" w:sz="8" w:space="0" w:color="auto"/>
            </w:tcBorders>
            <w:shd w:val="clear" w:color="auto" w:fill="auto"/>
            <w:noWrap/>
            <w:vAlign w:val="center"/>
            <w:hideMark/>
          </w:tcPr>
          <w:p w14:paraId="081F0926" w14:textId="18409D69" w:rsidR="00824C89" w:rsidRPr="00FC6195" w:rsidRDefault="00824C89">
            <w:pPr>
              <w:jc w:val="center"/>
              <w:rPr>
                <w:rFonts w:eastAsia="Times New Roman"/>
                <w:b/>
                <w:bCs/>
                <w:color w:val="000000"/>
                <w:sz w:val="17"/>
                <w:szCs w:val="17"/>
              </w:rPr>
            </w:pPr>
            <w:r w:rsidRPr="00FC6195">
              <w:rPr>
                <w:rFonts w:eastAsia="Times New Roman"/>
                <w:b/>
                <w:bCs/>
                <w:color w:val="000000"/>
                <w:sz w:val="17"/>
                <w:szCs w:val="17"/>
              </w:rPr>
              <w:t>197,500</w:t>
            </w:r>
          </w:p>
        </w:tc>
        <w:tc>
          <w:tcPr>
            <w:tcW w:w="970" w:type="dxa"/>
            <w:tcBorders>
              <w:top w:val="nil"/>
              <w:left w:val="nil"/>
              <w:bottom w:val="double" w:sz="6" w:space="0" w:color="auto"/>
              <w:right w:val="single" w:sz="8" w:space="0" w:color="auto"/>
            </w:tcBorders>
            <w:shd w:val="clear" w:color="auto" w:fill="auto"/>
            <w:noWrap/>
            <w:vAlign w:val="center"/>
            <w:hideMark/>
          </w:tcPr>
          <w:p w14:paraId="29AEB200" w14:textId="01E37434" w:rsidR="00824C89" w:rsidRPr="00FC6195" w:rsidRDefault="00824C89">
            <w:pPr>
              <w:jc w:val="center"/>
              <w:rPr>
                <w:rFonts w:eastAsia="Times New Roman"/>
                <w:b/>
                <w:bCs/>
                <w:color w:val="000000"/>
                <w:sz w:val="17"/>
                <w:szCs w:val="17"/>
              </w:rPr>
            </w:pPr>
            <w:r w:rsidRPr="00FC6195">
              <w:rPr>
                <w:rFonts w:eastAsia="Times New Roman"/>
                <w:b/>
                <w:bCs/>
                <w:color w:val="000000"/>
                <w:sz w:val="17"/>
                <w:szCs w:val="17"/>
              </w:rPr>
              <w:t>665,500</w:t>
            </w:r>
          </w:p>
        </w:tc>
        <w:tc>
          <w:tcPr>
            <w:tcW w:w="1080" w:type="dxa"/>
            <w:tcBorders>
              <w:top w:val="nil"/>
              <w:left w:val="nil"/>
              <w:bottom w:val="double" w:sz="6" w:space="0" w:color="auto"/>
              <w:right w:val="single" w:sz="8" w:space="0" w:color="auto"/>
            </w:tcBorders>
            <w:shd w:val="clear" w:color="auto" w:fill="auto"/>
            <w:noWrap/>
            <w:vAlign w:val="center"/>
            <w:hideMark/>
          </w:tcPr>
          <w:p w14:paraId="2DEF7082" w14:textId="0DEDA511" w:rsidR="00824C89" w:rsidRPr="00FC6195" w:rsidRDefault="00824C89">
            <w:pPr>
              <w:jc w:val="center"/>
              <w:rPr>
                <w:rFonts w:eastAsia="Times New Roman"/>
                <w:b/>
                <w:bCs/>
                <w:color w:val="000000"/>
                <w:sz w:val="17"/>
                <w:szCs w:val="17"/>
              </w:rPr>
            </w:pPr>
            <w:r w:rsidRPr="00FC6195">
              <w:rPr>
                <w:rFonts w:eastAsia="Times New Roman"/>
                <w:b/>
                <w:bCs/>
                <w:color w:val="000000"/>
                <w:sz w:val="17"/>
                <w:szCs w:val="17"/>
              </w:rPr>
              <w:t>666,500</w:t>
            </w:r>
          </w:p>
        </w:tc>
        <w:tc>
          <w:tcPr>
            <w:tcW w:w="1170" w:type="dxa"/>
            <w:tcBorders>
              <w:top w:val="nil"/>
              <w:left w:val="nil"/>
              <w:bottom w:val="double" w:sz="6" w:space="0" w:color="auto"/>
              <w:right w:val="single" w:sz="8" w:space="0" w:color="auto"/>
            </w:tcBorders>
            <w:shd w:val="clear" w:color="auto" w:fill="auto"/>
            <w:noWrap/>
            <w:vAlign w:val="center"/>
            <w:hideMark/>
          </w:tcPr>
          <w:p w14:paraId="55BC0224" w14:textId="70E23D2A" w:rsidR="00824C89" w:rsidRPr="00FC6195" w:rsidRDefault="00824C89">
            <w:pPr>
              <w:jc w:val="center"/>
              <w:rPr>
                <w:rFonts w:eastAsia="Times New Roman"/>
                <w:b/>
                <w:bCs/>
                <w:color w:val="000000"/>
                <w:sz w:val="17"/>
                <w:szCs w:val="17"/>
              </w:rPr>
            </w:pPr>
            <w:r w:rsidRPr="00FC6195">
              <w:rPr>
                <w:rFonts w:eastAsia="Times New Roman"/>
                <w:b/>
                <w:bCs/>
                <w:color w:val="000000"/>
                <w:sz w:val="17"/>
                <w:szCs w:val="17"/>
              </w:rPr>
              <w:t>932,600</w:t>
            </w:r>
          </w:p>
        </w:tc>
        <w:tc>
          <w:tcPr>
            <w:tcW w:w="1080" w:type="dxa"/>
            <w:tcBorders>
              <w:top w:val="nil"/>
              <w:left w:val="nil"/>
              <w:bottom w:val="double" w:sz="6" w:space="0" w:color="auto"/>
              <w:right w:val="single" w:sz="8" w:space="0" w:color="auto"/>
            </w:tcBorders>
            <w:shd w:val="clear" w:color="auto" w:fill="auto"/>
            <w:noWrap/>
            <w:vAlign w:val="center"/>
            <w:hideMark/>
          </w:tcPr>
          <w:p w14:paraId="28AB13E5" w14:textId="77777777" w:rsidR="00824C89" w:rsidRPr="00FC6195" w:rsidRDefault="00824C89">
            <w:pPr>
              <w:jc w:val="center"/>
              <w:rPr>
                <w:rFonts w:eastAsia="Times New Roman"/>
                <w:b/>
                <w:bCs/>
                <w:color w:val="000000"/>
                <w:sz w:val="17"/>
                <w:szCs w:val="17"/>
              </w:rPr>
            </w:pPr>
            <w:r w:rsidRPr="00FC6195">
              <w:rPr>
                <w:rFonts w:eastAsia="Times New Roman"/>
                <w:b/>
                <w:bCs/>
                <w:color w:val="000000"/>
                <w:sz w:val="17"/>
                <w:szCs w:val="17"/>
              </w:rPr>
              <w:t>2,500,000</w:t>
            </w:r>
          </w:p>
        </w:tc>
        <w:tc>
          <w:tcPr>
            <w:tcW w:w="900" w:type="dxa"/>
            <w:tcBorders>
              <w:top w:val="nil"/>
              <w:left w:val="nil"/>
              <w:bottom w:val="double" w:sz="6" w:space="0" w:color="auto"/>
              <w:right w:val="single" w:sz="8" w:space="0" w:color="auto"/>
            </w:tcBorders>
            <w:shd w:val="clear" w:color="auto" w:fill="auto"/>
            <w:vAlign w:val="center"/>
            <w:hideMark/>
          </w:tcPr>
          <w:p w14:paraId="4626F27C" w14:textId="77777777" w:rsidR="00824C89" w:rsidRPr="00FC6195" w:rsidRDefault="00824C89">
            <w:pPr>
              <w:jc w:val="center"/>
              <w:rPr>
                <w:rFonts w:eastAsia="Times New Roman"/>
                <w:color w:val="000000"/>
                <w:sz w:val="17"/>
                <w:szCs w:val="17"/>
              </w:rPr>
            </w:pPr>
            <w:r w:rsidRPr="00FC6195">
              <w:rPr>
                <w:rFonts w:eastAsia="Times New Roman"/>
                <w:color w:val="000000"/>
                <w:sz w:val="17"/>
                <w:szCs w:val="17"/>
              </w:rPr>
              <w:t> </w:t>
            </w:r>
          </w:p>
        </w:tc>
      </w:tr>
      <w:tr w:rsidR="00F01AE3" w:rsidRPr="00FC6195" w14:paraId="063564F0" w14:textId="77777777" w:rsidTr="007132EE">
        <w:trPr>
          <w:trHeight w:val="340"/>
        </w:trPr>
        <w:tc>
          <w:tcPr>
            <w:tcW w:w="1181" w:type="dxa"/>
            <w:tcBorders>
              <w:top w:val="double" w:sz="4" w:space="0" w:color="auto"/>
              <w:left w:val="single" w:sz="8" w:space="0" w:color="auto"/>
              <w:bottom w:val="nil"/>
              <w:right w:val="nil"/>
            </w:tcBorders>
            <w:shd w:val="clear" w:color="auto" w:fill="auto"/>
            <w:noWrap/>
            <w:vAlign w:val="bottom"/>
            <w:hideMark/>
          </w:tcPr>
          <w:p w14:paraId="04FD7931" w14:textId="77777777" w:rsidR="004E7E28" w:rsidRPr="00FC6195" w:rsidRDefault="004E7E28">
            <w:pPr>
              <w:jc w:val="center"/>
              <w:rPr>
                <w:rFonts w:eastAsia="Times New Roman"/>
                <w:color w:val="000000"/>
                <w:sz w:val="17"/>
                <w:szCs w:val="17"/>
              </w:rPr>
            </w:pPr>
          </w:p>
        </w:tc>
        <w:tc>
          <w:tcPr>
            <w:tcW w:w="1149" w:type="dxa"/>
            <w:tcBorders>
              <w:top w:val="double" w:sz="4" w:space="0" w:color="auto"/>
              <w:left w:val="single" w:sz="8" w:space="0" w:color="auto"/>
              <w:bottom w:val="nil"/>
              <w:right w:val="single" w:sz="8" w:space="0" w:color="auto"/>
            </w:tcBorders>
            <w:shd w:val="clear" w:color="auto" w:fill="auto"/>
            <w:vAlign w:val="center"/>
            <w:hideMark/>
          </w:tcPr>
          <w:p w14:paraId="0B1EF065"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double" w:sz="4" w:space="0" w:color="auto"/>
              <w:left w:val="nil"/>
              <w:bottom w:val="nil"/>
              <w:right w:val="single" w:sz="8" w:space="0" w:color="auto"/>
            </w:tcBorders>
            <w:shd w:val="clear" w:color="auto" w:fill="auto"/>
            <w:vAlign w:val="center"/>
            <w:hideMark/>
          </w:tcPr>
          <w:p w14:paraId="3CF910E2"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double" w:sz="4" w:space="0" w:color="auto"/>
              <w:left w:val="nil"/>
              <w:bottom w:val="nil"/>
              <w:right w:val="single" w:sz="8" w:space="0" w:color="auto"/>
            </w:tcBorders>
            <w:shd w:val="clear" w:color="auto" w:fill="auto"/>
            <w:vAlign w:val="center"/>
            <w:hideMark/>
          </w:tcPr>
          <w:p w14:paraId="3A097ECD"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double" w:sz="4" w:space="0" w:color="auto"/>
              <w:left w:val="nil"/>
              <w:bottom w:val="single" w:sz="8" w:space="0" w:color="auto"/>
              <w:right w:val="single" w:sz="8" w:space="0" w:color="auto"/>
            </w:tcBorders>
            <w:shd w:val="clear" w:color="auto" w:fill="auto"/>
            <w:noWrap/>
            <w:vAlign w:val="center"/>
            <w:hideMark/>
          </w:tcPr>
          <w:p w14:paraId="19524A01"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71400</w:t>
            </w:r>
          </w:p>
        </w:tc>
        <w:tc>
          <w:tcPr>
            <w:tcW w:w="2070" w:type="dxa"/>
            <w:tcBorders>
              <w:top w:val="nil"/>
              <w:left w:val="nil"/>
              <w:bottom w:val="single" w:sz="8" w:space="0" w:color="auto"/>
              <w:right w:val="single" w:sz="8" w:space="0" w:color="auto"/>
            </w:tcBorders>
            <w:shd w:val="clear" w:color="auto" w:fill="auto"/>
            <w:noWrap/>
            <w:vAlign w:val="center"/>
            <w:hideMark/>
          </w:tcPr>
          <w:p w14:paraId="04EDBF71" w14:textId="77777777" w:rsidR="004E7E28" w:rsidRPr="00FC6195" w:rsidRDefault="004E7E28">
            <w:pPr>
              <w:jc w:val="both"/>
              <w:rPr>
                <w:rFonts w:eastAsia="Times New Roman"/>
                <w:color w:val="000000"/>
                <w:sz w:val="17"/>
                <w:szCs w:val="17"/>
              </w:rPr>
            </w:pPr>
            <w:r w:rsidRPr="00FC6195">
              <w:rPr>
                <w:rFonts w:eastAsia="Times New Roman"/>
                <w:color w:val="000000"/>
                <w:sz w:val="17"/>
                <w:szCs w:val="17"/>
              </w:rPr>
              <w:t xml:space="preserve">Contractual Services – Individ </w:t>
            </w:r>
          </w:p>
        </w:tc>
        <w:tc>
          <w:tcPr>
            <w:tcW w:w="810" w:type="dxa"/>
            <w:tcBorders>
              <w:top w:val="nil"/>
              <w:left w:val="nil"/>
              <w:bottom w:val="single" w:sz="8" w:space="0" w:color="auto"/>
              <w:right w:val="single" w:sz="8" w:space="0" w:color="auto"/>
            </w:tcBorders>
            <w:shd w:val="clear" w:color="auto" w:fill="auto"/>
            <w:noWrap/>
            <w:vAlign w:val="center"/>
            <w:hideMark/>
          </w:tcPr>
          <w:p w14:paraId="2FD5F292" w14:textId="325169BF" w:rsidR="004E7E28" w:rsidRPr="00FC6195" w:rsidRDefault="004E7E28">
            <w:pPr>
              <w:jc w:val="center"/>
              <w:rPr>
                <w:rFonts w:eastAsia="Times New Roman"/>
                <w:color w:val="000000"/>
                <w:sz w:val="17"/>
                <w:szCs w:val="17"/>
              </w:rPr>
            </w:pPr>
            <w:r w:rsidRPr="00FC6195">
              <w:rPr>
                <w:rFonts w:cs="Calibri"/>
                <w:color w:val="000000"/>
                <w:sz w:val="17"/>
                <w:szCs w:val="17"/>
              </w:rPr>
              <w:t>7,000</w:t>
            </w:r>
          </w:p>
        </w:tc>
        <w:tc>
          <w:tcPr>
            <w:tcW w:w="1010" w:type="dxa"/>
            <w:tcBorders>
              <w:top w:val="nil"/>
              <w:left w:val="nil"/>
              <w:bottom w:val="single" w:sz="8" w:space="0" w:color="auto"/>
              <w:right w:val="single" w:sz="8" w:space="0" w:color="auto"/>
            </w:tcBorders>
            <w:shd w:val="clear" w:color="auto" w:fill="auto"/>
            <w:noWrap/>
            <w:vAlign w:val="center"/>
            <w:hideMark/>
          </w:tcPr>
          <w:p w14:paraId="3DC79E6F" w14:textId="78529708" w:rsidR="004E7E28" w:rsidRPr="00FC6195" w:rsidRDefault="004E7E28">
            <w:pPr>
              <w:jc w:val="center"/>
              <w:rPr>
                <w:rFonts w:eastAsia="Times New Roman"/>
                <w:color w:val="000000"/>
                <w:sz w:val="17"/>
                <w:szCs w:val="17"/>
              </w:rPr>
            </w:pPr>
            <w:r w:rsidRPr="00FC6195">
              <w:rPr>
                <w:rFonts w:cs="Calibri"/>
                <w:color w:val="000000"/>
                <w:sz w:val="17"/>
                <w:szCs w:val="17"/>
              </w:rPr>
              <w:t>11,000</w:t>
            </w:r>
          </w:p>
        </w:tc>
        <w:tc>
          <w:tcPr>
            <w:tcW w:w="970" w:type="dxa"/>
            <w:tcBorders>
              <w:top w:val="nil"/>
              <w:left w:val="nil"/>
              <w:bottom w:val="single" w:sz="8" w:space="0" w:color="auto"/>
              <w:right w:val="single" w:sz="8" w:space="0" w:color="auto"/>
            </w:tcBorders>
            <w:shd w:val="clear" w:color="auto" w:fill="auto"/>
            <w:noWrap/>
            <w:vAlign w:val="center"/>
            <w:hideMark/>
          </w:tcPr>
          <w:p w14:paraId="2E15E889" w14:textId="1378F529" w:rsidR="004E7E28" w:rsidRPr="00FC6195" w:rsidRDefault="004E7E28">
            <w:pPr>
              <w:jc w:val="center"/>
              <w:rPr>
                <w:rFonts w:eastAsia="Times New Roman"/>
                <w:color w:val="000000"/>
                <w:sz w:val="17"/>
                <w:szCs w:val="17"/>
              </w:rPr>
            </w:pPr>
            <w:r w:rsidRPr="00FC6195">
              <w:rPr>
                <w:rFonts w:cs="Calibri"/>
                <w:color w:val="000000"/>
                <w:sz w:val="17"/>
                <w:szCs w:val="17"/>
              </w:rPr>
              <w:t>11,000</w:t>
            </w:r>
          </w:p>
        </w:tc>
        <w:tc>
          <w:tcPr>
            <w:tcW w:w="1080" w:type="dxa"/>
            <w:tcBorders>
              <w:top w:val="nil"/>
              <w:left w:val="nil"/>
              <w:bottom w:val="single" w:sz="8" w:space="0" w:color="auto"/>
              <w:right w:val="single" w:sz="8" w:space="0" w:color="auto"/>
            </w:tcBorders>
            <w:shd w:val="clear" w:color="auto" w:fill="auto"/>
            <w:noWrap/>
            <w:vAlign w:val="center"/>
            <w:hideMark/>
          </w:tcPr>
          <w:p w14:paraId="19868BF1" w14:textId="2261E510" w:rsidR="004E7E28" w:rsidRPr="00FC6195" w:rsidRDefault="004E7E28">
            <w:pPr>
              <w:jc w:val="center"/>
              <w:rPr>
                <w:rFonts w:eastAsia="Times New Roman"/>
                <w:color w:val="000000"/>
                <w:sz w:val="17"/>
                <w:szCs w:val="17"/>
              </w:rPr>
            </w:pPr>
            <w:r w:rsidRPr="00FC6195">
              <w:rPr>
                <w:rFonts w:cs="Calibri"/>
                <w:color w:val="000000"/>
                <w:sz w:val="17"/>
                <w:szCs w:val="17"/>
              </w:rPr>
              <w:t>11,000</w:t>
            </w:r>
          </w:p>
        </w:tc>
        <w:tc>
          <w:tcPr>
            <w:tcW w:w="1170" w:type="dxa"/>
            <w:tcBorders>
              <w:top w:val="nil"/>
              <w:left w:val="nil"/>
              <w:bottom w:val="single" w:sz="8" w:space="0" w:color="auto"/>
              <w:right w:val="single" w:sz="8" w:space="0" w:color="auto"/>
            </w:tcBorders>
            <w:shd w:val="clear" w:color="auto" w:fill="auto"/>
            <w:vAlign w:val="center"/>
            <w:hideMark/>
          </w:tcPr>
          <w:p w14:paraId="59B34A8E" w14:textId="209D4F03" w:rsidR="004E7E28" w:rsidRPr="00FC6195" w:rsidRDefault="004E7E28">
            <w:pPr>
              <w:jc w:val="center"/>
              <w:rPr>
                <w:rFonts w:eastAsia="Times New Roman"/>
                <w:color w:val="000000"/>
                <w:sz w:val="17"/>
                <w:szCs w:val="17"/>
              </w:rPr>
            </w:pPr>
            <w:r w:rsidRPr="00FC6195">
              <w:rPr>
                <w:rFonts w:cs="Calibri"/>
                <w:color w:val="000000"/>
                <w:sz w:val="17"/>
                <w:szCs w:val="17"/>
              </w:rPr>
              <w:t>11,000</w:t>
            </w:r>
          </w:p>
        </w:tc>
        <w:tc>
          <w:tcPr>
            <w:tcW w:w="1080" w:type="dxa"/>
            <w:tcBorders>
              <w:top w:val="nil"/>
              <w:left w:val="nil"/>
              <w:bottom w:val="single" w:sz="8" w:space="0" w:color="auto"/>
              <w:right w:val="single" w:sz="8" w:space="0" w:color="auto"/>
            </w:tcBorders>
            <w:shd w:val="clear" w:color="auto" w:fill="auto"/>
            <w:noWrap/>
            <w:vAlign w:val="center"/>
            <w:hideMark/>
          </w:tcPr>
          <w:p w14:paraId="4E4017A8" w14:textId="4DECE268" w:rsidR="004E7E28" w:rsidRPr="00FC6195" w:rsidRDefault="004E7E28">
            <w:pPr>
              <w:jc w:val="center"/>
              <w:rPr>
                <w:rFonts w:eastAsia="Times New Roman"/>
                <w:b/>
                <w:bCs/>
                <w:color w:val="000000"/>
                <w:sz w:val="17"/>
                <w:szCs w:val="17"/>
              </w:rPr>
            </w:pPr>
            <w:r w:rsidRPr="00FC6195">
              <w:rPr>
                <w:rFonts w:cs="Calibri"/>
                <w:b/>
                <w:bCs/>
                <w:color w:val="000000"/>
                <w:sz w:val="17"/>
                <w:szCs w:val="17"/>
              </w:rPr>
              <w:t>51,000</w:t>
            </w:r>
          </w:p>
        </w:tc>
        <w:tc>
          <w:tcPr>
            <w:tcW w:w="900" w:type="dxa"/>
            <w:tcBorders>
              <w:top w:val="nil"/>
              <w:left w:val="nil"/>
              <w:bottom w:val="single" w:sz="8" w:space="0" w:color="auto"/>
              <w:right w:val="single" w:sz="8" w:space="0" w:color="auto"/>
            </w:tcBorders>
            <w:shd w:val="clear" w:color="auto" w:fill="auto"/>
            <w:vAlign w:val="center"/>
            <w:hideMark/>
          </w:tcPr>
          <w:p w14:paraId="0BD85B5B" w14:textId="13B69217" w:rsidR="004E7E28" w:rsidRPr="00FC6195" w:rsidRDefault="007132EE" w:rsidP="007132EE">
            <w:pPr>
              <w:jc w:val="center"/>
              <w:rPr>
                <w:rFonts w:eastAsia="Times New Roman"/>
                <w:i/>
                <w:iCs/>
                <w:color w:val="000000"/>
                <w:sz w:val="17"/>
                <w:szCs w:val="17"/>
              </w:rPr>
            </w:pPr>
            <w:r w:rsidRPr="00FC6195">
              <w:rPr>
                <w:rFonts w:eastAsia="Times New Roman"/>
                <w:i/>
                <w:iCs/>
                <w:color w:val="000000"/>
                <w:sz w:val="17"/>
                <w:szCs w:val="17"/>
              </w:rPr>
              <w:t>2</w:t>
            </w:r>
            <w:r>
              <w:rPr>
                <w:rFonts w:eastAsia="Times New Roman"/>
                <w:i/>
                <w:iCs/>
                <w:color w:val="000000"/>
                <w:sz w:val="17"/>
                <w:szCs w:val="17"/>
              </w:rPr>
              <w:t>5</w:t>
            </w:r>
          </w:p>
        </w:tc>
      </w:tr>
      <w:tr w:rsidR="00F01AE3" w:rsidRPr="00FC6195" w14:paraId="463E7450" w14:textId="77777777" w:rsidTr="007132EE">
        <w:trPr>
          <w:trHeight w:val="340"/>
        </w:trPr>
        <w:tc>
          <w:tcPr>
            <w:tcW w:w="1181" w:type="dxa"/>
            <w:tcBorders>
              <w:top w:val="nil"/>
              <w:left w:val="single" w:sz="8" w:space="0" w:color="auto"/>
              <w:bottom w:val="nil"/>
              <w:right w:val="nil"/>
            </w:tcBorders>
            <w:shd w:val="clear" w:color="auto" w:fill="auto"/>
            <w:noWrap/>
            <w:vAlign w:val="center"/>
            <w:hideMark/>
          </w:tcPr>
          <w:p w14:paraId="496E0B7A" w14:textId="77777777" w:rsidR="004E7E28" w:rsidRPr="00FC6195" w:rsidRDefault="004E7E28">
            <w:pPr>
              <w:rPr>
                <w:rFonts w:eastAsia="Times New Roman"/>
                <w:b/>
                <w:color w:val="000000"/>
                <w:sz w:val="17"/>
                <w:szCs w:val="17"/>
              </w:rPr>
            </w:pPr>
          </w:p>
        </w:tc>
        <w:tc>
          <w:tcPr>
            <w:tcW w:w="1149" w:type="dxa"/>
            <w:tcBorders>
              <w:top w:val="nil"/>
              <w:left w:val="single" w:sz="8" w:space="0" w:color="auto"/>
              <w:bottom w:val="nil"/>
              <w:right w:val="single" w:sz="8" w:space="0" w:color="auto"/>
            </w:tcBorders>
            <w:shd w:val="clear" w:color="auto" w:fill="auto"/>
            <w:vAlign w:val="center"/>
            <w:hideMark/>
          </w:tcPr>
          <w:p w14:paraId="1DBB1B51"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bottom w:val="nil"/>
              <w:right w:val="single" w:sz="8" w:space="0" w:color="auto"/>
            </w:tcBorders>
            <w:shd w:val="clear" w:color="auto" w:fill="auto"/>
            <w:vAlign w:val="center"/>
            <w:hideMark/>
          </w:tcPr>
          <w:p w14:paraId="2E13BDA8"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nil"/>
              <w:right w:val="single" w:sz="8" w:space="0" w:color="auto"/>
            </w:tcBorders>
            <w:shd w:val="clear" w:color="auto" w:fill="auto"/>
            <w:vAlign w:val="center"/>
            <w:hideMark/>
          </w:tcPr>
          <w:p w14:paraId="465F9798"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single" w:sz="8" w:space="0" w:color="auto"/>
              <w:right w:val="single" w:sz="8" w:space="0" w:color="auto"/>
            </w:tcBorders>
            <w:shd w:val="clear" w:color="auto" w:fill="auto"/>
            <w:noWrap/>
            <w:vAlign w:val="center"/>
            <w:hideMark/>
          </w:tcPr>
          <w:p w14:paraId="5C477995"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71600</w:t>
            </w:r>
          </w:p>
        </w:tc>
        <w:tc>
          <w:tcPr>
            <w:tcW w:w="2070" w:type="dxa"/>
            <w:tcBorders>
              <w:top w:val="nil"/>
              <w:left w:val="nil"/>
              <w:bottom w:val="single" w:sz="8" w:space="0" w:color="auto"/>
              <w:right w:val="single" w:sz="8" w:space="0" w:color="auto"/>
            </w:tcBorders>
            <w:shd w:val="clear" w:color="auto" w:fill="auto"/>
            <w:noWrap/>
            <w:vAlign w:val="center"/>
            <w:hideMark/>
          </w:tcPr>
          <w:p w14:paraId="3D104164" w14:textId="77777777" w:rsidR="004E7E28" w:rsidRPr="00FC6195" w:rsidRDefault="004E7E28">
            <w:pPr>
              <w:rPr>
                <w:rFonts w:eastAsia="Times New Roman"/>
                <w:color w:val="000000"/>
                <w:sz w:val="17"/>
                <w:szCs w:val="17"/>
              </w:rPr>
            </w:pPr>
            <w:r w:rsidRPr="00FC6195">
              <w:rPr>
                <w:rFonts w:eastAsia="Times New Roman"/>
                <w:color w:val="000000"/>
                <w:sz w:val="17"/>
                <w:szCs w:val="17"/>
              </w:rPr>
              <w:t>Travel</w:t>
            </w:r>
          </w:p>
        </w:tc>
        <w:tc>
          <w:tcPr>
            <w:tcW w:w="810" w:type="dxa"/>
            <w:tcBorders>
              <w:top w:val="nil"/>
              <w:left w:val="nil"/>
              <w:bottom w:val="single" w:sz="8" w:space="0" w:color="auto"/>
              <w:right w:val="single" w:sz="8" w:space="0" w:color="auto"/>
            </w:tcBorders>
            <w:shd w:val="clear" w:color="auto" w:fill="auto"/>
            <w:noWrap/>
            <w:vAlign w:val="center"/>
            <w:hideMark/>
          </w:tcPr>
          <w:p w14:paraId="33A96143"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3,000</w:t>
            </w:r>
          </w:p>
        </w:tc>
        <w:tc>
          <w:tcPr>
            <w:tcW w:w="1010" w:type="dxa"/>
            <w:tcBorders>
              <w:top w:val="nil"/>
              <w:left w:val="nil"/>
              <w:bottom w:val="single" w:sz="8" w:space="0" w:color="auto"/>
              <w:right w:val="single" w:sz="8" w:space="0" w:color="auto"/>
            </w:tcBorders>
            <w:shd w:val="clear" w:color="auto" w:fill="auto"/>
            <w:noWrap/>
            <w:vAlign w:val="center"/>
            <w:hideMark/>
          </w:tcPr>
          <w:p w14:paraId="04050935"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3,000</w:t>
            </w:r>
          </w:p>
        </w:tc>
        <w:tc>
          <w:tcPr>
            <w:tcW w:w="970" w:type="dxa"/>
            <w:tcBorders>
              <w:top w:val="nil"/>
              <w:left w:val="nil"/>
              <w:bottom w:val="single" w:sz="8" w:space="0" w:color="auto"/>
              <w:right w:val="single" w:sz="8" w:space="0" w:color="auto"/>
            </w:tcBorders>
            <w:shd w:val="clear" w:color="auto" w:fill="auto"/>
            <w:noWrap/>
            <w:vAlign w:val="center"/>
            <w:hideMark/>
          </w:tcPr>
          <w:p w14:paraId="503EDCC4"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3,000</w:t>
            </w:r>
          </w:p>
        </w:tc>
        <w:tc>
          <w:tcPr>
            <w:tcW w:w="1080" w:type="dxa"/>
            <w:tcBorders>
              <w:top w:val="nil"/>
              <w:left w:val="nil"/>
              <w:bottom w:val="single" w:sz="8" w:space="0" w:color="auto"/>
              <w:right w:val="single" w:sz="8" w:space="0" w:color="auto"/>
            </w:tcBorders>
            <w:shd w:val="clear" w:color="auto" w:fill="auto"/>
            <w:noWrap/>
            <w:vAlign w:val="center"/>
            <w:hideMark/>
          </w:tcPr>
          <w:p w14:paraId="16A832FB"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3,000</w:t>
            </w:r>
          </w:p>
        </w:tc>
        <w:tc>
          <w:tcPr>
            <w:tcW w:w="1170" w:type="dxa"/>
            <w:tcBorders>
              <w:top w:val="nil"/>
              <w:left w:val="nil"/>
              <w:bottom w:val="single" w:sz="8" w:space="0" w:color="auto"/>
              <w:right w:val="single" w:sz="8" w:space="0" w:color="auto"/>
            </w:tcBorders>
            <w:shd w:val="clear" w:color="auto" w:fill="auto"/>
            <w:vAlign w:val="center"/>
            <w:hideMark/>
          </w:tcPr>
          <w:p w14:paraId="4DB8909D"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3,000</w:t>
            </w:r>
          </w:p>
        </w:tc>
        <w:tc>
          <w:tcPr>
            <w:tcW w:w="1080" w:type="dxa"/>
            <w:tcBorders>
              <w:top w:val="nil"/>
              <w:left w:val="nil"/>
              <w:bottom w:val="single" w:sz="8" w:space="0" w:color="auto"/>
              <w:right w:val="single" w:sz="8" w:space="0" w:color="auto"/>
            </w:tcBorders>
            <w:shd w:val="clear" w:color="auto" w:fill="auto"/>
            <w:noWrap/>
            <w:vAlign w:val="center"/>
            <w:hideMark/>
          </w:tcPr>
          <w:p w14:paraId="3C90B12D"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15,000</w:t>
            </w:r>
          </w:p>
        </w:tc>
        <w:tc>
          <w:tcPr>
            <w:tcW w:w="900" w:type="dxa"/>
            <w:tcBorders>
              <w:top w:val="nil"/>
              <w:left w:val="nil"/>
              <w:bottom w:val="single" w:sz="8" w:space="0" w:color="auto"/>
              <w:right w:val="single" w:sz="8" w:space="0" w:color="auto"/>
            </w:tcBorders>
            <w:shd w:val="clear" w:color="auto" w:fill="auto"/>
            <w:vAlign w:val="center"/>
            <w:hideMark/>
          </w:tcPr>
          <w:p w14:paraId="15E9D288" w14:textId="5E0F3BD1" w:rsidR="004E7E28" w:rsidRPr="00FC6195" w:rsidRDefault="007132EE" w:rsidP="007132EE">
            <w:pPr>
              <w:jc w:val="center"/>
              <w:rPr>
                <w:rFonts w:eastAsia="Times New Roman"/>
                <w:i/>
                <w:iCs/>
                <w:color w:val="000000"/>
                <w:sz w:val="17"/>
                <w:szCs w:val="17"/>
              </w:rPr>
            </w:pPr>
            <w:r w:rsidRPr="00FC6195">
              <w:rPr>
                <w:rFonts w:eastAsia="Times New Roman"/>
                <w:i/>
                <w:iCs/>
                <w:color w:val="000000"/>
                <w:sz w:val="17"/>
                <w:szCs w:val="17"/>
              </w:rPr>
              <w:t>2</w:t>
            </w:r>
            <w:r>
              <w:rPr>
                <w:rFonts w:eastAsia="Times New Roman"/>
                <w:i/>
                <w:iCs/>
                <w:color w:val="000000"/>
                <w:sz w:val="17"/>
                <w:szCs w:val="17"/>
              </w:rPr>
              <w:t>6</w:t>
            </w:r>
          </w:p>
        </w:tc>
      </w:tr>
      <w:tr w:rsidR="00F01AE3" w:rsidRPr="00FC6195" w14:paraId="3D6140B8" w14:textId="77777777" w:rsidTr="007132EE">
        <w:trPr>
          <w:trHeight w:val="340"/>
        </w:trPr>
        <w:tc>
          <w:tcPr>
            <w:tcW w:w="1181" w:type="dxa"/>
            <w:tcBorders>
              <w:top w:val="nil"/>
              <w:left w:val="single" w:sz="8" w:space="0" w:color="auto"/>
              <w:bottom w:val="nil"/>
              <w:right w:val="nil"/>
            </w:tcBorders>
            <w:shd w:val="clear" w:color="auto" w:fill="auto"/>
            <w:noWrap/>
            <w:vAlign w:val="center"/>
            <w:hideMark/>
          </w:tcPr>
          <w:p w14:paraId="6500F0C9" w14:textId="77777777" w:rsidR="004E7E28" w:rsidRPr="00FC6195" w:rsidRDefault="004E7E28">
            <w:pPr>
              <w:rPr>
                <w:rFonts w:eastAsia="Times New Roman"/>
                <w:color w:val="000000"/>
                <w:sz w:val="17"/>
                <w:szCs w:val="17"/>
              </w:rPr>
            </w:pPr>
            <w:r w:rsidRPr="00FC6195">
              <w:rPr>
                <w:rFonts w:eastAsia="Times New Roman"/>
                <w:color w:val="000000"/>
                <w:sz w:val="17"/>
                <w:szCs w:val="17"/>
              </w:rPr>
              <w:t> </w:t>
            </w:r>
          </w:p>
        </w:tc>
        <w:tc>
          <w:tcPr>
            <w:tcW w:w="1149" w:type="dxa"/>
            <w:tcBorders>
              <w:top w:val="nil"/>
              <w:left w:val="single" w:sz="8" w:space="0" w:color="auto"/>
              <w:bottom w:val="nil"/>
              <w:right w:val="single" w:sz="8" w:space="0" w:color="auto"/>
            </w:tcBorders>
            <w:shd w:val="clear" w:color="auto" w:fill="auto"/>
            <w:vAlign w:val="center"/>
            <w:hideMark/>
          </w:tcPr>
          <w:p w14:paraId="7022330C"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bottom w:val="nil"/>
              <w:right w:val="single" w:sz="8" w:space="0" w:color="auto"/>
            </w:tcBorders>
            <w:shd w:val="clear" w:color="auto" w:fill="auto"/>
            <w:vAlign w:val="center"/>
            <w:hideMark/>
          </w:tcPr>
          <w:p w14:paraId="6B0D4001"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nil"/>
              <w:right w:val="single" w:sz="8" w:space="0" w:color="auto"/>
            </w:tcBorders>
            <w:shd w:val="clear" w:color="auto" w:fill="auto"/>
            <w:vAlign w:val="center"/>
            <w:hideMark/>
          </w:tcPr>
          <w:p w14:paraId="765D4EE3"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single" w:sz="8" w:space="0" w:color="auto"/>
              <w:right w:val="single" w:sz="8" w:space="0" w:color="auto"/>
            </w:tcBorders>
            <w:shd w:val="clear" w:color="auto" w:fill="auto"/>
            <w:noWrap/>
            <w:vAlign w:val="center"/>
            <w:hideMark/>
          </w:tcPr>
          <w:p w14:paraId="74A84349"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72100</w:t>
            </w:r>
          </w:p>
        </w:tc>
        <w:tc>
          <w:tcPr>
            <w:tcW w:w="2070" w:type="dxa"/>
            <w:tcBorders>
              <w:top w:val="nil"/>
              <w:left w:val="nil"/>
              <w:bottom w:val="single" w:sz="8" w:space="0" w:color="auto"/>
              <w:right w:val="single" w:sz="8" w:space="0" w:color="auto"/>
            </w:tcBorders>
            <w:shd w:val="clear" w:color="auto" w:fill="auto"/>
            <w:noWrap/>
            <w:vAlign w:val="center"/>
            <w:hideMark/>
          </w:tcPr>
          <w:p w14:paraId="762A4C37" w14:textId="77777777" w:rsidR="004E7E28" w:rsidRPr="00FC6195" w:rsidRDefault="004E7E28">
            <w:pPr>
              <w:rPr>
                <w:rFonts w:eastAsia="Times New Roman"/>
                <w:color w:val="000000"/>
                <w:sz w:val="17"/>
                <w:szCs w:val="17"/>
              </w:rPr>
            </w:pPr>
            <w:r w:rsidRPr="00FC6195">
              <w:rPr>
                <w:rFonts w:eastAsia="Times New Roman"/>
                <w:color w:val="000000"/>
                <w:sz w:val="17"/>
                <w:szCs w:val="17"/>
              </w:rPr>
              <w:t xml:space="preserve">Contractual Services-Companies </w:t>
            </w:r>
          </w:p>
        </w:tc>
        <w:tc>
          <w:tcPr>
            <w:tcW w:w="810" w:type="dxa"/>
            <w:tcBorders>
              <w:top w:val="nil"/>
              <w:left w:val="nil"/>
              <w:bottom w:val="single" w:sz="8" w:space="0" w:color="auto"/>
              <w:right w:val="single" w:sz="8" w:space="0" w:color="auto"/>
            </w:tcBorders>
            <w:shd w:val="clear" w:color="auto" w:fill="auto"/>
            <w:noWrap/>
            <w:vAlign w:val="center"/>
            <w:hideMark/>
          </w:tcPr>
          <w:p w14:paraId="4FBACE32"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5,000</w:t>
            </w:r>
          </w:p>
        </w:tc>
        <w:tc>
          <w:tcPr>
            <w:tcW w:w="1010" w:type="dxa"/>
            <w:tcBorders>
              <w:top w:val="nil"/>
              <w:left w:val="nil"/>
              <w:bottom w:val="single" w:sz="8" w:space="0" w:color="auto"/>
              <w:right w:val="single" w:sz="8" w:space="0" w:color="auto"/>
            </w:tcBorders>
            <w:shd w:val="clear" w:color="auto" w:fill="auto"/>
            <w:noWrap/>
            <w:vAlign w:val="center"/>
            <w:hideMark/>
          </w:tcPr>
          <w:p w14:paraId="4C852383"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5,000</w:t>
            </w:r>
          </w:p>
        </w:tc>
        <w:tc>
          <w:tcPr>
            <w:tcW w:w="970" w:type="dxa"/>
            <w:tcBorders>
              <w:top w:val="nil"/>
              <w:left w:val="nil"/>
              <w:bottom w:val="single" w:sz="8" w:space="0" w:color="auto"/>
              <w:right w:val="single" w:sz="8" w:space="0" w:color="auto"/>
            </w:tcBorders>
            <w:shd w:val="clear" w:color="auto" w:fill="auto"/>
            <w:noWrap/>
            <w:vAlign w:val="center"/>
            <w:hideMark/>
          </w:tcPr>
          <w:p w14:paraId="2AB04024"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5,000</w:t>
            </w:r>
          </w:p>
        </w:tc>
        <w:tc>
          <w:tcPr>
            <w:tcW w:w="1080" w:type="dxa"/>
            <w:tcBorders>
              <w:top w:val="nil"/>
              <w:left w:val="nil"/>
              <w:bottom w:val="single" w:sz="8" w:space="0" w:color="auto"/>
              <w:right w:val="single" w:sz="8" w:space="0" w:color="auto"/>
            </w:tcBorders>
            <w:shd w:val="clear" w:color="auto" w:fill="auto"/>
            <w:noWrap/>
            <w:vAlign w:val="center"/>
            <w:hideMark/>
          </w:tcPr>
          <w:p w14:paraId="46997FF7"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5,000</w:t>
            </w:r>
          </w:p>
        </w:tc>
        <w:tc>
          <w:tcPr>
            <w:tcW w:w="1170" w:type="dxa"/>
            <w:tcBorders>
              <w:top w:val="nil"/>
              <w:left w:val="nil"/>
              <w:bottom w:val="single" w:sz="8" w:space="0" w:color="auto"/>
              <w:right w:val="single" w:sz="8" w:space="0" w:color="auto"/>
            </w:tcBorders>
            <w:shd w:val="clear" w:color="auto" w:fill="auto"/>
            <w:vAlign w:val="center"/>
            <w:hideMark/>
          </w:tcPr>
          <w:p w14:paraId="09CF0D3C"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5,000</w:t>
            </w:r>
          </w:p>
        </w:tc>
        <w:tc>
          <w:tcPr>
            <w:tcW w:w="1080" w:type="dxa"/>
            <w:tcBorders>
              <w:top w:val="nil"/>
              <w:left w:val="nil"/>
              <w:bottom w:val="single" w:sz="8" w:space="0" w:color="auto"/>
              <w:right w:val="single" w:sz="8" w:space="0" w:color="auto"/>
            </w:tcBorders>
            <w:shd w:val="clear" w:color="auto" w:fill="auto"/>
            <w:noWrap/>
            <w:vAlign w:val="center"/>
            <w:hideMark/>
          </w:tcPr>
          <w:p w14:paraId="673B7CDA"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25,000</w:t>
            </w:r>
          </w:p>
        </w:tc>
        <w:tc>
          <w:tcPr>
            <w:tcW w:w="900" w:type="dxa"/>
            <w:tcBorders>
              <w:top w:val="nil"/>
              <w:left w:val="nil"/>
              <w:bottom w:val="single" w:sz="8" w:space="0" w:color="auto"/>
              <w:right w:val="single" w:sz="8" w:space="0" w:color="auto"/>
            </w:tcBorders>
            <w:shd w:val="clear" w:color="auto" w:fill="auto"/>
            <w:vAlign w:val="center"/>
            <w:hideMark/>
          </w:tcPr>
          <w:p w14:paraId="7031B107" w14:textId="0976BB5D" w:rsidR="004E7E28" w:rsidRPr="00FC6195" w:rsidRDefault="004E7E28">
            <w:pPr>
              <w:jc w:val="center"/>
              <w:rPr>
                <w:rFonts w:eastAsia="Times New Roman"/>
                <w:i/>
                <w:iCs/>
                <w:color w:val="000000"/>
                <w:sz w:val="17"/>
                <w:szCs w:val="17"/>
              </w:rPr>
            </w:pPr>
            <w:r w:rsidRPr="00FC6195">
              <w:rPr>
                <w:rFonts w:eastAsia="Times New Roman"/>
                <w:i/>
                <w:iCs/>
                <w:color w:val="000000"/>
                <w:sz w:val="17"/>
                <w:szCs w:val="17"/>
              </w:rPr>
              <w:t>2</w:t>
            </w:r>
            <w:r w:rsidR="007132EE">
              <w:rPr>
                <w:rFonts w:eastAsia="Times New Roman"/>
                <w:i/>
                <w:iCs/>
                <w:color w:val="000000"/>
                <w:sz w:val="17"/>
                <w:szCs w:val="17"/>
              </w:rPr>
              <w:t>7</w:t>
            </w:r>
          </w:p>
        </w:tc>
      </w:tr>
      <w:tr w:rsidR="00F01AE3" w:rsidRPr="00FC6195" w14:paraId="776C5297" w14:textId="77777777" w:rsidTr="007132EE">
        <w:trPr>
          <w:trHeight w:val="340"/>
        </w:trPr>
        <w:tc>
          <w:tcPr>
            <w:tcW w:w="1181" w:type="dxa"/>
            <w:tcBorders>
              <w:top w:val="nil"/>
              <w:left w:val="single" w:sz="8" w:space="0" w:color="auto"/>
              <w:bottom w:val="nil"/>
              <w:right w:val="nil"/>
            </w:tcBorders>
            <w:shd w:val="clear" w:color="auto" w:fill="auto"/>
            <w:noWrap/>
            <w:vAlign w:val="center"/>
            <w:hideMark/>
          </w:tcPr>
          <w:p w14:paraId="56FCB154" w14:textId="2AFE8A9F" w:rsidR="004E7E28" w:rsidRPr="00FC6195" w:rsidRDefault="004E7E28">
            <w:pPr>
              <w:rPr>
                <w:rFonts w:eastAsia="Times New Roman"/>
                <w:color w:val="000000"/>
                <w:sz w:val="17"/>
                <w:szCs w:val="17"/>
              </w:rPr>
            </w:pPr>
          </w:p>
        </w:tc>
        <w:tc>
          <w:tcPr>
            <w:tcW w:w="1149" w:type="dxa"/>
            <w:tcBorders>
              <w:top w:val="nil"/>
              <w:left w:val="single" w:sz="8" w:space="0" w:color="auto"/>
              <w:bottom w:val="nil"/>
              <w:right w:val="single" w:sz="8" w:space="0" w:color="auto"/>
            </w:tcBorders>
            <w:shd w:val="clear" w:color="auto" w:fill="auto"/>
            <w:vAlign w:val="center"/>
            <w:hideMark/>
          </w:tcPr>
          <w:p w14:paraId="372BBF3B" w14:textId="0218B335" w:rsidR="004E7E28" w:rsidRPr="00FC6195" w:rsidRDefault="004E7E28">
            <w:pPr>
              <w:jc w:val="center"/>
              <w:rPr>
                <w:rFonts w:eastAsia="Times New Roman"/>
                <w:b/>
                <w:bCs/>
                <w:color w:val="000000"/>
                <w:sz w:val="17"/>
                <w:szCs w:val="17"/>
              </w:rPr>
            </w:pPr>
          </w:p>
        </w:tc>
        <w:tc>
          <w:tcPr>
            <w:tcW w:w="810" w:type="dxa"/>
            <w:tcBorders>
              <w:top w:val="nil"/>
              <w:left w:val="nil"/>
              <w:bottom w:val="nil"/>
              <w:right w:val="single" w:sz="8" w:space="0" w:color="auto"/>
            </w:tcBorders>
            <w:shd w:val="clear" w:color="auto" w:fill="auto"/>
            <w:vAlign w:val="center"/>
            <w:hideMark/>
          </w:tcPr>
          <w:p w14:paraId="2453FA80" w14:textId="089FA9A3" w:rsidR="004E7E28" w:rsidRPr="00FC6195" w:rsidRDefault="004E7E28">
            <w:pPr>
              <w:jc w:val="center"/>
              <w:rPr>
                <w:rFonts w:eastAsia="Times New Roman"/>
                <w:b/>
                <w:bCs/>
                <w:color w:val="000000"/>
                <w:sz w:val="17"/>
                <w:szCs w:val="17"/>
              </w:rPr>
            </w:pPr>
          </w:p>
        </w:tc>
        <w:tc>
          <w:tcPr>
            <w:tcW w:w="990" w:type="dxa"/>
            <w:tcBorders>
              <w:top w:val="nil"/>
              <w:left w:val="nil"/>
              <w:bottom w:val="nil"/>
              <w:right w:val="single" w:sz="8" w:space="0" w:color="auto"/>
            </w:tcBorders>
            <w:shd w:val="clear" w:color="auto" w:fill="auto"/>
            <w:vAlign w:val="center"/>
            <w:hideMark/>
          </w:tcPr>
          <w:p w14:paraId="44BDBF97" w14:textId="703B7A3A" w:rsidR="004E7E28" w:rsidRPr="00FC6195" w:rsidRDefault="004E7E28">
            <w:pPr>
              <w:jc w:val="center"/>
              <w:rPr>
                <w:rFonts w:eastAsia="Times New Roman"/>
                <w:b/>
                <w:bCs/>
                <w:color w:val="000000"/>
                <w:sz w:val="17"/>
                <w:szCs w:val="17"/>
              </w:rPr>
            </w:pPr>
          </w:p>
        </w:tc>
        <w:tc>
          <w:tcPr>
            <w:tcW w:w="990" w:type="dxa"/>
            <w:tcBorders>
              <w:top w:val="nil"/>
              <w:left w:val="nil"/>
              <w:bottom w:val="single" w:sz="8" w:space="0" w:color="auto"/>
              <w:right w:val="single" w:sz="8" w:space="0" w:color="auto"/>
            </w:tcBorders>
            <w:shd w:val="clear" w:color="auto" w:fill="auto"/>
            <w:noWrap/>
            <w:vAlign w:val="center"/>
            <w:hideMark/>
          </w:tcPr>
          <w:p w14:paraId="3E6BDB72"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72200</w:t>
            </w:r>
          </w:p>
        </w:tc>
        <w:tc>
          <w:tcPr>
            <w:tcW w:w="2070" w:type="dxa"/>
            <w:tcBorders>
              <w:top w:val="nil"/>
              <w:left w:val="nil"/>
              <w:bottom w:val="single" w:sz="8" w:space="0" w:color="auto"/>
              <w:right w:val="single" w:sz="8" w:space="0" w:color="auto"/>
            </w:tcBorders>
            <w:shd w:val="clear" w:color="auto" w:fill="auto"/>
            <w:noWrap/>
            <w:vAlign w:val="center"/>
            <w:hideMark/>
          </w:tcPr>
          <w:p w14:paraId="4ACE8B37" w14:textId="77777777" w:rsidR="004E7E28" w:rsidRPr="00FC6195" w:rsidRDefault="004E7E28">
            <w:pPr>
              <w:rPr>
                <w:rFonts w:eastAsia="Times New Roman"/>
                <w:color w:val="000000"/>
                <w:sz w:val="17"/>
                <w:szCs w:val="17"/>
              </w:rPr>
            </w:pPr>
            <w:r w:rsidRPr="00FC6195">
              <w:rPr>
                <w:rFonts w:eastAsia="Times New Roman"/>
                <w:color w:val="000000"/>
                <w:sz w:val="17"/>
                <w:szCs w:val="17"/>
              </w:rPr>
              <w:t>Equipment and Furniture</w:t>
            </w:r>
          </w:p>
        </w:tc>
        <w:tc>
          <w:tcPr>
            <w:tcW w:w="810" w:type="dxa"/>
            <w:tcBorders>
              <w:top w:val="nil"/>
              <w:left w:val="nil"/>
              <w:bottom w:val="single" w:sz="8" w:space="0" w:color="auto"/>
              <w:right w:val="single" w:sz="8" w:space="0" w:color="auto"/>
            </w:tcBorders>
            <w:shd w:val="clear" w:color="auto" w:fill="auto"/>
            <w:noWrap/>
            <w:vAlign w:val="center"/>
            <w:hideMark/>
          </w:tcPr>
          <w:p w14:paraId="70BF9EE9" w14:textId="34CCF3C1" w:rsidR="004E7E28" w:rsidRPr="00FC6195" w:rsidRDefault="004E7E28">
            <w:pPr>
              <w:jc w:val="center"/>
              <w:rPr>
                <w:rFonts w:eastAsia="Times New Roman"/>
                <w:color w:val="000000"/>
                <w:sz w:val="17"/>
                <w:szCs w:val="17"/>
              </w:rPr>
            </w:pPr>
            <w:r w:rsidRPr="00FC6195">
              <w:rPr>
                <w:rFonts w:cs="Calibri"/>
                <w:color w:val="000000"/>
                <w:sz w:val="17"/>
                <w:szCs w:val="17"/>
              </w:rPr>
              <w:t>1,500</w:t>
            </w:r>
          </w:p>
        </w:tc>
        <w:tc>
          <w:tcPr>
            <w:tcW w:w="1010" w:type="dxa"/>
            <w:tcBorders>
              <w:top w:val="nil"/>
              <w:left w:val="nil"/>
              <w:bottom w:val="single" w:sz="8" w:space="0" w:color="auto"/>
              <w:right w:val="single" w:sz="8" w:space="0" w:color="auto"/>
            </w:tcBorders>
            <w:shd w:val="clear" w:color="auto" w:fill="auto"/>
            <w:noWrap/>
            <w:vAlign w:val="center"/>
            <w:hideMark/>
          </w:tcPr>
          <w:p w14:paraId="024039FF" w14:textId="35B00503" w:rsidR="004E7E28" w:rsidRPr="00FC6195" w:rsidRDefault="004E7E28">
            <w:pPr>
              <w:jc w:val="center"/>
              <w:rPr>
                <w:rFonts w:eastAsia="Times New Roman"/>
                <w:color w:val="000000"/>
                <w:sz w:val="17"/>
                <w:szCs w:val="17"/>
              </w:rPr>
            </w:pPr>
            <w:r w:rsidRPr="00FC6195">
              <w:rPr>
                <w:rFonts w:cs="Calibri"/>
                <w:color w:val="000000"/>
                <w:sz w:val="17"/>
                <w:szCs w:val="17"/>
              </w:rPr>
              <w:t>0</w:t>
            </w:r>
          </w:p>
        </w:tc>
        <w:tc>
          <w:tcPr>
            <w:tcW w:w="970" w:type="dxa"/>
            <w:tcBorders>
              <w:top w:val="nil"/>
              <w:left w:val="nil"/>
              <w:bottom w:val="single" w:sz="8" w:space="0" w:color="auto"/>
              <w:right w:val="single" w:sz="8" w:space="0" w:color="auto"/>
            </w:tcBorders>
            <w:shd w:val="clear" w:color="auto" w:fill="auto"/>
            <w:noWrap/>
            <w:vAlign w:val="center"/>
            <w:hideMark/>
          </w:tcPr>
          <w:p w14:paraId="74FDAE18" w14:textId="3CBD0C06" w:rsidR="004E7E28" w:rsidRPr="00FC6195" w:rsidRDefault="004E7E28">
            <w:pPr>
              <w:jc w:val="center"/>
              <w:rPr>
                <w:rFonts w:eastAsia="Times New Roman"/>
                <w:color w:val="000000"/>
                <w:sz w:val="17"/>
                <w:szCs w:val="17"/>
              </w:rPr>
            </w:pPr>
            <w:r w:rsidRPr="00FC6195">
              <w:rPr>
                <w:rFonts w:cs="Calibri"/>
                <w:color w:val="000000"/>
                <w:sz w:val="17"/>
                <w:szCs w:val="17"/>
              </w:rPr>
              <w:t>0</w:t>
            </w:r>
          </w:p>
        </w:tc>
        <w:tc>
          <w:tcPr>
            <w:tcW w:w="1080" w:type="dxa"/>
            <w:tcBorders>
              <w:top w:val="nil"/>
              <w:left w:val="nil"/>
              <w:bottom w:val="single" w:sz="8" w:space="0" w:color="auto"/>
              <w:right w:val="single" w:sz="8" w:space="0" w:color="auto"/>
            </w:tcBorders>
            <w:shd w:val="clear" w:color="auto" w:fill="auto"/>
            <w:noWrap/>
            <w:vAlign w:val="center"/>
            <w:hideMark/>
          </w:tcPr>
          <w:p w14:paraId="430CD358" w14:textId="3B83040B" w:rsidR="004E7E28" w:rsidRPr="00FC6195" w:rsidRDefault="004E7E28">
            <w:pPr>
              <w:jc w:val="center"/>
              <w:rPr>
                <w:rFonts w:eastAsia="Times New Roman"/>
                <w:color w:val="000000"/>
                <w:sz w:val="17"/>
                <w:szCs w:val="17"/>
              </w:rPr>
            </w:pPr>
            <w:r w:rsidRPr="00FC6195">
              <w:rPr>
                <w:rFonts w:cs="Calibri"/>
                <w:color w:val="000000"/>
                <w:sz w:val="17"/>
                <w:szCs w:val="17"/>
              </w:rPr>
              <w:t>0</w:t>
            </w:r>
          </w:p>
        </w:tc>
        <w:tc>
          <w:tcPr>
            <w:tcW w:w="1170" w:type="dxa"/>
            <w:tcBorders>
              <w:top w:val="nil"/>
              <w:left w:val="nil"/>
              <w:bottom w:val="single" w:sz="8" w:space="0" w:color="auto"/>
              <w:right w:val="single" w:sz="8" w:space="0" w:color="auto"/>
            </w:tcBorders>
            <w:shd w:val="clear" w:color="auto" w:fill="auto"/>
            <w:vAlign w:val="center"/>
            <w:hideMark/>
          </w:tcPr>
          <w:p w14:paraId="5E14B4DA" w14:textId="2C3EE6E0" w:rsidR="004E7E28" w:rsidRPr="00FC6195" w:rsidRDefault="004E7E28">
            <w:pPr>
              <w:jc w:val="center"/>
              <w:rPr>
                <w:rFonts w:eastAsia="Times New Roman"/>
                <w:color w:val="000000"/>
                <w:sz w:val="17"/>
                <w:szCs w:val="17"/>
              </w:rPr>
            </w:pPr>
            <w:r w:rsidRPr="00FC6195">
              <w:rPr>
                <w:rFonts w:cs="Calibri"/>
                <w:color w:val="000000"/>
                <w:sz w:val="17"/>
                <w:szCs w:val="17"/>
              </w:rPr>
              <w:t>0</w:t>
            </w:r>
          </w:p>
        </w:tc>
        <w:tc>
          <w:tcPr>
            <w:tcW w:w="1080" w:type="dxa"/>
            <w:tcBorders>
              <w:top w:val="nil"/>
              <w:left w:val="nil"/>
              <w:bottom w:val="single" w:sz="8" w:space="0" w:color="auto"/>
              <w:right w:val="single" w:sz="8" w:space="0" w:color="auto"/>
            </w:tcBorders>
            <w:shd w:val="clear" w:color="auto" w:fill="auto"/>
            <w:noWrap/>
            <w:vAlign w:val="center"/>
            <w:hideMark/>
          </w:tcPr>
          <w:p w14:paraId="5B6AFFE3" w14:textId="225B6ED1"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1,500</w:t>
            </w:r>
          </w:p>
        </w:tc>
        <w:tc>
          <w:tcPr>
            <w:tcW w:w="900" w:type="dxa"/>
            <w:tcBorders>
              <w:top w:val="nil"/>
              <w:left w:val="nil"/>
              <w:bottom w:val="single" w:sz="8" w:space="0" w:color="auto"/>
              <w:right w:val="single" w:sz="8" w:space="0" w:color="auto"/>
            </w:tcBorders>
            <w:shd w:val="clear" w:color="auto" w:fill="auto"/>
            <w:vAlign w:val="center"/>
            <w:hideMark/>
          </w:tcPr>
          <w:p w14:paraId="32E78880" w14:textId="28B6FBB4" w:rsidR="004E7E28" w:rsidRPr="00FC6195" w:rsidRDefault="004E7E28">
            <w:pPr>
              <w:jc w:val="center"/>
              <w:rPr>
                <w:rFonts w:eastAsia="Times New Roman"/>
                <w:i/>
                <w:iCs/>
                <w:color w:val="000000"/>
                <w:sz w:val="17"/>
                <w:szCs w:val="17"/>
              </w:rPr>
            </w:pPr>
            <w:r w:rsidRPr="00FC6195">
              <w:rPr>
                <w:rFonts w:eastAsia="Times New Roman"/>
                <w:i/>
                <w:iCs/>
                <w:color w:val="000000"/>
                <w:sz w:val="17"/>
                <w:szCs w:val="17"/>
              </w:rPr>
              <w:t>2</w:t>
            </w:r>
            <w:r w:rsidR="007132EE">
              <w:rPr>
                <w:rFonts w:eastAsia="Times New Roman"/>
                <w:i/>
                <w:iCs/>
                <w:color w:val="000000"/>
                <w:sz w:val="17"/>
                <w:szCs w:val="17"/>
              </w:rPr>
              <w:t>8</w:t>
            </w:r>
          </w:p>
        </w:tc>
      </w:tr>
      <w:tr w:rsidR="00F01AE3" w:rsidRPr="00FC6195" w14:paraId="1A4B0642" w14:textId="77777777" w:rsidTr="007132EE">
        <w:trPr>
          <w:trHeight w:val="500"/>
        </w:trPr>
        <w:tc>
          <w:tcPr>
            <w:tcW w:w="1181" w:type="dxa"/>
            <w:tcBorders>
              <w:top w:val="nil"/>
              <w:left w:val="single" w:sz="8" w:space="0" w:color="auto"/>
              <w:bottom w:val="nil"/>
              <w:right w:val="single" w:sz="8" w:space="0" w:color="auto"/>
            </w:tcBorders>
            <w:shd w:val="clear" w:color="auto" w:fill="auto"/>
            <w:vAlign w:val="center"/>
            <w:hideMark/>
          </w:tcPr>
          <w:p w14:paraId="11A95E9F" w14:textId="77777777" w:rsidR="004E7E28" w:rsidRPr="00FC6195" w:rsidRDefault="004E7E28">
            <w:pPr>
              <w:jc w:val="center"/>
              <w:rPr>
                <w:rFonts w:eastAsia="Times New Roman"/>
                <w:color w:val="000000"/>
                <w:sz w:val="17"/>
                <w:szCs w:val="17"/>
              </w:rPr>
            </w:pPr>
          </w:p>
        </w:tc>
        <w:tc>
          <w:tcPr>
            <w:tcW w:w="1149" w:type="dxa"/>
            <w:tcBorders>
              <w:top w:val="nil"/>
              <w:left w:val="nil"/>
              <w:bottom w:val="nil"/>
              <w:right w:val="single" w:sz="8" w:space="0" w:color="auto"/>
            </w:tcBorders>
            <w:shd w:val="clear" w:color="auto" w:fill="auto"/>
            <w:vAlign w:val="center"/>
            <w:hideMark/>
          </w:tcPr>
          <w:p w14:paraId="299FC5AA"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bottom w:val="nil"/>
              <w:right w:val="single" w:sz="8" w:space="0" w:color="auto"/>
            </w:tcBorders>
            <w:shd w:val="clear" w:color="auto" w:fill="auto"/>
            <w:vAlign w:val="center"/>
          </w:tcPr>
          <w:p w14:paraId="716EE4AB" w14:textId="77777777" w:rsidR="004E7E28" w:rsidRPr="00FC6195" w:rsidRDefault="004E7E28">
            <w:pPr>
              <w:jc w:val="center"/>
              <w:rPr>
                <w:rFonts w:eastAsia="Times New Roman"/>
                <w:b/>
                <w:bCs/>
                <w:color w:val="000000"/>
                <w:sz w:val="17"/>
                <w:szCs w:val="17"/>
              </w:rPr>
            </w:pPr>
          </w:p>
        </w:tc>
        <w:tc>
          <w:tcPr>
            <w:tcW w:w="990" w:type="dxa"/>
            <w:tcBorders>
              <w:top w:val="nil"/>
              <w:left w:val="nil"/>
              <w:bottom w:val="nil"/>
              <w:right w:val="single" w:sz="8" w:space="0" w:color="auto"/>
            </w:tcBorders>
            <w:shd w:val="clear" w:color="auto" w:fill="auto"/>
            <w:vAlign w:val="center"/>
          </w:tcPr>
          <w:p w14:paraId="46477320" w14:textId="77777777" w:rsidR="004E7E28" w:rsidRPr="00FC6195" w:rsidRDefault="004E7E28">
            <w:pPr>
              <w:jc w:val="center"/>
              <w:rPr>
                <w:rFonts w:eastAsia="Times New Roman"/>
                <w:b/>
                <w:bCs/>
                <w:color w:val="000000"/>
                <w:sz w:val="17"/>
                <w:szCs w:val="17"/>
              </w:rPr>
            </w:pPr>
          </w:p>
        </w:tc>
        <w:tc>
          <w:tcPr>
            <w:tcW w:w="990" w:type="dxa"/>
            <w:tcBorders>
              <w:top w:val="nil"/>
              <w:left w:val="nil"/>
              <w:bottom w:val="single" w:sz="8" w:space="0" w:color="auto"/>
              <w:right w:val="single" w:sz="8" w:space="0" w:color="auto"/>
            </w:tcBorders>
            <w:shd w:val="clear" w:color="auto" w:fill="auto"/>
            <w:noWrap/>
            <w:vAlign w:val="center"/>
            <w:hideMark/>
          </w:tcPr>
          <w:p w14:paraId="3E1867F8"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72400</w:t>
            </w:r>
          </w:p>
        </w:tc>
        <w:tc>
          <w:tcPr>
            <w:tcW w:w="2070" w:type="dxa"/>
            <w:tcBorders>
              <w:top w:val="nil"/>
              <w:left w:val="nil"/>
              <w:bottom w:val="single" w:sz="8" w:space="0" w:color="auto"/>
              <w:right w:val="single" w:sz="8" w:space="0" w:color="auto"/>
            </w:tcBorders>
            <w:shd w:val="clear" w:color="auto" w:fill="auto"/>
            <w:noWrap/>
            <w:vAlign w:val="center"/>
            <w:hideMark/>
          </w:tcPr>
          <w:p w14:paraId="49596AA9" w14:textId="77777777" w:rsidR="004E7E28" w:rsidRPr="00FC6195" w:rsidRDefault="004E7E28">
            <w:pPr>
              <w:rPr>
                <w:rFonts w:eastAsia="Times New Roman"/>
                <w:color w:val="000000"/>
                <w:sz w:val="17"/>
                <w:szCs w:val="17"/>
              </w:rPr>
            </w:pPr>
            <w:r w:rsidRPr="00FC6195">
              <w:rPr>
                <w:rFonts w:eastAsia="Times New Roman"/>
                <w:color w:val="000000"/>
                <w:sz w:val="17"/>
                <w:szCs w:val="17"/>
              </w:rPr>
              <w:t xml:space="preserve">Communications </w:t>
            </w:r>
          </w:p>
        </w:tc>
        <w:tc>
          <w:tcPr>
            <w:tcW w:w="810" w:type="dxa"/>
            <w:tcBorders>
              <w:top w:val="nil"/>
              <w:left w:val="nil"/>
              <w:bottom w:val="single" w:sz="8" w:space="0" w:color="auto"/>
              <w:right w:val="single" w:sz="8" w:space="0" w:color="auto"/>
            </w:tcBorders>
            <w:shd w:val="clear" w:color="auto" w:fill="auto"/>
            <w:noWrap/>
            <w:vAlign w:val="center"/>
            <w:hideMark/>
          </w:tcPr>
          <w:p w14:paraId="065DBFDF" w14:textId="0EE2EF93" w:rsidR="004E7E28" w:rsidRPr="00FC6195" w:rsidRDefault="004E7E28">
            <w:pPr>
              <w:jc w:val="center"/>
              <w:rPr>
                <w:rFonts w:eastAsia="Times New Roman"/>
                <w:color w:val="000000"/>
                <w:sz w:val="17"/>
                <w:szCs w:val="17"/>
              </w:rPr>
            </w:pPr>
            <w:r w:rsidRPr="00FC6195">
              <w:rPr>
                <w:rFonts w:cs="Calibri"/>
                <w:color w:val="000000"/>
                <w:sz w:val="17"/>
                <w:szCs w:val="17"/>
              </w:rPr>
              <w:t>500</w:t>
            </w:r>
          </w:p>
        </w:tc>
        <w:tc>
          <w:tcPr>
            <w:tcW w:w="1010" w:type="dxa"/>
            <w:tcBorders>
              <w:top w:val="nil"/>
              <w:left w:val="nil"/>
              <w:bottom w:val="single" w:sz="8" w:space="0" w:color="auto"/>
              <w:right w:val="single" w:sz="8" w:space="0" w:color="auto"/>
            </w:tcBorders>
            <w:shd w:val="clear" w:color="auto" w:fill="auto"/>
            <w:noWrap/>
            <w:vAlign w:val="center"/>
            <w:hideMark/>
          </w:tcPr>
          <w:p w14:paraId="559685C2" w14:textId="330DA34F" w:rsidR="004E7E28" w:rsidRPr="00FC6195" w:rsidRDefault="004E7E28">
            <w:pPr>
              <w:jc w:val="center"/>
              <w:rPr>
                <w:rFonts w:eastAsia="Times New Roman"/>
                <w:color w:val="000000"/>
                <w:sz w:val="17"/>
                <w:szCs w:val="17"/>
              </w:rPr>
            </w:pPr>
            <w:r w:rsidRPr="00FC6195">
              <w:rPr>
                <w:rFonts w:cs="Calibri"/>
                <w:color w:val="000000"/>
                <w:sz w:val="17"/>
                <w:szCs w:val="17"/>
              </w:rPr>
              <w:t>500</w:t>
            </w:r>
          </w:p>
        </w:tc>
        <w:tc>
          <w:tcPr>
            <w:tcW w:w="970" w:type="dxa"/>
            <w:tcBorders>
              <w:top w:val="nil"/>
              <w:left w:val="nil"/>
              <w:bottom w:val="single" w:sz="8" w:space="0" w:color="auto"/>
              <w:right w:val="single" w:sz="8" w:space="0" w:color="auto"/>
            </w:tcBorders>
            <w:shd w:val="clear" w:color="auto" w:fill="auto"/>
            <w:noWrap/>
            <w:vAlign w:val="center"/>
            <w:hideMark/>
          </w:tcPr>
          <w:p w14:paraId="0A9642B7" w14:textId="2D3EDD6D" w:rsidR="004E7E28" w:rsidRPr="00FC6195" w:rsidRDefault="004E7E28">
            <w:pPr>
              <w:jc w:val="center"/>
              <w:rPr>
                <w:rFonts w:eastAsia="Times New Roman"/>
                <w:color w:val="000000"/>
                <w:sz w:val="17"/>
                <w:szCs w:val="17"/>
              </w:rPr>
            </w:pPr>
            <w:r w:rsidRPr="00FC6195">
              <w:rPr>
                <w:rFonts w:cs="Calibri"/>
                <w:color w:val="000000"/>
                <w:sz w:val="17"/>
                <w:szCs w:val="17"/>
              </w:rPr>
              <w:t>500</w:t>
            </w:r>
          </w:p>
        </w:tc>
        <w:tc>
          <w:tcPr>
            <w:tcW w:w="1080" w:type="dxa"/>
            <w:tcBorders>
              <w:top w:val="nil"/>
              <w:left w:val="nil"/>
              <w:bottom w:val="single" w:sz="8" w:space="0" w:color="auto"/>
              <w:right w:val="single" w:sz="8" w:space="0" w:color="auto"/>
            </w:tcBorders>
            <w:shd w:val="clear" w:color="auto" w:fill="auto"/>
            <w:noWrap/>
            <w:vAlign w:val="center"/>
            <w:hideMark/>
          </w:tcPr>
          <w:p w14:paraId="418A14C9" w14:textId="5FC15C43" w:rsidR="004E7E28" w:rsidRPr="00FC6195" w:rsidRDefault="004E7E28">
            <w:pPr>
              <w:jc w:val="center"/>
              <w:rPr>
                <w:rFonts w:eastAsia="Times New Roman"/>
                <w:color w:val="000000"/>
                <w:sz w:val="17"/>
                <w:szCs w:val="17"/>
              </w:rPr>
            </w:pPr>
            <w:r w:rsidRPr="00FC6195">
              <w:rPr>
                <w:rFonts w:cs="Calibri"/>
                <w:color w:val="000000"/>
                <w:sz w:val="17"/>
                <w:szCs w:val="17"/>
              </w:rPr>
              <w:t>500</w:t>
            </w:r>
          </w:p>
        </w:tc>
        <w:tc>
          <w:tcPr>
            <w:tcW w:w="1170" w:type="dxa"/>
            <w:tcBorders>
              <w:top w:val="nil"/>
              <w:left w:val="nil"/>
              <w:bottom w:val="single" w:sz="8" w:space="0" w:color="auto"/>
              <w:right w:val="single" w:sz="8" w:space="0" w:color="auto"/>
            </w:tcBorders>
            <w:shd w:val="clear" w:color="auto" w:fill="auto"/>
            <w:vAlign w:val="center"/>
            <w:hideMark/>
          </w:tcPr>
          <w:p w14:paraId="694C4699" w14:textId="17FD62FD" w:rsidR="004E7E28" w:rsidRPr="00FC6195" w:rsidRDefault="004E7E28">
            <w:pPr>
              <w:jc w:val="center"/>
              <w:rPr>
                <w:rFonts w:eastAsia="Times New Roman"/>
                <w:color w:val="000000"/>
                <w:sz w:val="17"/>
                <w:szCs w:val="17"/>
              </w:rPr>
            </w:pPr>
            <w:r w:rsidRPr="00FC6195">
              <w:rPr>
                <w:rFonts w:cs="Calibri"/>
                <w:color w:val="000000"/>
                <w:sz w:val="17"/>
                <w:szCs w:val="17"/>
              </w:rPr>
              <w:t>500</w:t>
            </w:r>
          </w:p>
        </w:tc>
        <w:tc>
          <w:tcPr>
            <w:tcW w:w="1080" w:type="dxa"/>
            <w:tcBorders>
              <w:top w:val="nil"/>
              <w:left w:val="nil"/>
              <w:bottom w:val="single" w:sz="8" w:space="0" w:color="auto"/>
              <w:right w:val="single" w:sz="8" w:space="0" w:color="auto"/>
            </w:tcBorders>
            <w:shd w:val="clear" w:color="auto" w:fill="auto"/>
            <w:noWrap/>
            <w:vAlign w:val="center"/>
            <w:hideMark/>
          </w:tcPr>
          <w:p w14:paraId="2E3D44C8" w14:textId="6ECB45EB" w:rsidR="004E7E28" w:rsidRPr="00FC6195" w:rsidRDefault="004E7E28">
            <w:pPr>
              <w:jc w:val="center"/>
              <w:rPr>
                <w:rFonts w:eastAsia="Times New Roman"/>
                <w:b/>
                <w:bCs/>
                <w:color w:val="000000"/>
                <w:sz w:val="17"/>
                <w:szCs w:val="17"/>
              </w:rPr>
            </w:pPr>
            <w:r w:rsidRPr="00FC6195">
              <w:rPr>
                <w:rFonts w:cs="Calibri"/>
                <w:b/>
                <w:bCs/>
                <w:color w:val="000000"/>
                <w:sz w:val="17"/>
                <w:szCs w:val="17"/>
              </w:rPr>
              <w:t>2,500</w:t>
            </w:r>
          </w:p>
        </w:tc>
        <w:tc>
          <w:tcPr>
            <w:tcW w:w="900" w:type="dxa"/>
            <w:tcBorders>
              <w:top w:val="nil"/>
              <w:left w:val="nil"/>
              <w:bottom w:val="single" w:sz="8" w:space="0" w:color="auto"/>
              <w:right w:val="single" w:sz="8" w:space="0" w:color="auto"/>
            </w:tcBorders>
            <w:shd w:val="clear" w:color="auto" w:fill="auto"/>
            <w:vAlign w:val="center"/>
            <w:hideMark/>
          </w:tcPr>
          <w:p w14:paraId="7F848764" w14:textId="0746498D" w:rsidR="004E7E28" w:rsidRPr="00FC6195" w:rsidRDefault="004E7E28">
            <w:pPr>
              <w:jc w:val="center"/>
              <w:rPr>
                <w:rFonts w:eastAsia="Times New Roman"/>
                <w:i/>
                <w:iCs/>
                <w:color w:val="000000"/>
                <w:sz w:val="17"/>
                <w:szCs w:val="17"/>
              </w:rPr>
            </w:pPr>
            <w:r w:rsidRPr="00FC6195">
              <w:rPr>
                <w:rFonts w:eastAsia="Times New Roman"/>
                <w:i/>
                <w:iCs/>
                <w:color w:val="000000"/>
                <w:sz w:val="17"/>
                <w:szCs w:val="17"/>
              </w:rPr>
              <w:t>2</w:t>
            </w:r>
            <w:r w:rsidR="007132EE">
              <w:rPr>
                <w:rFonts w:eastAsia="Times New Roman"/>
                <w:i/>
                <w:iCs/>
                <w:color w:val="000000"/>
                <w:sz w:val="17"/>
                <w:szCs w:val="17"/>
              </w:rPr>
              <w:t>9</w:t>
            </w:r>
          </w:p>
        </w:tc>
      </w:tr>
      <w:tr w:rsidR="00F01AE3" w:rsidRPr="00FC6195" w14:paraId="4D5E3E83" w14:textId="77777777" w:rsidTr="007132EE">
        <w:trPr>
          <w:trHeight w:val="340"/>
        </w:trPr>
        <w:tc>
          <w:tcPr>
            <w:tcW w:w="1181" w:type="dxa"/>
            <w:tcBorders>
              <w:top w:val="nil"/>
              <w:left w:val="single" w:sz="8" w:space="0" w:color="auto"/>
              <w:bottom w:val="nil"/>
              <w:right w:val="nil"/>
            </w:tcBorders>
            <w:shd w:val="clear" w:color="auto" w:fill="auto"/>
            <w:noWrap/>
            <w:vAlign w:val="center"/>
            <w:hideMark/>
          </w:tcPr>
          <w:p w14:paraId="4B3BE06D" w14:textId="2E805F65" w:rsidR="004E7E28" w:rsidRPr="00FC6195" w:rsidRDefault="00FC6195">
            <w:pPr>
              <w:rPr>
                <w:rFonts w:eastAsia="Times New Roman"/>
                <w:color w:val="000000"/>
                <w:sz w:val="17"/>
                <w:szCs w:val="17"/>
              </w:rPr>
            </w:pPr>
            <w:r>
              <w:rPr>
                <w:rFonts w:eastAsia="Times New Roman"/>
                <w:b/>
                <w:color w:val="000000"/>
                <w:sz w:val="17"/>
                <w:szCs w:val="17"/>
              </w:rPr>
              <w:t>Project Management</w:t>
            </w:r>
          </w:p>
        </w:tc>
        <w:tc>
          <w:tcPr>
            <w:tcW w:w="1149" w:type="dxa"/>
            <w:tcBorders>
              <w:top w:val="nil"/>
              <w:left w:val="single" w:sz="8" w:space="0" w:color="auto"/>
              <w:bottom w:val="nil"/>
              <w:right w:val="single" w:sz="8" w:space="0" w:color="auto"/>
            </w:tcBorders>
            <w:shd w:val="clear" w:color="auto" w:fill="auto"/>
            <w:vAlign w:val="center"/>
            <w:hideMark/>
          </w:tcPr>
          <w:p w14:paraId="531D9641" w14:textId="0234D94F"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 </w:t>
            </w:r>
            <w:r w:rsidR="00824C89" w:rsidRPr="00FC6195">
              <w:rPr>
                <w:rFonts w:eastAsia="Times New Roman"/>
                <w:b/>
                <w:bCs/>
                <w:color w:val="000000"/>
                <w:sz w:val="17"/>
                <w:szCs w:val="17"/>
              </w:rPr>
              <w:t>UNDP/MoE</w:t>
            </w:r>
          </w:p>
        </w:tc>
        <w:tc>
          <w:tcPr>
            <w:tcW w:w="810" w:type="dxa"/>
            <w:tcBorders>
              <w:top w:val="nil"/>
              <w:left w:val="nil"/>
              <w:bottom w:val="nil"/>
              <w:right w:val="single" w:sz="8" w:space="0" w:color="auto"/>
            </w:tcBorders>
            <w:shd w:val="clear" w:color="auto" w:fill="auto"/>
            <w:vAlign w:val="center"/>
            <w:hideMark/>
          </w:tcPr>
          <w:p w14:paraId="311A2198" w14:textId="19F07DF2" w:rsidR="004E7E28" w:rsidRPr="00FC6195" w:rsidRDefault="00824C89">
            <w:pPr>
              <w:jc w:val="center"/>
              <w:rPr>
                <w:rFonts w:eastAsia="Times New Roman"/>
                <w:b/>
                <w:bCs/>
                <w:color w:val="000000"/>
                <w:sz w:val="17"/>
                <w:szCs w:val="17"/>
              </w:rPr>
            </w:pPr>
            <w:r w:rsidRPr="00FC6195">
              <w:rPr>
                <w:rFonts w:eastAsia="Times New Roman"/>
                <w:b/>
                <w:bCs/>
                <w:color w:val="000000"/>
                <w:sz w:val="17"/>
                <w:szCs w:val="17"/>
              </w:rPr>
              <w:t>62000</w:t>
            </w:r>
            <w:r w:rsidR="004E7E28" w:rsidRPr="00FC6195">
              <w:rPr>
                <w:rFonts w:eastAsia="Times New Roman"/>
                <w:b/>
                <w:bCs/>
                <w:color w:val="000000"/>
                <w:sz w:val="17"/>
                <w:szCs w:val="17"/>
              </w:rPr>
              <w:t> </w:t>
            </w:r>
          </w:p>
        </w:tc>
        <w:tc>
          <w:tcPr>
            <w:tcW w:w="990" w:type="dxa"/>
            <w:tcBorders>
              <w:top w:val="nil"/>
              <w:left w:val="nil"/>
              <w:bottom w:val="nil"/>
              <w:right w:val="single" w:sz="8" w:space="0" w:color="auto"/>
            </w:tcBorders>
            <w:shd w:val="clear" w:color="auto" w:fill="auto"/>
            <w:vAlign w:val="center"/>
            <w:hideMark/>
          </w:tcPr>
          <w:p w14:paraId="52877FDC" w14:textId="69E14584" w:rsidR="004E7E28" w:rsidRPr="00FC6195" w:rsidRDefault="004E7E28">
            <w:pPr>
              <w:jc w:val="both"/>
              <w:rPr>
                <w:rFonts w:eastAsia="Times New Roman"/>
                <w:b/>
                <w:bCs/>
                <w:color w:val="000000"/>
                <w:sz w:val="17"/>
                <w:szCs w:val="17"/>
              </w:rPr>
            </w:pPr>
            <w:r w:rsidRPr="00FC6195">
              <w:rPr>
                <w:rFonts w:eastAsia="Times New Roman"/>
                <w:b/>
                <w:bCs/>
                <w:color w:val="000000"/>
                <w:sz w:val="17"/>
                <w:szCs w:val="17"/>
              </w:rPr>
              <w:t> </w:t>
            </w:r>
            <w:r w:rsidR="00824C89" w:rsidRPr="00FC6195">
              <w:rPr>
                <w:rFonts w:eastAsia="Times New Roman"/>
                <w:b/>
                <w:bCs/>
                <w:color w:val="000000"/>
                <w:sz w:val="17"/>
                <w:szCs w:val="17"/>
              </w:rPr>
              <w:t>GEF</w:t>
            </w:r>
          </w:p>
        </w:tc>
        <w:tc>
          <w:tcPr>
            <w:tcW w:w="990" w:type="dxa"/>
            <w:tcBorders>
              <w:top w:val="nil"/>
              <w:left w:val="nil"/>
              <w:bottom w:val="single" w:sz="8" w:space="0" w:color="auto"/>
              <w:right w:val="single" w:sz="8" w:space="0" w:color="auto"/>
            </w:tcBorders>
            <w:shd w:val="clear" w:color="auto" w:fill="auto"/>
            <w:noWrap/>
            <w:vAlign w:val="center"/>
            <w:hideMark/>
          </w:tcPr>
          <w:p w14:paraId="33410B3E"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72500</w:t>
            </w:r>
          </w:p>
        </w:tc>
        <w:tc>
          <w:tcPr>
            <w:tcW w:w="2070" w:type="dxa"/>
            <w:tcBorders>
              <w:top w:val="nil"/>
              <w:left w:val="nil"/>
              <w:bottom w:val="single" w:sz="8" w:space="0" w:color="auto"/>
              <w:right w:val="single" w:sz="8" w:space="0" w:color="auto"/>
            </w:tcBorders>
            <w:shd w:val="clear" w:color="auto" w:fill="auto"/>
            <w:noWrap/>
            <w:vAlign w:val="center"/>
            <w:hideMark/>
          </w:tcPr>
          <w:p w14:paraId="615907B6" w14:textId="77777777" w:rsidR="004E7E28" w:rsidRPr="00FC6195" w:rsidRDefault="004E7E28">
            <w:pPr>
              <w:rPr>
                <w:rFonts w:eastAsia="Times New Roman"/>
                <w:color w:val="000000"/>
                <w:sz w:val="17"/>
                <w:szCs w:val="17"/>
              </w:rPr>
            </w:pPr>
            <w:r w:rsidRPr="00FC6195">
              <w:rPr>
                <w:rFonts w:eastAsia="Times New Roman"/>
                <w:color w:val="000000"/>
                <w:sz w:val="17"/>
                <w:szCs w:val="17"/>
              </w:rPr>
              <w:t>Supplies</w:t>
            </w:r>
          </w:p>
        </w:tc>
        <w:tc>
          <w:tcPr>
            <w:tcW w:w="810" w:type="dxa"/>
            <w:tcBorders>
              <w:top w:val="nil"/>
              <w:left w:val="nil"/>
              <w:bottom w:val="single" w:sz="8" w:space="0" w:color="auto"/>
              <w:right w:val="single" w:sz="8" w:space="0" w:color="auto"/>
            </w:tcBorders>
            <w:shd w:val="clear" w:color="auto" w:fill="auto"/>
            <w:noWrap/>
            <w:vAlign w:val="center"/>
            <w:hideMark/>
          </w:tcPr>
          <w:p w14:paraId="2F89C82E" w14:textId="0DD86FE0" w:rsidR="004E7E28" w:rsidRPr="00FC6195" w:rsidRDefault="004E7E28">
            <w:pPr>
              <w:jc w:val="center"/>
              <w:rPr>
                <w:rFonts w:eastAsia="Times New Roman"/>
                <w:color w:val="000000"/>
                <w:sz w:val="17"/>
                <w:szCs w:val="17"/>
              </w:rPr>
            </w:pPr>
            <w:r w:rsidRPr="00FC6195">
              <w:rPr>
                <w:rFonts w:cs="Calibri"/>
                <w:color w:val="000000"/>
                <w:sz w:val="17"/>
                <w:szCs w:val="17"/>
              </w:rPr>
              <w:t>500</w:t>
            </w:r>
          </w:p>
        </w:tc>
        <w:tc>
          <w:tcPr>
            <w:tcW w:w="1010" w:type="dxa"/>
            <w:tcBorders>
              <w:top w:val="nil"/>
              <w:left w:val="nil"/>
              <w:bottom w:val="single" w:sz="8" w:space="0" w:color="auto"/>
              <w:right w:val="single" w:sz="8" w:space="0" w:color="auto"/>
            </w:tcBorders>
            <w:shd w:val="clear" w:color="auto" w:fill="auto"/>
            <w:noWrap/>
            <w:vAlign w:val="center"/>
            <w:hideMark/>
          </w:tcPr>
          <w:p w14:paraId="53D1583D" w14:textId="4348911B" w:rsidR="004E7E28" w:rsidRPr="00FC6195" w:rsidRDefault="004E7E28">
            <w:pPr>
              <w:jc w:val="center"/>
              <w:rPr>
                <w:rFonts w:eastAsia="Times New Roman"/>
                <w:color w:val="000000"/>
                <w:sz w:val="17"/>
                <w:szCs w:val="17"/>
              </w:rPr>
            </w:pPr>
            <w:r w:rsidRPr="00FC6195">
              <w:rPr>
                <w:rFonts w:cs="Calibri"/>
                <w:color w:val="000000"/>
                <w:sz w:val="17"/>
                <w:szCs w:val="17"/>
              </w:rPr>
              <w:t>500</w:t>
            </w:r>
          </w:p>
        </w:tc>
        <w:tc>
          <w:tcPr>
            <w:tcW w:w="970" w:type="dxa"/>
            <w:tcBorders>
              <w:top w:val="nil"/>
              <w:left w:val="nil"/>
              <w:bottom w:val="single" w:sz="8" w:space="0" w:color="auto"/>
              <w:right w:val="single" w:sz="8" w:space="0" w:color="auto"/>
            </w:tcBorders>
            <w:shd w:val="clear" w:color="auto" w:fill="auto"/>
            <w:noWrap/>
            <w:vAlign w:val="center"/>
            <w:hideMark/>
          </w:tcPr>
          <w:p w14:paraId="2132F999" w14:textId="51F3A381" w:rsidR="004E7E28" w:rsidRPr="00FC6195" w:rsidRDefault="004E7E28">
            <w:pPr>
              <w:jc w:val="center"/>
              <w:rPr>
                <w:rFonts w:eastAsia="Times New Roman"/>
                <w:color w:val="000000"/>
                <w:sz w:val="17"/>
                <w:szCs w:val="17"/>
              </w:rPr>
            </w:pPr>
            <w:r w:rsidRPr="00FC6195">
              <w:rPr>
                <w:rFonts w:cs="Calibri"/>
                <w:color w:val="000000"/>
                <w:sz w:val="17"/>
                <w:szCs w:val="17"/>
              </w:rPr>
              <w:t>500</w:t>
            </w:r>
          </w:p>
        </w:tc>
        <w:tc>
          <w:tcPr>
            <w:tcW w:w="1080" w:type="dxa"/>
            <w:tcBorders>
              <w:top w:val="nil"/>
              <w:left w:val="nil"/>
              <w:bottom w:val="single" w:sz="8" w:space="0" w:color="auto"/>
              <w:right w:val="single" w:sz="8" w:space="0" w:color="auto"/>
            </w:tcBorders>
            <w:shd w:val="clear" w:color="auto" w:fill="auto"/>
            <w:noWrap/>
            <w:vAlign w:val="center"/>
            <w:hideMark/>
          </w:tcPr>
          <w:p w14:paraId="3B9E2977" w14:textId="0AD47EE2" w:rsidR="004E7E28" w:rsidRPr="00FC6195" w:rsidRDefault="004E7E28">
            <w:pPr>
              <w:jc w:val="center"/>
              <w:rPr>
                <w:rFonts w:eastAsia="Times New Roman"/>
                <w:color w:val="000000"/>
                <w:sz w:val="17"/>
                <w:szCs w:val="17"/>
              </w:rPr>
            </w:pPr>
            <w:r w:rsidRPr="00FC6195">
              <w:rPr>
                <w:rFonts w:cs="Calibri"/>
                <w:color w:val="000000"/>
                <w:sz w:val="17"/>
                <w:szCs w:val="17"/>
              </w:rPr>
              <w:t>500</w:t>
            </w:r>
          </w:p>
        </w:tc>
        <w:tc>
          <w:tcPr>
            <w:tcW w:w="1170" w:type="dxa"/>
            <w:tcBorders>
              <w:top w:val="nil"/>
              <w:left w:val="nil"/>
              <w:bottom w:val="single" w:sz="8" w:space="0" w:color="auto"/>
              <w:right w:val="single" w:sz="8" w:space="0" w:color="auto"/>
            </w:tcBorders>
            <w:shd w:val="clear" w:color="auto" w:fill="auto"/>
            <w:vAlign w:val="center"/>
            <w:hideMark/>
          </w:tcPr>
          <w:p w14:paraId="3DA98DA0" w14:textId="1514509D" w:rsidR="004E7E28" w:rsidRPr="00FC6195" w:rsidRDefault="004E7E28">
            <w:pPr>
              <w:jc w:val="center"/>
              <w:rPr>
                <w:rFonts w:eastAsia="Times New Roman"/>
                <w:color w:val="000000"/>
                <w:sz w:val="17"/>
                <w:szCs w:val="17"/>
              </w:rPr>
            </w:pPr>
            <w:r w:rsidRPr="00FC6195">
              <w:rPr>
                <w:rFonts w:cs="Calibri"/>
                <w:color w:val="000000"/>
                <w:sz w:val="17"/>
                <w:szCs w:val="17"/>
              </w:rPr>
              <w:t>500</w:t>
            </w:r>
          </w:p>
        </w:tc>
        <w:tc>
          <w:tcPr>
            <w:tcW w:w="1080" w:type="dxa"/>
            <w:tcBorders>
              <w:top w:val="nil"/>
              <w:left w:val="nil"/>
              <w:bottom w:val="single" w:sz="8" w:space="0" w:color="auto"/>
              <w:right w:val="single" w:sz="8" w:space="0" w:color="auto"/>
            </w:tcBorders>
            <w:shd w:val="clear" w:color="auto" w:fill="auto"/>
            <w:noWrap/>
            <w:vAlign w:val="center"/>
            <w:hideMark/>
          </w:tcPr>
          <w:p w14:paraId="2CAB1356" w14:textId="47654677" w:rsidR="004E7E28" w:rsidRPr="00FC6195" w:rsidRDefault="004E7E28">
            <w:pPr>
              <w:jc w:val="center"/>
              <w:rPr>
                <w:rFonts w:eastAsia="Times New Roman"/>
                <w:b/>
                <w:bCs/>
                <w:color w:val="000000"/>
                <w:sz w:val="17"/>
                <w:szCs w:val="17"/>
              </w:rPr>
            </w:pPr>
            <w:r w:rsidRPr="00FC6195">
              <w:rPr>
                <w:rFonts w:cs="Calibri"/>
                <w:b/>
                <w:bCs/>
                <w:color w:val="000000"/>
                <w:sz w:val="17"/>
                <w:szCs w:val="17"/>
              </w:rPr>
              <w:t>2,500</w:t>
            </w:r>
          </w:p>
        </w:tc>
        <w:tc>
          <w:tcPr>
            <w:tcW w:w="900" w:type="dxa"/>
            <w:tcBorders>
              <w:top w:val="nil"/>
              <w:left w:val="nil"/>
              <w:bottom w:val="single" w:sz="8" w:space="0" w:color="auto"/>
              <w:right w:val="single" w:sz="8" w:space="0" w:color="auto"/>
            </w:tcBorders>
            <w:shd w:val="clear" w:color="auto" w:fill="auto"/>
            <w:vAlign w:val="center"/>
            <w:hideMark/>
          </w:tcPr>
          <w:p w14:paraId="3A118669" w14:textId="134D1C40" w:rsidR="004E7E28" w:rsidRPr="00FC6195" w:rsidRDefault="007132EE">
            <w:pPr>
              <w:jc w:val="center"/>
              <w:rPr>
                <w:rFonts w:eastAsia="Times New Roman"/>
                <w:i/>
                <w:iCs/>
                <w:color w:val="000000"/>
                <w:sz w:val="17"/>
                <w:szCs w:val="17"/>
              </w:rPr>
            </w:pPr>
            <w:r>
              <w:rPr>
                <w:rFonts w:eastAsia="Times New Roman"/>
                <w:i/>
                <w:iCs/>
                <w:color w:val="000000"/>
                <w:sz w:val="17"/>
                <w:szCs w:val="17"/>
              </w:rPr>
              <w:t>30</w:t>
            </w:r>
          </w:p>
        </w:tc>
      </w:tr>
      <w:tr w:rsidR="00FC6195" w:rsidRPr="00FC6195" w14:paraId="253B7B26" w14:textId="77777777" w:rsidTr="007132EE">
        <w:trPr>
          <w:trHeight w:val="340"/>
        </w:trPr>
        <w:tc>
          <w:tcPr>
            <w:tcW w:w="1181" w:type="dxa"/>
            <w:tcBorders>
              <w:top w:val="nil"/>
              <w:left w:val="single" w:sz="8" w:space="0" w:color="auto"/>
              <w:bottom w:val="nil"/>
              <w:right w:val="nil"/>
            </w:tcBorders>
            <w:shd w:val="clear" w:color="auto" w:fill="auto"/>
            <w:noWrap/>
            <w:vAlign w:val="center"/>
          </w:tcPr>
          <w:p w14:paraId="3A388A74" w14:textId="77777777" w:rsidR="004E7E28" w:rsidRPr="00FC6195" w:rsidDel="004E7E28" w:rsidRDefault="004E7E28" w:rsidP="004E7E28">
            <w:pPr>
              <w:rPr>
                <w:rFonts w:eastAsia="Times New Roman"/>
                <w:b/>
                <w:color w:val="000000"/>
                <w:sz w:val="17"/>
                <w:szCs w:val="17"/>
              </w:rPr>
            </w:pPr>
          </w:p>
        </w:tc>
        <w:tc>
          <w:tcPr>
            <w:tcW w:w="1149" w:type="dxa"/>
            <w:tcBorders>
              <w:top w:val="nil"/>
              <w:left w:val="single" w:sz="8" w:space="0" w:color="auto"/>
              <w:bottom w:val="nil"/>
              <w:right w:val="single" w:sz="8" w:space="0" w:color="auto"/>
            </w:tcBorders>
            <w:shd w:val="clear" w:color="auto" w:fill="auto"/>
            <w:vAlign w:val="center"/>
          </w:tcPr>
          <w:p w14:paraId="26244C39" w14:textId="77777777" w:rsidR="004E7E28" w:rsidRPr="00FC6195" w:rsidRDefault="004E7E28">
            <w:pPr>
              <w:jc w:val="center"/>
              <w:rPr>
                <w:rFonts w:eastAsia="Times New Roman"/>
                <w:b/>
                <w:bCs/>
                <w:color w:val="000000"/>
                <w:sz w:val="17"/>
                <w:szCs w:val="17"/>
              </w:rPr>
            </w:pPr>
          </w:p>
        </w:tc>
        <w:tc>
          <w:tcPr>
            <w:tcW w:w="810" w:type="dxa"/>
            <w:tcBorders>
              <w:top w:val="nil"/>
              <w:left w:val="nil"/>
              <w:bottom w:val="nil"/>
              <w:right w:val="single" w:sz="8" w:space="0" w:color="auto"/>
            </w:tcBorders>
            <w:shd w:val="clear" w:color="auto" w:fill="auto"/>
            <w:vAlign w:val="center"/>
          </w:tcPr>
          <w:p w14:paraId="598CF681" w14:textId="77777777" w:rsidR="004E7E28" w:rsidRPr="00FC6195" w:rsidRDefault="004E7E28">
            <w:pPr>
              <w:jc w:val="center"/>
              <w:rPr>
                <w:rFonts w:eastAsia="Times New Roman"/>
                <w:b/>
                <w:bCs/>
                <w:color w:val="000000"/>
                <w:sz w:val="17"/>
                <w:szCs w:val="17"/>
              </w:rPr>
            </w:pPr>
          </w:p>
        </w:tc>
        <w:tc>
          <w:tcPr>
            <w:tcW w:w="990" w:type="dxa"/>
            <w:tcBorders>
              <w:top w:val="nil"/>
              <w:left w:val="nil"/>
              <w:bottom w:val="nil"/>
              <w:right w:val="single" w:sz="8" w:space="0" w:color="auto"/>
            </w:tcBorders>
            <w:shd w:val="clear" w:color="auto" w:fill="auto"/>
            <w:vAlign w:val="center"/>
          </w:tcPr>
          <w:p w14:paraId="0FD99DDD" w14:textId="77777777" w:rsidR="004E7E28" w:rsidRPr="00FC6195" w:rsidRDefault="004E7E28">
            <w:pPr>
              <w:jc w:val="both"/>
              <w:rPr>
                <w:rFonts w:eastAsia="Times New Roman"/>
                <w:b/>
                <w:bCs/>
                <w:color w:val="000000"/>
                <w:sz w:val="17"/>
                <w:szCs w:val="17"/>
              </w:rPr>
            </w:pPr>
          </w:p>
        </w:tc>
        <w:tc>
          <w:tcPr>
            <w:tcW w:w="990" w:type="dxa"/>
            <w:tcBorders>
              <w:top w:val="nil"/>
              <w:left w:val="nil"/>
              <w:bottom w:val="single" w:sz="8" w:space="0" w:color="auto"/>
              <w:right w:val="single" w:sz="8" w:space="0" w:color="auto"/>
            </w:tcBorders>
            <w:shd w:val="clear" w:color="auto" w:fill="auto"/>
            <w:noWrap/>
            <w:vAlign w:val="center"/>
          </w:tcPr>
          <w:p w14:paraId="2A89E973" w14:textId="112B9A8E" w:rsidR="004E7E28" w:rsidRPr="00FC6195" w:rsidRDefault="004E7E28">
            <w:pPr>
              <w:jc w:val="center"/>
              <w:rPr>
                <w:rFonts w:eastAsia="Times New Roman"/>
                <w:color w:val="000000"/>
                <w:sz w:val="17"/>
                <w:szCs w:val="17"/>
              </w:rPr>
            </w:pPr>
            <w:r w:rsidRPr="00FC6195">
              <w:rPr>
                <w:rFonts w:cs="Calibri"/>
                <w:color w:val="000000"/>
                <w:sz w:val="17"/>
                <w:szCs w:val="17"/>
              </w:rPr>
              <w:t>73100</w:t>
            </w:r>
          </w:p>
        </w:tc>
        <w:tc>
          <w:tcPr>
            <w:tcW w:w="2070" w:type="dxa"/>
            <w:tcBorders>
              <w:top w:val="nil"/>
              <w:left w:val="nil"/>
              <w:bottom w:val="single" w:sz="8" w:space="0" w:color="auto"/>
              <w:right w:val="single" w:sz="8" w:space="0" w:color="auto"/>
            </w:tcBorders>
            <w:shd w:val="clear" w:color="auto" w:fill="auto"/>
            <w:noWrap/>
            <w:vAlign w:val="center"/>
          </w:tcPr>
          <w:p w14:paraId="07CDA32B" w14:textId="50D50018" w:rsidR="004E7E28" w:rsidRPr="00FC6195" w:rsidRDefault="004E7E28">
            <w:pPr>
              <w:rPr>
                <w:rFonts w:eastAsia="Times New Roman"/>
                <w:color w:val="000000"/>
                <w:sz w:val="17"/>
                <w:szCs w:val="17"/>
              </w:rPr>
            </w:pPr>
            <w:r w:rsidRPr="00FC6195">
              <w:rPr>
                <w:rFonts w:cs="Calibri"/>
                <w:color w:val="000000"/>
                <w:sz w:val="17"/>
                <w:szCs w:val="17"/>
              </w:rPr>
              <w:t xml:space="preserve">Rental &amp;Maintenance-Premises </w:t>
            </w:r>
          </w:p>
        </w:tc>
        <w:tc>
          <w:tcPr>
            <w:tcW w:w="810" w:type="dxa"/>
            <w:tcBorders>
              <w:top w:val="nil"/>
              <w:left w:val="nil"/>
              <w:bottom w:val="single" w:sz="8" w:space="0" w:color="auto"/>
              <w:right w:val="single" w:sz="8" w:space="0" w:color="auto"/>
            </w:tcBorders>
            <w:shd w:val="clear" w:color="auto" w:fill="auto"/>
            <w:noWrap/>
            <w:vAlign w:val="center"/>
          </w:tcPr>
          <w:p w14:paraId="76F9598C" w14:textId="16716FA3" w:rsidR="004E7E28" w:rsidRPr="00FC6195" w:rsidRDefault="004E7E28">
            <w:pPr>
              <w:jc w:val="center"/>
              <w:rPr>
                <w:rFonts w:eastAsia="Times New Roman"/>
                <w:color w:val="000000"/>
                <w:sz w:val="17"/>
                <w:szCs w:val="17"/>
              </w:rPr>
            </w:pPr>
            <w:r w:rsidRPr="00FC6195">
              <w:rPr>
                <w:rFonts w:cs="Calibri"/>
                <w:color w:val="000000"/>
                <w:sz w:val="17"/>
                <w:szCs w:val="17"/>
              </w:rPr>
              <w:t>9,000</w:t>
            </w:r>
          </w:p>
        </w:tc>
        <w:tc>
          <w:tcPr>
            <w:tcW w:w="1010" w:type="dxa"/>
            <w:tcBorders>
              <w:top w:val="nil"/>
              <w:left w:val="nil"/>
              <w:bottom w:val="single" w:sz="8" w:space="0" w:color="auto"/>
              <w:right w:val="single" w:sz="8" w:space="0" w:color="auto"/>
            </w:tcBorders>
            <w:shd w:val="clear" w:color="auto" w:fill="auto"/>
            <w:noWrap/>
            <w:vAlign w:val="center"/>
          </w:tcPr>
          <w:p w14:paraId="56ED4126" w14:textId="18D48EAB" w:rsidR="004E7E28" w:rsidRPr="00FC6195" w:rsidRDefault="004E7E28">
            <w:pPr>
              <w:jc w:val="center"/>
              <w:rPr>
                <w:rFonts w:eastAsia="Times New Roman"/>
                <w:color w:val="000000"/>
                <w:sz w:val="17"/>
                <w:szCs w:val="17"/>
              </w:rPr>
            </w:pPr>
            <w:r w:rsidRPr="00FC6195">
              <w:rPr>
                <w:rFonts w:cs="Calibri"/>
                <w:color w:val="000000"/>
                <w:sz w:val="17"/>
                <w:szCs w:val="17"/>
              </w:rPr>
              <w:t>12,000</w:t>
            </w:r>
          </w:p>
        </w:tc>
        <w:tc>
          <w:tcPr>
            <w:tcW w:w="970" w:type="dxa"/>
            <w:tcBorders>
              <w:top w:val="nil"/>
              <w:left w:val="nil"/>
              <w:bottom w:val="single" w:sz="8" w:space="0" w:color="auto"/>
              <w:right w:val="single" w:sz="8" w:space="0" w:color="auto"/>
            </w:tcBorders>
            <w:shd w:val="clear" w:color="auto" w:fill="auto"/>
            <w:noWrap/>
            <w:vAlign w:val="center"/>
          </w:tcPr>
          <w:p w14:paraId="66E94138" w14:textId="2D71F06B" w:rsidR="004E7E28" w:rsidRPr="00FC6195" w:rsidRDefault="004E7E28">
            <w:pPr>
              <w:jc w:val="center"/>
              <w:rPr>
                <w:rFonts w:eastAsia="Times New Roman"/>
                <w:color w:val="000000"/>
                <w:sz w:val="17"/>
                <w:szCs w:val="17"/>
              </w:rPr>
            </w:pPr>
            <w:r w:rsidRPr="00FC6195">
              <w:rPr>
                <w:rFonts w:cs="Calibri"/>
                <w:color w:val="000000"/>
                <w:sz w:val="17"/>
                <w:szCs w:val="17"/>
              </w:rPr>
              <w:t>12,000</w:t>
            </w:r>
          </w:p>
        </w:tc>
        <w:tc>
          <w:tcPr>
            <w:tcW w:w="1080" w:type="dxa"/>
            <w:tcBorders>
              <w:top w:val="nil"/>
              <w:left w:val="nil"/>
              <w:bottom w:val="single" w:sz="8" w:space="0" w:color="auto"/>
              <w:right w:val="single" w:sz="8" w:space="0" w:color="auto"/>
            </w:tcBorders>
            <w:shd w:val="clear" w:color="auto" w:fill="auto"/>
            <w:noWrap/>
            <w:vAlign w:val="center"/>
          </w:tcPr>
          <w:p w14:paraId="1D77E932" w14:textId="0720F87D" w:rsidR="004E7E28" w:rsidRPr="00FC6195" w:rsidRDefault="004E7E28">
            <w:pPr>
              <w:jc w:val="center"/>
              <w:rPr>
                <w:rFonts w:eastAsia="Times New Roman"/>
                <w:color w:val="000000"/>
                <w:sz w:val="17"/>
                <w:szCs w:val="17"/>
              </w:rPr>
            </w:pPr>
            <w:r w:rsidRPr="00FC6195">
              <w:rPr>
                <w:rFonts w:cs="Calibri"/>
                <w:color w:val="000000"/>
                <w:sz w:val="17"/>
                <w:szCs w:val="17"/>
              </w:rPr>
              <w:t>12,000</w:t>
            </w:r>
          </w:p>
        </w:tc>
        <w:tc>
          <w:tcPr>
            <w:tcW w:w="1170" w:type="dxa"/>
            <w:tcBorders>
              <w:top w:val="nil"/>
              <w:left w:val="nil"/>
              <w:bottom w:val="single" w:sz="8" w:space="0" w:color="auto"/>
              <w:right w:val="single" w:sz="8" w:space="0" w:color="auto"/>
            </w:tcBorders>
            <w:shd w:val="clear" w:color="auto" w:fill="auto"/>
            <w:vAlign w:val="center"/>
          </w:tcPr>
          <w:p w14:paraId="1C39F391" w14:textId="16E98F0E" w:rsidR="004E7E28" w:rsidRPr="00FC6195" w:rsidRDefault="004E7E28">
            <w:pPr>
              <w:jc w:val="center"/>
              <w:rPr>
                <w:rFonts w:eastAsia="Times New Roman"/>
                <w:color w:val="000000"/>
                <w:sz w:val="17"/>
                <w:szCs w:val="17"/>
              </w:rPr>
            </w:pPr>
            <w:r w:rsidRPr="00FC6195">
              <w:rPr>
                <w:rFonts w:cs="Calibri"/>
                <w:color w:val="000000"/>
                <w:sz w:val="17"/>
                <w:szCs w:val="17"/>
              </w:rPr>
              <w:t>12,000</w:t>
            </w:r>
          </w:p>
        </w:tc>
        <w:tc>
          <w:tcPr>
            <w:tcW w:w="1080" w:type="dxa"/>
            <w:tcBorders>
              <w:top w:val="nil"/>
              <w:left w:val="nil"/>
              <w:bottom w:val="single" w:sz="8" w:space="0" w:color="auto"/>
              <w:right w:val="single" w:sz="8" w:space="0" w:color="auto"/>
            </w:tcBorders>
            <w:shd w:val="clear" w:color="auto" w:fill="auto"/>
            <w:noWrap/>
            <w:vAlign w:val="center"/>
          </w:tcPr>
          <w:p w14:paraId="7641B154" w14:textId="1921D60B" w:rsidR="004E7E28" w:rsidRPr="00FC6195" w:rsidRDefault="004E7E28">
            <w:pPr>
              <w:jc w:val="center"/>
              <w:rPr>
                <w:rFonts w:eastAsia="Times New Roman"/>
                <w:b/>
                <w:bCs/>
                <w:color w:val="000000"/>
                <w:sz w:val="17"/>
                <w:szCs w:val="17"/>
              </w:rPr>
            </w:pPr>
            <w:r w:rsidRPr="00FC6195">
              <w:rPr>
                <w:rFonts w:cs="Calibri"/>
                <w:b/>
                <w:bCs/>
                <w:color w:val="000000"/>
                <w:sz w:val="17"/>
                <w:szCs w:val="17"/>
              </w:rPr>
              <w:t>57,000</w:t>
            </w:r>
          </w:p>
        </w:tc>
        <w:tc>
          <w:tcPr>
            <w:tcW w:w="900" w:type="dxa"/>
            <w:tcBorders>
              <w:top w:val="nil"/>
              <w:left w:val="nil"/>
              <w:bottom w:val="single" w:sz="8" w:space="0" w:color="auto"/>
              <w:right w:val="single" w:sz="8" w:space="0" w:color="auto"/>
            </w:tcBorders>
            <w:shd w:val="clear" w:color="auto" w:fill="auto"/>
            <w:vAlign w:val="center"/>
          </w:tcPr>
          <w:p w14:paraId="513CD16F" w14:textId="70F64052" w:rsidR="004E7E28" w:rsidRPr="00FC6195" w:rsidRDefault="007132EE">
            <w:pPr>
              <w:jc w:val="center"/>
              <w:rPr>
                <w:rFonts w:eastAsia="Times New Roman"/>
                <w:i/>
                <w:iCs/>
                <w:color w:val="000000"/>
                <w:sz w:val="17"/>
                <w:szCs w:val="17"/>
              </w:rPr>
            </w:pPr>
            <w:r>
              <w:rPr>
                <w:rFonts w:cs="Calibri"/>
                <w:i/>
                <w:iCs/>
                <w:color w:val="000000"/>
                <w:sz w:val="17"/>
                <w:szCs w:val="17"/>
              </w:rPr>
              <w:t>31</w:t>
            </w:r>
          </w:p>
        </w:tc>
      </w:tr>
      <w:tr w:rsidR="00F01AE3" w:rsidRPr="00FC6195" w14:paraId="60522576" w14:textId="77777777" w:rsidTr="007132EE">
        <w:trPr>
          <w:trHeight w:val="340"/>
        </w:trPr>
        <w:tc>
          <w:tcPr>
            <w:tcW w:w="1181" w:type="dxa"/>
            <w:tcBorders>
              <w:top w:val="nil"/>
              <w:left w:val="single" w:sz="8" w:space="0" w:color="auto"/>
              <w:bottom w:val="nil"/>
              <w:right w:val="nil"/>
            </w:tcBorders>
            <w:shd w:val="clear" w:color="auto" w:fill="auto"/>
            <w:noWrap/>
            <w:vAlign w:val="center"/>
            <w:hideMark/>
          </w:tcPr>
          <w:p w14:paraId="339115A9" w14:textId="393E1D36" w:rsidR="004E7E28" w:rsidRPr="00FC6195" w:rsidRDefault="004E7E28" w:rsidP="004E7E28">
            <w:pPr>
              <w:rPr>
                <w:rFonts w:eastAsia="Times New Roman"/>
                <w:b/>
                <w:color w:val="000000"/>
                <w:sz w:val="17"/>
                <w:szCs w:val="17"/>
              </w:rPr>
            </w:pPr>
          </w:p>
        </w:tc>
        <w:tc>
          <w:tcPr>
            <w:tcW w:w="1149" w:type="dxa"/>
            <w:tcBorders>
              <w:top w:val="nil"/>
              <w:left w:val="single" w:sz="8" w:space="0" w:color="auto"/>
              <w:bottom w:val="nil"/>
              <w:right w:val="single" w:sz="8" w:space="0" w:color="auto"/>
            </w:tcBorders>
            <w:shd w:val="clear" w:color="auto" w:fill="auto"/>
            <w:vAlign w:val="center"/>
            <w:hideMark/>
          </w:tcPr>
          <w:p w14:paraId="5FF8C7B7"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bottom w:val="nil"/>
              <w:right w:val="single" w:sz="8" w:space="0" w:color="auto"/>
            </w:tcBorders>
            <w:shd w:val="clear" w:color="auto" w:fill="auto"/>
            <w:vAlign w:val="center"/>
            <w:hideMark/>
          </w:tcPr>
          <w:p w14:paraId="661290B8"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nil"/>
              <w:right w:val="single" w:sz="8" w:space="0" w:color="auto"/>
            </w:tcBorders>
            <w:shd w:val="clear" w:color="auto" w:fill="auto"/>
            <w:vAlign w:val="center"/>
            <w:hideMark/>
          </w:tcPr>
          <w:p w14:paraId="7146C97E" w14:textId="77777777" w:rsidR="004E7E28" w:rsidRPr="00FC6195" w:rsidRDefault="004E7E28">
            <w:pPr>
              <w:jc w:val="both"/>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single" w:sz="8" w:space="0" w:color="auto"/>
              <w:right w:val="single" w:sz="8" w:space="0" w:color="auto"/>
            </w:tcBorders>
            <w:shd w:val="clear" w:color="auto" w:fill="auto"/>
            <w:noWrap/>
            <w:vAlign w:val="center"/>
            <w:hideMark/>
          </w:tcPr>
          <w:p w14:paraId="43ACE122"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74200</w:t>
            </w:r>
          </w:p>
        </w:tc>
        <w:tc>
          <w:tcPr>
            <w:tcW w:w="2070" w:type="dxa"/>
            <w:tcBorders>
              <w:top w:val="nil"/>
              <w:left w:val="nil"/>
              <w:bottom w:val="single" w:sz="8" w:space="0" w:color="auto"/>
              <w:right w:val="single" w:sz="8" w:space="0" w:color="auto"/>
            </w:tcBorders>
            <w:shd w:val="clear" w:color="auto" w:fill="auto"/>
            <w:noWrap/>
            <w:vAlign w:val="center"/>
            <w:hideMark/>
          </w:tcPr>
          <w:p w14:paraId="5A45A0A7" w14:textId="77777777" w:rsidR="004E7E28" w:rsidRPr="00FC6195" w:rsidRDefault="004E7E28">
            <w:pPr>
              <w:rPr>
                <w:rFonts w:eastAsia="Times New Roman"/>
                <w:color w:val="000000"/>
                <w:sz w:val="17"/>
                <w:szCs w:val="17"/>
              </w:rPr>
            </w:pPr>
            <w:r w:rsidRPr="00FC6195">
              <w:rPr>
                <w:rFonts w:eastAsia="Times New Roman"/>
                <w:color w:val="000000"/>
                <w:sz w:val="17"/>
                <w:szCs w:val="17"/>
              </w:rPr>
              <w:t>Audio Visual&amp;Print Prod Costs</w:t>
            </w:r>
          </w:p>
        </w:tc>
        <w:tc>
          <w:tcPr>
            <w:tcW w:w="810" w:type="dxa"/>
            <w:tcBorders>
              <w:top w:val="nil"/>
              <w:left w:val="nil"/>
              <w:bottom w:val="single" w:sz="8" w:space="0" w:color="auto"/>
              <w:right w:val="single" w:sz="8" w:space="0" w:color="auto"/>
            </w:tcBorders>
            <w:shd w:val="clear" w:color="auto" w:fill="auto"/>
            <w:noWrap/>
            <w:vAlign w:val="center"/>
            <w:hideMark/>
          </w:tcPr>
          <w:p w14:paraId="3C311590" w14:textId="1EF36AB9" w:rsidR="004E7E28" w:rsidRPr="00FC6195" w:rsidRDefault="004E7E28">
            <w:pPr>
              <w:jc w:val="center"/>
              <w:rPr>
                <w:rFonts w:eastAsia="Times New Roman"/>
                <w:color w:val="000000"/>
                <w:sz w:val="17"/>
                <w:szCs w:val="17"/>
              </w:rPr>
            </w:pPr>
            <w:r w:rsidRPr="00FC6195">
              <w:rPr>
                <w:rFonts w:cs="Calibri"/>
                <w:color w:val="000000"/>
                <w:sz w:val="17"/>
                <w:szCs w:val="17"/>
              </w:rPr>
              <w:t>100</w:t>
            </w:r>
          </w:p>
        </w:tc>
        <w:tc>
          <w:tcPr>
            <w:tcW w:w="1010" w:type="dxa"/>
            <w:tcBorders>
              <w:top w:val="nil"/>
              <w:left w:val="nil"/>
              <w:bottom w:val="single" w:sz="8" w:space="0" w:color="auto"/>
              <w:right w:val="single" w:sz="8" w:space="0" w:color="auto"/>
            </w:tcBorders>
            <w:shd w:val="clear" w:color="auto" w:fill="auto"/>
            <w:noWrap/>
            <w:vAlign w:val="center"/>
            <w:hideMark/>
          </w:tcPr>
          <w:p w14:paraId="4215088F" w14:textId="7B520755" w:rsidR="004E7E28" w:rsidRPr="00FC6195" w:rsidRDefault="004E7E28">
            <w:pPr>
              <w:jc w:val="center"/>
              <w:rPr>
                <w:rFonts w:eastAsia="Times New Roman"/>
                <w:color w:val="000000"/>
                <w:sz w:val="17"/>
                <w:szCs w:val="17"/>
              </w:rPr>
            </w:pPr>
            <w:r w:rsidRPr="00FC6195">
              <w:rPr>
                <w:rFonts w:cs="Calibri"/>
                <w:color w:val="000000"/>
                <w:sz w:val="17"/>
                <w:szCs w:val="17"/>
              </w:rPr>
              <w:t> </w:t>
            </w:r>
          </w:p>
        </w:tc>
        <w:tc>
          <w:tcPr>
            <w:tcW w:w="970" w:type="dxa"/>
            <w:tcBorders>
              <w:top w:val="nil"/>
              <w:left w:val="nil"/>
              <w:bottom w:val="single" w:sz="8" w:space="0" w:color="auto"/>
              <w:right w:val="single" w:sz="8" w:space="0" w:color="auto"/>
            </w:tcBorders>
            <w:shd w:val="clear" w:color="auto" w:fill="auto"/>
            <w:noWrap/>
            <w:vAlign w:val="center"/>
            <w:hideMark/>
          </w:tcPr>
          <w:p w14:paraId="3BF62839" w14:textId="14F036B3" w:rsidR="004E7E28" w:rsidRPr="00FC6195" w:rsidRDefault="004E7E28">
            <w:pPr>
              <w:jc w:val="center"/>
              <w:rPr>
                <w:rFonts w:eastAsia="Times New Roman"/>
                <w:color w:val="000000"/>
                <w:sz w:val="17"/>
                <w:szCs w:val="17"/>
              </w:rPr>
            </w:pPr>
            <w:r w:rsidRPr="00FC6195">
              <w:rPr>
                <w:rFonts w:cs="Calibri"/>
                <w:color w:val="000000"/>
                <w:sz w:val="17"/>
                <w:szCs w:val="17"/>
              </w:rPr>
              <w:t>500</w:t>
            </w:r>
          </w:p>
        </w:tc>
        <w:tc>
          <w:tcPr>
            <w:tcW w:w="1080" w:type="dxa"/>
            <w:tcBorders>
              <w:top w:val="nil"/>
              <w:left w:val="nil"/>
              <w:bottom w:val="single" w:sz="8" w:space="0" w:color="auto"/>
              <w:right w:val="single" w:sz="8" w:space="0" w:color="auto"/>
            </w:tcBorders>
            <w:shd w:val="clear" w:color="auto" w:fill="auto"/>
            <w:noWrap/>
            <w:vAlign w:val="center"/>
            <w:hideMark/>
          </w:tcPr>
          <w:p w14:paraId="6D71D71D" w14:textId="5E6F3D61" w:rsidR="004E7E28" w:rsidRPr="00FC6195" w:rsidRDefault="004E7E28">
            <w:pPr>
              <w:jc w:val="center"/>
              <w:rPr>
                <w:rFonts w:eastAsia="Times New Roman"/>
                <w:color w:val="000000"/>
                <w:sz w:val="17"/>
                <w:szCs w:val="17"/>
              </w:rPr>
            </w:pPr>
            <w:r w:rsidRPr="00FC6195">
              <w:rPr>
                <w:rFonts w:cs="Calibri"/>
                <w:color w:val="000000"/>
                <w:sz w:val="17"/>
                <w:szCs w:val="17"/>
              </w:rPr>
              <w:t> </w:t>
            </w:r>
          </w:p>
        </w:tc>
        <w:tc>
          <w:tcPr>
            <w:tcW w:w="1170" w:type="dxa"/>
            <w:tcBorders>
              <w:top w:val="nil"/>
              <w:left w:val="nil"/>
              <w:bottom w:val="single" w:sz="8" w:space="0" w:color="auto"/>
              <w:right w:val="single" w:sz="8" w:space="0" w:color="auto"/>
            </w:tcBorders>
            <w:shd w:val="clear" w:color="auto" w:fill="auto"/>
            <w:vAlign w:val="center"/>
            <w:hideMark/>
          </w:tcPr>
          <w:p w14:paraId="43566D85" w14:textId="6C928F99" w:rsidR="004E7E28" w:rsidRPr="00FC6195" w:rsidRDefault="004E7E28">
            <w:pPr>
              <w:jc w:val="center"/>
              <w:rPr>
                <w:rFonts w:eastAsia="Times New Roman"/>
                <w:color w:val="000000"/>
                <w:sz w:val="17"/>
                <w:szCs w:val="17"/>
              </w:rPr>
            </w:pPr>
            <w:r w:rsidRPr="00FC6195">
              <w:rPr>
                <w:rFonts w:cs="Calibri"/>
                <w:color w:val="000000"/>
                <w:sz w:val="17"/>
                <w:szCs w:val="17"/>
              </w:rPr>
              <w:t>500</w:t>
            </w:r>
          </w:p>
        </w:tc>
        <w:tc>
          <w:tcPr>
            <w:tcW w:w="1080" w:type="dxa"/>
            <w:tcBorders>
              <w:top w:val="nil"/>
              <w:left w:val="nil"/>
              <w:bottom w:val="single" w:sz="8" w:space="0" w:color="auto"/>
              <w:right w:val="single" w:sz="8" w:space="0" w:color="auto"/>
            </w:tcBorders>
            <w:shd w:val="clear" w:color="auto" w:fill="auto"/>
            <w:noWrap/>
            <w:vAlign w:val="center"/>
            <w:hideMark/>
          </w:tcPr>
          <w:p w14:paraId="65B45610" w14:textId="4D9BC6DC" w:rsidR="004E7E28" w:rsidRPr="00FC6195" w:rsidRDefault="004E7E28">
            <w:pPr>
              <w:jc w:val="center"/>
              <w:rPr>
                <w:rFonts w:eastAsia="Times New Roman"/>
                <w:b/>
                <w:bCs/>
                <w:color w:val="000000"/>
                <w:sz w:val="17"/>
                <w:szCs w:val="17"/>
              </w:rPr>
            </w:pPr>
            <w:r w:rsidRPr="00FC6195">
              <w:rPr>
                <w:rFonts w:cs="Calibri"/>
                <w:b/>
                <w:bCs/>
                <w:color w:val="000000"/>
                <w:sz w:val="17"/>
                <w:szCs w:val="17"/>
              </w:rPr>
              <w:t>1,100</w:t>
            </w:r>
          </w:p>
        </w:tc>
        <w:tc>
          <w:tcPr>
            <w:tcW w:w="900" w:type="dxa"/>
            <w:tcBorders>
              <w:top w:val="nil"/>
              <w:left w:val="nil"/>
              <w:bottom w:val="single" w:sz="8" w:space="0" w:color="auto"/>
              <w:right w:val="single" w:sz="8" w:space="0" w:color="auto"/>
            </w:tcBorders>
            <w:shd w:val="clear" w:color="auto" w:fill="auto"/>
            <w:vAlign w:val="center"/>
            <w:hideMark/>
          </w:tcPr>
          <w:p w14:paraId="5256A058" w14:textId="6C28BD83" w:rsidR="004E7E28" w:rsidRPr="00FC6195" w:rsidRDefault="007132EE">
            <w:pPr>
              <w:jc w:val="center"/>
              <w:rPr>
                <w:rFonts w:eastAsia="Times New Roman"/>
                <w:i/>
                <w:iCs/>
                <w:color w:val="000000"/>
                <w:sz w:val="17"/>
                <w:szCs w:val="17"/>
              </w:rPr>
            </w:pPr>
            <w:r>
              <w:rPr>
                <w:rFonts w:cs="Calibri"/>
                <w:i/>
                <w:iCs/>
                <w:color w:val="000000"/>
                <w:sz w:val="17"/>
                <w:szCs w:val="17"/>
              </w:rPr>
              <w:t>32</w:t>
            </w:r>
          </w:p>
        </w:tc>
      </w:tr>
      <w:tr w:rsidR="00F01AE3" w:rsidRPr="00FC6195" w14:paraId="3A567E8C" w14:textId="77777777" w:rsidTr="007132EE">
        <w:trPr>
          <w:trHeight w:val="340"/>
        </w:trPr>
        <w:tc>
          <w:tcPr>
            <w:tcW w:w="1181" w:type="dxa"/>
            <w:tcBorders>
              <w:top w:val="nil"/>
              <w:left w:val="single" w:sz="8" w:space="0" w:color="auto"/>
              <w:bottom w:val="nil"/>
              <w:right w:val="nil"/>
            </w:tcBorders>
            <w:shd w:val="clear" w:color="auto" w:fill="auto"/>
            <w:noWrap/>
            <w:vAlign w:val="center"/>
            <w:hideMark/>
          </w:tcPr>
          <w:p w14:paraId="4A74035F" w14:textId="77777777" w:rsidR="004E7E28" w:rsidRPr="00FC6195" w:rsidRDefault="004E7E28">
            <w:pPr>
              <w:rPr>
                <w:rFonts w:eastAsia="Times New Roman"/>
                <w:color w:val="000000"/>
                <w:sz w:val="17"/>
                <w:szCs w:val="17"/>
              </w:rPr>
            </w:pPr>
            <w:r w:rsidRPr="00FC6195">
              <w:rPr>
                <w:rFonts w:eastAsia="Times New Roman"/>
                <w:color w:val="000000"/>
                <w:sz w:val="17"/>
                <w:szCs w:val="17"/>
              </w:rPr>
              <w:t> </w:t>
            </w:r>
          </w:p>
        </w:tc>
        <w:tc>
          <w:tcPr>
            <w:tcW w:w="1149" w:type="dxa"/>
            <w:tcBorders>
              <w:top w:val="nil"/>
              <w:left w:val="single" w:sz="8" w:space="0" w:color="auto"/>
              <w:bottom w:val="nil"/>
              <w:right w:val="single" w:sz="8" w:space="0" w:color="auto"/>
            </w:tcBorders>
            <w:shd w:val="clear" w:color="auto" w:fill="auto"/>
            <w:vAlign w:val="center"/>
            <w:hideMark/>
          </w:tcPr>
          <w:p w14:paraId="5FB235BE"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bottom w:val="nil"/>
              <w:right w:val="single" w:sz="8" w:space="0" w:color="auto"/>
            </w:tcBorders>
            <w:shd w:val="clear" w:color="auto" w:fill="auto"/>
            <w:vAlign w:val="center"/>
            <w:hideMark/>
          </w:tcPr>
          <w:p w14:paraId="52C498E2" w14:textId="77777777" w:rsidR="004E7E28" w:rsidRPr="00FC6195" w:rsidRDefault="004E7E28">
            <w:pPr>
              <w:jc w:val="both"/>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nil"/>
              <w:right w:val="single" w:sz="8" w:space="0" w:color="auto"/>
            </w:tcBorders>
            <w:shd w:val="clear" w:color="auto" w:fill="auto"/>
            <w:vAlign w:val="center"/>
            <w:hideMark/>
          </w:tcPr>
          <w:p w14:paraId="5B29EE4A" w14:textId="77777777" w:rsidR="004E7E28" w:rsidRPr="00FC6195" w:rsidRDefault="004E7E28">
            <w:pPr>
              <w:jc w:val="both"/>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single" w:sz="8" w:space="0" w:color="auto"/>
              <w:right w:val="single" w:sz="8" w:space="0" w:color="auto"/>
            </w:tcBorders>
            <w:shd w:val="clear" w:color="auto" w:fill="auto"/>
            <w:noWrap/>
            <w:vAlign w:val="center"/>
            <w:hideMark/>
          </w:tcPr>
          <w:p w14:paraId="72A78511"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74500</w:t>
            </w:r>
          </w:p>
        </w:tc>
        <w:tc>
          <w:tcPr>
            <w:tcW w:w="2070" w:type="dxa"/>
            <w:tcBorders>
              <w:top w:val="nil"/>
              <w:left w:val="nil"/>
              <w:bottom w:val="single" w:sz="8" w:space="0" w:color="auto"/>
              <w:right w:val="single" w:sz="8" w:space="0" w:color="auto"/>
            </w:tcBorders>
            <w:shd w:val="clear" w:color="auto" w:fill="auto"/>
            <w:noWrap/>
            <w:vAlign w:val="center"/>
            <w:hideMark/>
          </w:tcPr>
          <w:p w14:paraId="1FA8C481" w14:textId="77777777" w:rsidR="004E7E28" w:rsidRPr="00FC6195" w:rsidRDefault="004E7E28">
            <w:pPr>
              <w:rPr>
                <w:rFonts w:eastAsia="Times New Roman"/>
                <w:color w:val="000000"/>
                <w:sz w:val="17"/>
                <w:szCs w:val="17"/>
              </w:rPr>
            </w:pPr>
            <w:r w:rsidRPr="00FC6195">
              <w:rPr>
                <w:rFonts w:eastAsia="Times New Roman"/>
                <w:color w:val="000000"/>
                <w:sz w:val="17"/>
                <w:szCs w:val="17"/>
              </w:rPr>
              <w:t>Miscellaneous</w:t>
            </w:r>
          </w:p>
        </w:tc>
        <w:tc>
          <w:tcPr>
            <w:tcW w:w="810" w:type="dxa"/>
            <w:tcBorders>
              <w:top w:val="nil"/>
              <w:left w:val="nil"/>
              <w:bottom w:val="single" w:sz="8" w:space="0" w:color="auto"/>
              <w:right w:val="single" w:sz="8" w:space="0" w:color="auto"/>
            </w:tcBorders>
            <w:shd w:val="clear" w:color="auto" w:fill="auto"/>
            <w:noWrap/>
            <w:vAlign w:val="center"/>
            <w:hideMark/>
          </w:tcPr>
          <w:p w14:paraId="28874EEC" w14:textId="71FB3164" w:rsidR="004E7E28" w:rsidRPr="00FC6195" w:rsidRDefault="004E7E28">
            <w:pPr>
              <w:jc w:val="center"/>
              <w:rPr>
                <w:rFonts w:eastAsia="Times New Roman"/>
                <w:color w:val="000000"/>
                <w:sz w:val="17"/>
                <w:szCs w:val="17"/>
              </w:rPr>
            </w:pPr>
            <w:r w:rsidRPr="00FC6195">
              <w:rPr>
                <w:rFonts w:cs="Calibri"/>
                <w:color w:val="000000"/>
                <w:sz w:val="17"/>
                <w:szCs w:val="17"/>
              </w:rPr>
              <w:t>500</w:t>
            </w:r>
          </w:p>
        </w:tc>
        <w:tc>
          <w:tcPr>
            <w:tcW w:w="1010" w:type="dxa"/>
            <w:tcBorders>
              <w:top w:val="nil"/>
              <w:left w:val="nil"/>
              <w:bottom w:val="single" w:sz="8" w:space="0" w:color="auto"/>
              <w:right w:val="single" w:sz="8" w:space="0" w:color="auto"/>
            </w:tcBorders>
            <w:shd w:val="clear" w:color="auto" w:fill="auto"/>
            <w:noWrap/>
            <w:vAlign w:val="center"/>
            <w:hideMark/>
          </w:tcPr>
          <w:p w14:paraId="69EB8734" w14:textId="4CA2AB42" w:rsidR="004E7E28" w:rsidRPr="00FC6195" w:rsidRDefault="004E7E28">
            <w:pPr>
              <w:jc w:val="center"/>
              <w:rPr>
                <w:rFonts w:eastAsia="Times New Roman"/>
                <w:color w:val="000000"/>
                <w:sz w:val="17"/>
                <w:szCs w:val="17"/>
              </w:rPr>
            </w:pPr>
            <w:r w:rsidRPr="00FC6195">
              <w:rPr>
                <w:rFonts w:cs="Calibri"/>
                <w:color w:val="000000"/>
                <w:sz w:val="17"/>
                <w:szCs w:val="17"/>
              </w:rPr>
              <w:t>500</w:t>
            </w:r>
          </w:p>
        </w:tc>
        <w:tc>
          <w:tcPr>
            <w:tcW w:w="970" w:type="dxa"/>
            <w:tcBorders>
              <w:top w:val="nil"/>
              <w:left w:val="nil"/>
              <w:bottom w:val="single" w:sz="8" w:space="0" w:color="auto"/>
              <w:right w:val="single" w:sz="8" w:space="0" w:color="auto"/>
            </w:tcBorders>
            <w:shd w:val="clear" w:color="auto" w:fill="auto"/>
            <w:noWrap/>
            <w:vAlign w:val="center"/>
            <w:hideMark/>
          </w:tcPr>
          <w:p w14:paraId="0BAEBD12" w14:textId="1790EC67" w:rsidR="004E7E28" w:rsidRPr="00FC6195" w:rsidRDefault="004E7E28">
            <w:pPr>
              <w:jc w:val="center"/>
              <w:rPr>
                <w:rFonts w:eastAsia="Times New Roman"/>
                <w:color w:val="000000"/>
                <w:sz w:val="17"/>
                <w:szCs w:val="17"/>
              </w:rPr>
            </w:pPr>
            <w:r w:rsidRPr="00FC6195">
              <w:rPr>
                <w:rFonts w:cs="Calibri"/>
                <w:color w:val="000000"/>
                <w:sz w:val="17"/>
                <w:szCs w:val="17"/>
              </w:rPr>
              <w:t>500</w:t>
            </w:r>
          </w:p>
        </w:tc>
        <w:tc>
          <w:tcPr>
            <w:tcW w:w="1080" w:type="dxa"/>
            <w:tcBorders>
              <w:top w:val="nil"/>
              <w:left w:val="nil"/>
              <w:bottom w:val="single" w:sz="8" w:space="0" w:color="auto"/>
              <w:right w:val="single" w:sz="8" w:space="0" w:color="auto"/>
            </w:tcBorders>
            <w:shd w:val="clear" w:color="auto" w:fill="auto"/>
            <w:noWrap/>
            <w:vAlign w:val="center"/>
            <w:hideMark/>
          </w:tcPr>
          <w:p w14:paraId="49981396" w14:textId="2DC9F4B3" w:rsidR="004E7E28" w:rsidRPr="00FC6195" w:rsidRDefault="004E7E28">
            <w:pPr>
              <w:jc w:val="center"/>
              <w:rPr>
                <w:rFonts w:eastAsia="Times New Roman"/>
                <w:color w:val="000000"/>
                <w:sz w:val="17"/>
                <w:szCs w:val="17"/>
              </w:rPr>
            </w:pPr>
            <w:r w:rsidRPr="00FC6195">
              <w:rPr>
                <w:rFonts w:cs="Calibri"/>
                <w:color w:val="000000"/>
                <w:sz w:val="17"/>
                <w:szCs w:val="17"/>
              </w:rPr>
              <w:t>500</w:t>
            </w:r>
          </w:p>
        </w:tc>
        <w:tc>
          <w:tcPr>
            <w:tcW w:w="1170" w:type="dxa"/>
            <w:tcBorders>
              <w:top w:val="nil"/>
              <w:left w:val="nil"/>
              <w:bottom w:val="single" w:sz="8" w:space="0" w:color="auto"/>
              <w:right w:val="single" w:sz="8" w:space="0" w:color="auto"/>
            </w:tcBorders>
            <w:shd w:val="clear" w:color="auto" w:fill="auto"/>
            <w:vAlign w:val="center"/>
            <w:hideMark/>
          </w:tcPr>
          <w:p w14:paraId="6A34363C" w14:textId="37BD433B" w:rsidR="004E7E28" w:rsidRPr="00FC6195" w:rsidRDefault="004E7E28">
            <w:pPr>
              <w:jc w:val="center"/>
              <w:rPr>
                <w:rFonts w:eastAsia="Times New Roman"/>
                <w:color w:val="000000"/>
                <w:sz w:val="17"/>
                <w:szCs w:val="17"/>
              </w:rPr>
            </w:pPr>
            <w:r w:rsidRPr="00FC6195">
              <w:rPr>
                <w:rFonts w:cs="Calibri"/>
                <w:color w:val="000000"/>
                <w:sz w:val="17"/>
                <w:szCs w:val="17"/>
              </w:rPr>
              <w:t>500</w:t>
            </w:r>
          </w:p>
        </w:tc>
        <w:tc>
          <w:tcPr>
            <w:tcW w:w="1080" w:type="dxa"/>
            <w:tcBorders>
              <w:top w:val="nil"/>
              <w:left w:val="nil"/>
              <w:bottom w:val="single" w:sz="8" w:space="0" w:color="auto"/>
              <w:right w:val="single" w:sz="8" w:space="0" w:color="auto"/>
            </w:tcBorders>
            <w:shd w:val="clear" w:color="auto" w:fill="auto"/>
            <w:noWrap/>
            <w:vAlign w:val="center"/>
            <w:hideMark/>
          </w:tcPr>
          <w:p w14:paraId="70118658" w14:textId="72C8FDDB" w:rsidR="004E7E28" w:rsidRPr="00FC6195" w:rsidRDefault="004E7E28">
            <w:pPr>
              <w:jc w:val="center"/>
              <w:rPr>
                <w:rFonts w:eastAsia="Times New Roman"/>
                <w:b/>
                <w:bCs/>
                <w:color w:val="000000"/>
                <w:sz w:val="17"/>
                <w:szCs w:val="17"/>
              </w:rPr>
            </w:pPr>
            <w:r w:rsidRPr="00FC6195">
              <w:rPr>
                <w:rFonts w:cs="Calibri"/>
                <w:b/>
                <w:bCs/>
                <w:color w:val="000000"/>
                <w:sz w:val="17"/>
                <w:szCs w:val="17"/>
              </w:rPr>
              <w:t>2,500</w:t>
            </w:r>
          </w:p>
        </w:tc>
        <w:tc>
          <w:tcPr>
            <w:tcW w:w="900" w:type="dxa"/>
            <w:tcBorders>
              <w:top w:val="nil"/>
              <w:left w:val="nil"/>
              <w:bottom w:val="single" w:sz="8" w:space="0" w:color="auto"/>
              <w:right w:val="single" w:sz="8" w:space="0" w:color="auto"/>
            </w:tcBorders>
            <w:shd w:val="clear" w:color="auto" w:fill="auto"/>
            <w:vAlign w:val="center"/>
            <w:hideMark/>
          </w:tcPr>
          <w:p w14:paraId="6B5BC30B" w14:textId="23BFA914" w:rsidR="004E7E28" w:rsidRPr="00FC6195" w:rsidRDefault="007132EE">
            <w:pPr>
              <w:jc w:val="center"/>
              <w:rPr>
                <w:rFonts w:eastAsia="Times New Roman"/>
                <w:i/>
                <w:iCs/>
                <w:color w:val="000000"/>
                <w:sz w:val="17"/>
                <w:szCs w:val="17"/>
              </w:rPr>
            </w:pPr>
            <w:r>
              <w:rPr>
                <w:rFonts w:cs="Calibri"/>
                <w:i/>
                <w:iCs/>
                <w:color w:val="000000"/>
                <w:sz w:val="17"/>
                <w:szCs w:val="17"/>
              </w:rPr>
              <w:t>33</w:t>
            </w:r>
          </w:p>
        </w:tc>
      </w:tr>
      <w:tr w:rsidR="00F01AE3" w:rsidRPr="00FC6195" w14:paraId="7B8368C9" w14:textId="77777777" w:rsidTr="007132EE">
        <w:trPr>
          <w:trHeight w:val="340"/>
        </w:trPr>
        <w:tc>
          <w:tcPr>
            <w:tcW w:w="1181" w:type="dxa"/>
            <w:tcBorders>
              <w:top w:val="nil"/>
              <w:left w:val="single" w:sz="8" w:space="0" w:color="auto"/>
              <w:bottom w:val="nil"/>
              <w:right w:val="nil"/>
            </w:tcBorders>
            <w:shd w:val="clear" w:color="auto" w:fill="auto"/>
            <w:noWrap/>
            <w:vAlign w:val="center"/>
            <w:hideMark/>
          </w:tcPr>
          <w:p w14:paraId="23419CF3" w14:textId="77777777" w:rsidR="004E7E28" w:rsidRPr="00FC6195" w:rsidRDefault="004E7E28">
            <w:pPr>
              <w:rPr>
                <w:rFonts w:eastAsia="Times New Roman"/>
                <w:color w:val="000000"/>
                <w:sz w:val="17"/>
                <w:szCs w:val="17"/>
              </w:rPr>
            </w:pPr>
            <w:r w:rsidRPr="00FC6195">
              <w:rPr>
                <w:rFonts w:eastAsia="Times New Roman"/>
                <w:color w:val="000000"/>
                <w:sz w:val="17"/>
                <w:szCs w:val="17"/>
              </w:rPr>
              <w:t> </w:t>
            </w:r>
          </w:p>
        </w:tc>
        <w:tc>
          <w:tcPr>
            <w:tcW w:w="1149" w:type="dxa"/>
            <w:tcBorders>
              <w:top w:val="nil"/>
              <w:left w:val="single" w:sz="8" w:space="0" w:color="auto"/>
              <w:bottom w:val="nil"/>
              <w:right w:val="single" w:sz="8" w:space="0" w:color="auto"/>
            </w:tcBorders>
            <w:shd w:val="clear" w:color="auto" w:fill="auto"/>
            <w:vAlign w:val="center"/>
            <w:hideMark/>
          </w:tcPr>
          <w:p w14:paraId="272ED2D2"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bottom w:val="nil"/>
              <w:right w:val="single" w:sz="8" w:space="0" w:color="auto"/>
            </w:tcBorders>
            <w:shd w:val="clear" w:color="auto" w:fill="auto"/>
            <w:vAlign w:val="center"/>
            <w:hideMark/>
          </w:tcPr>
          <w:p w14:paraId="4A5A9323"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nil"/>
              <w:right w:val="single" w:sz="8" w:space="0" w:color="auto"/>
            </w:tcBorders>
            <w:shd w:val="clear" w:color="auto" w:fill="auto"/>
            <w:vAlign w:val="center"/>
            <w:hideMark/>
          </w:tcPr>
          <w:p w14:paraId="0FCB7F2F" w14:textId="77777777" w:rsidR="004E7E28" w:rsidRPr="00FC6195" w:rsidRDefault="004E7E28">
            <w:pPr>
              <w:jc w:val="both"/>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single" w:sz="8" w:space="0" w:color="auto"/>
              <w:right w:val="single" w:sz="8" w:space="0" w:color="auto"/>
            </w:tcBorders>
            <w:shd w:val="clear" w:color="auto" w:fill="auto"/>
            <w:noWrap/>
            <w:vAlign w:val="center"/>
            <w:hideMark/>
          </w:tcPr>
          <w:p w14:paraId="0CDADCE8" w14:textId="0AC63B1C" w:rsidR="004E7E28" w:rsidRPr="00FC6195" w:rsidRDefault="004E7E28">
            <w:pPr>
              <w:jc w:val="center"/>
              <w:rPr>
                <w:rFonts w:eastAsia="Times New Roman"/>
                <w:color w:val="000000"/>
                <w:sz w:val="17"/>
                <w:szCs w:val="17"/>
              </w:rPr>
            </w:pPr>
            <w:r w:rsidRPr="00FC6195">
              <w:rPr>
                <w:rFonts w:eastAsia="Times New Roman"/>
                <w:color w:val="000000"/>
                <w:sz w:val="17"/>
                <w:szCs w:val="17"/>
              </w:rPr>
              <w:t>7459</w:t>
            </w:r>
            <w:r w:rsidR="00824C89" w:rsidRPr="00FC6195">
              <w:rPr>
                <w:rFonts w:eastAsia="Times New Roman"/>
                <w:color w:val="000000"/>
                <w:sz w:val="17"/>
                <w:szCs w:val="17"/>
              </w:rPr>
              <w:t>6</w:t>
            </w:r>
          </w:p>
        </w:tc>
        <w:tc>
          <w:tcPr>
            <w:tcW w:w="2070" w:type="dxa"/>
            <w:tcBorders>
              <w:top w:val="nil"/>
              <w:left w:val="nil"/>
              <w:bottom w:val="single" w:sz="8" w:space="0" w:color="auto"/>
              <w:right w:val="single" w:sz="8" w:space="0" w:color="auto"/>
            </w:tcBorders>
            <w:shd w:val="clear" w:color="auto" w:fill="auto"/>
            <w:noWrap/>
            <w:vAlign w:val="center"/>
            <w:hideMark/>
          </w:tcPr>
          <w:p w14:paraId="435977EA" w14:textId="4B28691D" w:rsidR="004E7E28" w:rsidRPr="00FC6195" w:rsidRDefault="006043C8">
            <w:pPr>
              <w:rPr>
                <w:rFonts w:eastAsia="Times New Roman"/>
                <w:color w:val="000000"/>
                <w:sz w:val="17"/>
                <w:szCs w:val="17"/>
              </w:rPr>
            </w:pPr>
            <w:r w:rsidRPr="006043C8">
              <w:rPr>
                <w:rFonts w:eastAsia="Times New Roman"/>
                <w:color w:val="000000"/>
                <w:sz w:val="17"/>
                <w:szCs w:val="17"/>
              </w:rPr>
              <w:t>Services to projects – GOE for CO</w:t>
            </w:r>
          </w:p>
        </w:tc>
        <w:tc>
          <w:tcPr>
            <w:tcW w:w="810" w:type="dxa"/>
            <w:tcBorders>
              <w:top w:val="nil"/>
              <w:left w:val="nil"/>
              <w:bottom w:val="single" w:sz="8" w:space="0" w:color="auto"/>
              <w:right w:val="single" w:sz="8" w:space="0" w:color="auto"/>
            </w:tcBorders>
            <w:shd w:val="clear" w:color="auto" w:fill="auto"/>
            <w:noWrap/>
            <w:vAlign w:val="center"/>
            <w:hideMark/>
          </w:tcPr>
          <w:p w14:paraId="5A5A185C"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8,000</w:t>
            </w:r>
          </w:p>
        </w:tc>
        <w:tc>
          <w:tcPr>
            <w:tcW w:w="1010" w:type="dxa"/>
            <w:tcBorders>
              <w:top w:val="nil"/>
              <w:left w:val="nil"/>
              <w:bottom w:val="single" w:sz="8" w:space="0" w:color="auto"/>
              <w:right w:val="single" w:sz="8" w:space="0" w:color="auto"/>
            </w:tcBorders>
            <w:shd w:val="clear" w:color="auto" w:fill="auto"/>
            <w:noWrap/>
            <w:vAlign w:val="center"/>
            <w:hideMark/>
          </w:tcPr>
          <w:p w14:paraId="4D655EC8"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12,000</w:t>
            </w:r>
          </w:p>
        </w:tc>
        <w:tc>
          <w:tcPr>
            <w:tcW w:w="970" w:type="dxa"/>
            <w:tcBorders>
              <w:top w:val="nil"/>
              <w:left w:val="nil"/>
              <w:bottom w:val="single" w:sz="8" w:space="0" w:color="auto"/>
              <w:right w:val="single" w:sz="8" w:space="0" w:color="auto"/>
            </w:tcBorders>
            <w:shd w:val="clear" w:color="auto" w:fill="auto"/>
            <w:noWrap/>
            <w:vAlign w:val="center"/>
            <w:hideMark/>
          </w:tcPr>
          <w:p w14:paraId="44F204EF"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12,000</w:t>
            </w:r>
          </w:p>
        </w:tc>
        <w:tc>
          <w:tcPr>
            <w:tcW w:w="1080" w:type="dxa"/>
            <w:tcBorders>
              <w:top w:val="nil"/>
              <w:left w:val="nil"/>
              <w:bottom w:val="single" w:sz="8" w:space="0" w:color="auto"/>
              <w:right w:val="single" w:sz="8" w:space="0" w:color="auto"/>
            </w:tcBorders>
            <w:shd w:val="clear" w:color="auto" w:fill="auto"/>
            <w:noWrap/>
            <w:vAlign w:val="center"/>
            <w:hideMark/>
          </w:tcPr>
          <w:p w14:paraId="13B41C58"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11,900</w:t>
            </w:r>
          </w:p>
        </w:tc>
        <w:tc>
          <w:tcPr>
            <w:tcW w:w="1170" w:type="dxa"/>
            <w:tcBorders>
              <w:top w:val="nil"/>
              <w:left w:val="nil"/>
              <w:bottom w:val="single" w:sz="8" w:space="0" w:color="auto"/>
              <w:right w:val="single" w:sz="8" w:space="0" w:color="auto"/>
            </w:tcBorders>
            <w:shd w:val="clear" w:color="auto" w:fill="auto"/>
            <w:noWrap/>
            <w:vAlign w:val="center"/>
            <w:hideMark/>
          </w:tcPr>
          <w:p w14:paraId="7FB0156F" w14:textId="77777777" w:rsidR="004E7E28" w:rsidRPr="00FC6195" w:rsidRDefault="004E7E28">
            <w:pPr>
              <w:jc w:val="center"/>
              <w:rPr>
                <w:rFonts w:eastAsia="Times New Roman"/>
                <w:color w:val="000000"/>
                <w:sz w:val="17"/>
                <w:szCs w:val="17"/>
              </w:rPr>
            </w:pPr>
            <w:r w:rsidRPr="00FC6195">
              <w:rPr>
                <w:rFonts w:eastAsia="Times New Roman"/>
                <w:color w:val="000000"/>
                <w:sz w:val="17"/>
                <w:szCs w:val="17"/>
              </w:rPr>
              <w:t>8,000</w:t>
            </w:r>
          </w:p>
        </w:tc>
        <w:tc>
          <w:tcPr>
            <w:tcW w:w="1080" w:type="dxa"/>
            <w:tcBorders>
              <w:top w:val="nil"/>
              <w:left w:val="nil"/>
              <w:bottom w:val="single" w:sz="8" w:space="0" w:color="auto"/>
              <w:right w:val="single" w:sz="8" w:space="0" w:color="auto"/>
            </w:tcBorders>
            <w:shd w:val="clear" w:color="auto" w:fill="auto"/>
            <w:noWrap/>
            <w:vAlign w:val="center"/>
            <w:hideMark/>
          </w:tcPr>
          <w:p w14:paraId="21334FBE" w14:textId="77777777" w:rsidR="004E7E28" w:rsidRPr="00FC6195" w:rsidRDefault="004E7E28">
            <w:pPr>
              <w:jc w:val="center"/>
              <w:rPr>
                <w:rFonts w:eastAsia="Times New Roman"/>
                <w:b/>
                <w:bCs/>
                <w:color w:val="000000"/>
                <w:sz w:val="17"/>
                <w:szCs w:val="17"/>
              </w:rPr>
            </w:pPr>
            <w:r w:rsidRPr="00FC6195">
              <w:rPr>
                <w:rFonts w:eastAsia="Times New Roman"/>
                <w:b/>
                <w:bCs/>
                <w:color w:val="000000"/>
                <w:sz w:val="17"/>
                <w:szCs w:val="17"/>
              </w:rPr>
              <w:t>51,900</w:t>
            </w:r>
          </w:p>
        </w:tc>
        <w:tc>
          <w:tcPr>
            <w:tcW w:w="900" w:type="dxa"/>
            <w:tcBorders>
              <w:top w:val="nil"/>
              <w:left w:val="nil"/>
              <w:bottom w:val="single" w:sz="8" w:space="0" w:color="auto"/>
              <w:right w:val="single" w:sz="8" w:space="0" w:color="auto"/>
            </w:tcBorders>
            <w:shd w:val="clear" w:color="auto" w:fill="auto"/>
            <w:vAlign w:val="center"/>
            <w:hideMark/>
          </w:tcPr>
          <w:p w14:paraId="4886EEC9" w14:textId="71D668A7" w:rsidR="004E7E28" w:rsidRPr="00FC6195" w:rsidRDefault="00824C89">
            <w:pPr>
              <w:jc w:val="center"/>
              <w:rPr>
                <w:rFonts w:eastAsia="Times New Roman"/>
                <w:i/>
                <w:iCs/>
                <w:color w:val="000000"/>
                <w:sz w:val="17"/>
                <w:szCs w:val="17"/>
              </w:rPr>
            </w:pPr>
            <w:r w:rsidRPr="00FC6195">
              <w:rPr>
                <w:rFonts w:eastAsia="Times New Roman"/>
                <w:i/>
                <w:iCs/>
                <w:color w:val="000000"/>
                <w:sz w:val="17"/>
                <w:szCs w:val="17"/>
              </w:rPr>
              <w:t>3</w:t>
            </w:r>
            <w:r w:rsidR="007132EE">
              <w:rPr>
                <w:rFonts w:eastAsia="Times New Roman"/>
                <w:i/>
                <w:iCs/>
                <w:color w:val="000000"/>
                <w:sz w:val="17"/>
                <w:szCs w:val="17"/>
              </w:rPr>
              <w:t>4</w:t>
            </w:r>
          </w:p>
        </w:tc>
      </w:tr>
      <w:tr w:rsidR="004453F4" w:rsidRPr="00FC6195" w14:paraId="49D13EBA" w14:textId="77777777" w:rsidTr="007132EE">
        <w:trPr>
          <w:trHeight w:val="340"/>
        </w:trPr>
        <w:tc>
          <w:tcPr>
            <w:tcW w:w="1181" w:type="dxa"/>
            <w:tcBorders>
              <w:top w:val="nil"/>
              <w:left w:val="single" w:sz="8" w:space="0" w:color="auto"/>
              <w:bottom w:val="nil"/>
              <w:right w:val="nil"/>
            </w:tcBorders>
            <w:shd w:val="clear" w:color="auto" w:fill="auto"/>
            <w:noWrap/>
            <w:vAlign w:val="center"/>
          </w:tcPr>
          <w:p w14:paraId="625E0800" w14:textId="77777777" w:rsidR="004453F4" w:rsidRPr="00FC6195" w:rsidRDefault="004453F4" w:rsidP="004453F4">
            <w:pPr>
              <w:rPr>
                <w:rFonts w:eastAsia="Times New Roman"/>
                <w:color w:val="000000"/>
                <w:sz w:val="17"/>
                <w:szCs w:val="17"/>
              </w:rPr>
            </w:pPr>
          </w:p>
        </w:tc>
        <w:tc>
          <w:tcPr>
            <w:tcW w:w="1149" w:type="dxa"/>
            <w:tcBorders>
              <w:top w:val="nil"/>
              <w:left w:val="single" w:sz="8" w:space="0" w:color="auto"/>
              <w:bottom w:val="nil"/>
              <w:right w:val="single" w:sz="8" w:space="0" w:color="auto"/>
            </w:tcBorders>
            <w:shd w:val="clear" w:color="auto" w:fill="auto"/>
            <w:vAlign w:val="center"/>
          </w:tcPr>
          <w:p w14:paraId="4C65DD6A" w14:textId="77777777" w:rsidR="004453F4" w:rsidRPr="00FC6195" w:rsidRDefault="004453F4" w:rsidP="004453F4">
            <w:pPr>
              <w:jc w:val="center"/>
              <w:rPr>
                <w:rFonts w:eastAsia="Times New Roman"/>
                <w:b/>
                <w:bCs/>
                <w:color w:val="000000"/>
                <w:sz w:val="17"/>
                <w:szCs w:val="17"/>
              </w:rPr>
            </w:pPr>
          </w:p>
        </w:tc>
        <w:tc>
          <w:tcPr>
            <w:tcW w:w="810" w:type="dxa"/>
            <w:tcBorders>
              <w:top w:val="nil"/>
              <w:left w:val="nil"/>
              <w:bottom w:val="nil"/>
              <w:right w:val="single" w:sz="8" w:space="0" w:color="auto"/>
            </w:tcBorders>
            <w:shd w:val="clear" w:color="auto" w:fill="auto"/>
            <w:vAlign w:val="center"/>
          </w:tcPr>
          <w:p w14:paraId="7AEBF72F" w14:textId="77777777" w:rsidR="004453F4" w:rsidRPr="00FC6195" w:rsidRDefault="004453F4" w:rsidP="004453F4">
            <w:pPr>
              <w:jc w:val="center"/>
              <w:rPr>
                <w:rFonts w:eastAsia="Times New Roman"/>
                <w:b/>
                <w:bCs/>
                <w:color w:val="000000"/>
                <w:sz w:val="17"/>
                <w:szCs w:val="17"/>
              </w:rPr>
            </w:pPr>
          </w:p>
        </w:tc>
        <w:tc>
          <w:tcPr>
            <w:tcW w:w="990" w:type="dxa"/>
            <w:tcBorders>
              <w:top w:val="nil"/>
              <w:left w:val="nil"/>
              <w:bottom w:val="nil"/>
              <w:right w:val="single" w:sz="8" w:space="0" w:color="auto"/>
            </w:tcBorders>
            <w:shd w:val="clear" w:color="auto" w:fill="auto"/>
            <w:vAlign w:val="center"/>
          </w:tcPr>
          <w:p w14:paraId="4976B172" w14:textId="77777777" w:rsidR="004453F4" w:rsidRPr="00FC6195" w:rsidRDefault="004453F4" w:rsidP="004453F4">
            <w:pPr>
              <w:jc w:val="both"/>
              <w:rPr>
                <w:rFonts w:eastAsia="Times New Roman"/>
                <w:b/>
                <w:bCs/>
                <w:color w:val="000000"/>
                <w:sz w:val="17"/>
                <w:szCs w:val="17"/>
              </w:rPr>
            </w:pPr>
          </w:p>
        </w:tc>
        <w:tc>
          <w:tcPr>
            <w:tcW w:w="990" w:type="dxa"/>
            <w:tcBorders>
              <w:top w:val="nil"/>
              <w:left w:val="nil"/>
              <w:bottom w:val="single" w:sz="8" w:space="0" w:color="auto"/>
              <w:right w:val="single" w:sz="8" w:space="0" w:color="auto"/>
            </w:tcBorders>
            <w:shd w:val="clear" w:color="auto" w:fill="auto"/>
            <w:noWrap/>
            <w:vAlign w:val="center"/>
          </w:tcPr>
          <w:p w14:paraId="6982477D" w14:textId="77777777" w:rsidR="004453F4" w:rsidRPr="00FC6195" w:rsidRDefault="004453F4" w:rsidP="004453F4">
            <w:pPr>
              <w:jc w:val="center"/>
              <w:rPr>
                <w:rFonts w:eastAsia="Times New Roman"/>
                <w:color w:val="000000"/>
                <w:sz w:val="17"/>
                <w:szCs w:val="17"/>
              </w:rPr>
            </w:pPr>
          </w:p>
        </w:tc>
        <w:tc>
          <w:tcPr>
            <w:tcW w:w="2070" w:type="dxa"/>
            <w:tcBorders>
              <w:top w:val="nil"/>
              <w:left w:val="nil"/>
              <w:bottom w:val="single" w:sz="8" w:space="0" w:color="auto"/>
              <w:right w:val="single" w:sz="8" w:space="0" w:color="auto"/>
            </w:tcBorders>
            <w:shd w:val="clear" w:color="auto" w:fill="auto"/>
            <w:noWrap/>
            <w:vAlign w:val="center"/>
          </w:tcPr>
          <w:p w14:paraId="45FD87E3" w14:textId="7B64786E" w:rsidR="004453F4" w:rsidRPr="00A93E5E" w:rsidRDefault="004453F4" w:rsidP="004453F4">
            <w:pPr>
              <w:rPr>
                <w:rFonts w:eastAsia="Times New Roman"/>
                <w:b/>
                <w:color w:val="000000"/>
                <w:sz w:val="17"/>
                <w:szCs w:val="17"/>
              </w:rPr>
            </w:pPr>
            <w:r w:rsidRPr="00A93E5E">
              <w:rPr>
                <w:rFonts w:eastAsia="Times New Roman"/>
                <w:b/>
                <w:color w:val="000000"/>
                <w:sz w:val="17"/>
                <w:szCs w:val="17"/>
              </w:rPr>
              <w:t xml:space="preserve">GEF PM total  </w:t>
            </w:r>
          </w:p>
        </w:tc>
        <w:tc>
          <w:tcPr>
            <w:tcW w:w="810" w:type="dxa"/>
            <w:tcBorders>
              <w:top w:val="nil"/>
              <w:left w:val="nil"/>
              <w:bottom w:val="single" w:sz="8" w:space="0" w:color="auto"/>
              <w:right w:val="single" w:sz="8" w:space="0" w:color="auto"/>
            </w:tcBorders>
            <w:shd w:val="clear" w:color="auto" w:fill="auto"/>
            <w:noWrap/>
            <w:vAlign w:val="center"/>
          </w:tcPr>
          <w:p w14:paraId="2A52E483" w14:textId="2B58AC7C" w:rsidR="004453F4" w:rsidRPr="00FC6195" w:rsidRDefault="004453F4" w:rsidP="004453F4">
            <w:pPr>
              <w:jc w:val="center"/>
              <w:rPr>
                <w:rFonts w:eastAsia="Times New Roman"/>
                <w:color w:val="000000"/>
                <w:sz w:val="17"/>
                <w:szCs w:val="17"/>
              </w:rPr>
            </w:pPr>
            <w:r w:rsidRPr="00FC6195">
              <w:rPr>
                <w:rFonts w:eastAsia="Times New Roman"/>
                <w:b/>
                <w:bCs/>
                <w:color w:val="000000"/>
                <w:sz w:val="17"/>
                <w:szCs w:val="17"/>
              </w:rPr>
              <w:t>35,100</w:t>
            </w:r>
          </w:p>
        </w:tc>
        <w:tc>
          <w:tcPr>
            <w:tcW w:w="1010" w:type="dxa"/>
            <w:tcBorders>
              <w:top w:val="nil"/>
              <w:left w:val="nil"/>
              <w:bottom w:val="single" w:sz="8" w:space="0" w:color="auto"/>
              <w:right w:val="single" w:sz="8" w:space="0" w:color="auto"/>
            </w:tcBorders>
            <w:shd w:val="clear" w:color="auto" w:fill="auto"/>
            <w:noWrap/>
            <w:vAlign w:val="center"/>
          </w:tcPr>
          <w:p w14:paraId="49152F49" w14:textId="03DDDD41" w:rsidR="004453F4" w:rsidRPr="00FC6195" w:rsidRDefault="004453F4" w:rsidP="004453F4">
            <w:pPr>
              <w:jc w:val="center"/>
              <w:rPr>
                <w:rFonts w:eastAsia="Times New Roman"/>
                <w:color w:val="000000"/>
                <w:sz w:val="17"/>
                <w:szCs w:val="17"/>
              </w:rPr>
            </w:pPr>
            <w:r w:rsidRPr="00FC6195">
              <w:rPr>
                <w:rFonts w:eastAsia="Times New Roman"/>
                <w:b/>
                <w:bCs/>
                <w:color w:val="000000"/>
                <w:sz w:val="17"/>
                <w:szCs w:val="17"/>
              </w:rPr>
              <w:t>44,500</w:t>
            </w:r>
          </w:p>
        </w:tc>
        <w:tc>
          <w:tcPr>
            <w:tcW w:w="970" w:type="dxa"/>
            <w:tcBorders>
              <w:top w:val="nil"/>
              <w:left w:val="nil"/>
              <w:bottom w:val="single" w:sz="8" w:space="0" w:color="auto"/>
              <w:right w:val="single" w:sz="8" w:space="0" w:color="auto"/>
            </w:tcBorders>
            <w:shd w:val="clear" w:color="auto" w:fill="auto"/>
            <w:noWrap/>
            <w:vAlign w:val="center"/>
          </w:tcPr>
          <w:p w14:paraId="4CC3D81D" w14:textId="717DAFAC" w:rsidR="004453F4" w:rsidRPr="00FC6195" w:rsidRDefault="004453F4" w:rsidP="004453F4">
            <w:pPr>
              <w:jc w:val="center"/>
              <w:rPr>
                <w:rFonts w:eastAsia="Times New Roman"/>
                <w:color w:val="000000"/>
                <w:sz w:val="17"/>
                <w:szCs w:val="17"/>
              </w:rPr>
            </w:pPr>
            <w:r w:rsidRPr="00FC6195">
              <w:rPr>
                <w:rFonts w:eastAsia="Times New Roman"/>
                <w:b/>
                <w:bCs/>
                <w:color w:val="000000"/>
                <w:sz w:val="17"/>
                <w:szCs w:val="17"/>
              </w:rPr>
              <w:t>45,000</w:t>
            </w:r>
          </w:p>
        </w:tc>
        <w:tc>
          <w:tcPr>
            <w:tcW w:w="1080" w:type="dxa"/>
            <w:tcBorders>
              <w:top w:val="nil"/>
              <w:left w:val="nil"/>
              <w:bottom w:val="single" w:sz="8" w:space="0" w:color="auto"/>
              <w:right w:val="single" w:sz="8" w:space="0" w:color="auto"/>
            </w:tcBorders>
            <w:shd w:val="clear" w:color="auto" w:fill="auto"/>
            <w:noWrap/>
            <w:vAlign w:val="center"/>
          </w:tcPr>
          <w:p w14:paraId="1046AD26" w14:textId="7DC94800" w:rsidR="004453F4" w:rsidRPr="00FC6195" w:rsidRDefault="004453F4" w:rsidP="004453F4">
            <w:pPr>
              <w:jc w:val="center"/>
              <w:rPr>
                <w:rFonts w:eastAsia="Times New Roman"/>
                <w:color w:val="000000"/>
                <w:sz w:val="17"/>
                <w:szCs w:val="17"/>
              </w:rPr>
            </w:pPr>
            <w:r w:rsidRPr="00FC6195">
              <w:rPr>
                <w:rFonts w:eastAsia="Times New Roman"/>
                <w:b/>
                <w:bCs/>
                <w:color w:val="000000"/>
                <w:sz w:val="17"/>
                <w:szCs w:val="17"/>
              </w:rPr>
              <w:t>44,400</w:t>
            </w:r>
          </w:p>
        </w:tc>
        <w:tc>
          <w:tcPr>
            <w:tcW w:w="1170" w:type="dxa"/>
            <w:tcBorders>
              <w:top w:val="nil"/>
              <w:left w:val="nil"/>
              <w:bottom w:val="single" w:sz="8" w:space="0" w:color="auto"/>
              <w:right w:val="single" w:sz="8" w:space="0" w:color="auto"/>
            </w:tcBorders>
            <w:shd w:val="clear" w:color="auto" w:fill="auto"/>
            <w:noWrap/>
            <w:vAlign w:val="center"/>
          </w:tcPr>
          <w:p w14:paraId="026D51C4" w14:textId="2DDC2535" w:rsidR="004453F4" w:rsidRPr="00FC6195" w:rsidRDefault="004453F4" w:rsidP="004453F4">
            <w:pPr>
              <w:jc w:val="center"/>
              <w:rPr>
                <w:rFonts w:eastAsia="Times New Roman"/>
                <w:color w:val="000000"/>
                <w:sz w:val="17"/>
                <w:szCs w:val="17"/>
              </w:rPr>
            </w:pPr>
            <w:r w:rsidRPr="00FC6195">
              <w:rPr>
                <w:rFonts w:eastAsia="Times New Roman"/>
                <w:b/>
                <w:bCs/>
                <w:color w:val="000000"/>
                <w:sz w:val="17"/>
                <w:szCs w:val="17"/>
              </w:rPr>
              <w:t>41,100</w:t>
            </w:r>
          </w:p>
        </w:tc>
        <w:tc>
          <w:tcPr>
            <w:tcW w:w="1080" w:type="dxa"/>
            <w:tcBorders>
              <w:top w:val="nil"/>
              <w:left w:val="nil"/>
              <w:bottom w:val="single" w:sz="8" w:space="0" w:color="auto"/>
              <w:right w:val="single" w:sz="8" w:space="0" w:color="auto"/>
            </w:tcBorders>
            <w:shd w:val="clear" w:color="auto" w:fill="auto"/>
            <w:noWrap/>
            <w:vAlign w:val="center"/>
          </w:tcPr>
          <w:p w14:paraId="36E68034" w14:textId="7103D3A3" w:rsidR="004453F4" w:rsidRPr="00FC6195" w:rsidRDefault="009C5892" w:rsidP="004453F4">
            <w:pPr>
              <w:jc w:val="center"/>
              <w:rPr>
                <w:rFonts w:eastAsia="Times New Roman"/>
                <w:b/>
                <w:bCs/>
                <w:color w:val="000000"/>
                <w:sz w:val="17"/>
                <w:szCs w:val="17"/>
              </w:rPr>
            </w:pPr>
            <w:r>
              <w:rPr>
                <w:rFonts w:eastAsia="Times New Roman"/>
                <w:b/>
                <w:bCs/>
                <w:color w:val="000000"/>
                <w:sz w:val="17"/>
                <w:szCs w:val="17"/>
              </w:rPr>
              <w:t>210,000</w:t>
            </w:r>
          </w:p>
        </w:tc>
        <w:tc>
          <w:tcPr>
            <w:tcW w:w="900" w:type="dxa"/>
            <w:tcBorders>
              <w:top w:val="nil"/>
              <w:left w:val="nil"/>
              <w:bottom w:val="single" w:sz="8" w:space="0" w:color="auto"/>
              <w:right w:val="single" w:sz="8" w:space="0" w:color="auto"/>
            </w:tcBorders>
            <w:shd w:val="clear" w:color="auto" w:fill="auto"/>
            <w:vAlign w:val="center"/>
          </w:tcPr>
          <w:p w14:paraId="43D126FB" w14:textId="77777777" w:rsidR="004453F4" w:rsidRPr="00FC6195" w:rsidRDefault="004453F4" w:rsidP="004453F4">
            <w:pPr>
              <w:jc w:val="center"/>
              <w:rPr>
                <w:rFonts w:eastAsia="Times New Roman"/>
                <w:i/>
                <w:iCs/>
                <w:color w:val="000000"/>
                <w:sz w:val="17"/>
                <w:szCs w:val="17"/>
              </w:rPr>
            </w:pPr>
          </w:p>
        </w:tc>
      </w:tr>
      <w:tr w:rsidR="004453F4" w:rsidRPr="00FC6195" w14:paraId="39E04AD4" w14:textId="77777777" w:rsidTr="0020128B">
        <w:trPr>
          <w:trHeight w:val="340"/>
        </w:trPr>
        <w:tc>
          <w:tcPr>
            <w:tcW w:w="1181" w:type="dxa"/>
            <w:tcBorders>
              <w:top w:val="nil"/>
              <w:left w:val="single" w:sz="8" w:space="0" w:color="auto"/>
              <w:bottom w:val="nil"/>
              <w:right w:val="nil"/>
            </w:tcBorders>
            <w:shd w:val="clear" w:color="auto" w:fill="auto"/>
            <w:noWrap/>
            <w:vAlign w:val="center"/>
          </w:tcPr>
          <w:p w14:paraId="4245E61F" w14:textId="77777777" w:rsidR="004453F4" w:rsidRPr="00FC6195" w:rsidRDefault="004453F4" w:rsidP="004453F4">
            <w:pPr>
              <w:rPr>
                <w:rFonts w:eastAsia="Times New Roman"/>
                <w:color w:val="000000"/>
                <w:sz w:val="17"/>
                <w:szCs w:val="17"/>
              </w:rPr>
            </w:pPr>
          </w:p>
        </w:tc>
        <w:tc>
          <w:tcPr>
            <w:tcW w:w="1149" w:type="dxa"/>
            <w:tcBorders>
              <w:top w:val="nil"/>
              <w:left w:val="single" w:sz="8" w:space="0" w:color="auto"/>
              <w:bottom w:val="nil"/>
              <w:right w:val="single" w:sz="8" w:space="0" w:color="auto"/>
            </w:tcBorders>
            <w:shd w:val="clear" w:color="auto" w:fill="auto"/>
            <w:vAlign w:val="center"/>
          </w:tcPr>
          <w:p w14:paraId="0E9A1951" w14:textId="77777777" w:rsidR="004453F4" w:rsidRPr="00FC6195" w:rsidRDefault="004453F4" w:rsidP="004453F4">
            <w:pPr>
              <w:jc w:val="center"/>
              <w:rPr>
                <w:rFonts w:eastAsia="Times New Roman"/>
                <w:b/>
                <w:bCs/>
                <w:color w:val="000000"/>
                <w:sz w:val="17"/>
                <w:szCs w:val="17"/>
              </w:rPr>
            </w:pPr>
          </w:p>
        </w:tc>
        <w:tc>
          <w:tcPr>
            <w:tcW w:w="810" w:type="dxa"/>
            <w:tcBorders>
              <w:top w:val="nil"/>
              <w:left w:val="nil"/>
              <w:bottom w:val="nil"/>
              <w:right w:val="single" w:sz="8" w:space="0" w:color="auto"/>
            </w:tcBorders>
            <w:shd w:val="clear" w:color="auto" w:fill="auto"/>
            <w:vAlign w:val="center"/>
          </w:tcPr>
          <w:p w14:paraId="48C9FB09" w14:textId="77777777" w:rsidR="004453F4" w:rsidRPr="00FC6195" w:rsidRDefault="004453F4" w:rsidP="004453F4">
            <w:pPr>
              <w:jc w:val="center"/>
              <w:rPr>
                <w:rFonts w:eastAsia="Times New Roman"/>
                <w:b/>
                <w:bCs/>
                <w:color w:val="000000"/>
                <w:sz w:val="17"/>
                <w:szCs w:val="17"/>
              </w:rPr>
            </w:pPr>
          </w:p>
        </w:tc>
        <w:tc>
          <w:tcPr>
            <w:tcW w:w="990" w:type="dxa"/>
            <w:tcBorders>
              <w:top w:val="nil"/>
              <w:left w:val="nil"/>
              <w:bottom w:val="nil"/>
              <w:right w:val="single" w:sz="8" w:space="0" w:color="auto"/>
            </w:tcBorders>
            <w:shd w:val="clear" w:color="auto" w:fill="auto"/>
            <w:vAlign w:val="center"/>
          </w:tcPr>
          <w:p w14:paraId="07B07478" w14:textId="77777777" w:rsidR="004453F4" w:rsidRPr="00FC6195" w:rsidRDefault="004453F4" w:rsidP="004453F4">
            <w:pPr>
              <w:jc w:val="both"/>
              <w:rPr>
                <w:rFonts w:eastAsia="Times New Roman"/>
                <w:b/>
                <w:bCs/>
                <w:color w:val="000000"/>
                <w:sz w:val="17"/>
                <w:szCs w:val="17"/>
              </w:rPr>
            </w:pPr>
          </w:p>
        </w:tc>
        <w:tc>
          <w:tcPr>
            <w:tcW w:w="990" w:type="dxa"/>
            <w:tcBorders>
              <w:top w:val="nil"/>
              <w:left w:val="nil"/>
              <w:bottom w:val="single" w:sz="8" w:space="0" w:color="auto"/>
              <w:right w:val="single" w:sz="8" w:space="0" w:color="auto"/>
            </w:tcBorders>
            <w:shd w:val="clear" w:color="auto" w:fill="auto"/>
            <w:noWrap/>
            <w:vAlign w:val="center"/>
          </w:tcPr>
          <w:p w14:paraId="1770DE29" w14:textId="738B5207" w:rsidR="004453F4" w:rsidRPr="009C5892" w:rsidRDefault="004453F4" w:rsidP="004453F4">
            <w:pPr>
              <w:jc w:val="center"/>
              <w:rPr>
                <w:rFonts w:asciiTheme="majorHAnsi" w:eastAsia="Times New Roman" w:hAnsiTheme="majorHAnsi"/>
                <w:color w:val="000000"/>
                <w:sz w:val="17"/>
                <w:szCs w:val="17"/>
              </w:rPr>
            </w:pPr>
            <w:r w:rsidRPr="009C5892">
              <w:rPr>
                <w:rFonts w:asciiTheme="majorHAnsi" w:eastAsia="Times New Roman" w:hAnsiTheme="majorHAnsi"/>
                <w:color w:val="000000"/>
                <w:sz w:val="17"/>
                <w:szCs w:val="17"/>
              </w:rPr>
              <w:t>72100</w:t>
            </w:r>
          </w:p>
        </w:tc>
        <w:tc>
          <w:tcPr>
            <w:tcW w:w="2070" w:type="dxa"/>
            <w:tcBorders>
              <w:top w:val="nil"/>
              <w:left w:val="nil"/>
              <w:bottom w:val="single" w:sz="8" w:space="0" w:color="auto"/>
              <w:right w:val="single" w:sz="8" w:space="0" w:color="auto"/>
            </w:tcBorders>
            <w:shd w:val="clear" w:color="auto" w:fill="auto"/>
            <w:noWrap/>
            <w:vAlign w:val="center"/>
          </w:tcPr>
          <w:p w14:paraId="60079812" w14:textId="42D6CCC8" w:rsidR="004453F4" w:rsidRPr="009C5892" w:rsidRDefault="004453F4" w:rsidP="008149C0">
            <w:pPr>
              <w:rPr>
                <w:rFonts w:asciiTheme="majorHAnsi" w:hAnsiTheme="majorHAnsi"/>
                <w:sz w:val="17"/>
                <w:szCs w:val="17"/>
              </w:rPr>
            </w:pPr>
            <w:r w:rsidRPr="009C5892">
              <w:rPr>
                <w:rFonts w:asciiTheme="majorHAnsi" w:hAnsiTheme="majorHAnsi"/>
                <w:sz w:val="17"/>
                <w:szCs w:val="17"/>
              </w:rPr>
              <w:t>Contractual Services</w:t>
            </w:r>
          </w:p>
        </w:tc>
        <w:tc>
          <w:tcPr>
            <w:tcW w:w="810" w:type="dxa"/>
            <w:tcBorders>
              <w:top w:val="nil"/>
              <w:left w:val="nil"/>
              <w:bottom w:val="single" w:sz="8" w:space="0" w:color="auto"/>
              <w:right w:val="single" w:sz="8" w:space="0" w:color="auto"/>
            </w:tcBorders>
            <w:shd w:val="clear" w:color="auto" w:fill="auto"/>
            <w:noWrap/>
            <w:vAlign w:val="center"/>
          </w:tcPr>
          <w:p w14:paraId="1E61C7D4" w14:textId="297A4B70" w:rsidR="004453F4" w:rsidRPr="009C5892" w:rsidRDefault="00186A86" w:rsidP="004453F4">
            <w:pPr>
              <w:jc w:val="center"/>
              <w:rPr>
                <w:rFonts w:asciiTheme="majorHAnsi" w:eastAsia="Times New Roman" w:hAnsiTheme="majorHAnsi"/>
                <w:color w:val="000000"/>
                <w:sz w:val="17"/>
                <w:szCs w:val="17"/>
              </w:rPr>
            </w:pPr>
            <w:r>
              <w:rPr>
                <w:rFonts w:asciiTheme="majorHAnsi" w:eastAsia="Times New Roman" w:hAnsiTheme="majorHAnsi"/>
                <w:color w:val="000000"/>
                <w:sz w:val="17"/>
                <w:szCs w:val="17"/>
              </w:rPr>
              <w:t>4,</w:t>
            </w:r>
            <w:r w:rsidR="004453F4" w:rsidRPr="009C5892">
              <w:rPr>
                <w:rFonts w:asciiTheme="majorHAnsi" w:eastAsia="Times New Roman" w:hAnsiTheme="majorHAnsi"/>
                <w:color w:val="000000"/>
                <w:sz w:val="17"/>
                <w:szCs w:val="17"/>
              </w:rPr>
              <w:t>500</w:t>
            </w:r>
          </w:p>
        </w:tc>
        <w:tc>
          <w:tcPr>
            <w:tcW w:w="1010" w:type="dxa"/>
            <w:tcBorders>
              <w:top w:val="nil"/>
              <w:left w:val="nil"/>
              <w:bottom w:val="single" w:sz="8" w:space="0" w:color="auto"/>
              <w:right w:val="single" w:sz="8" w:space="0" w:color="auto"/>
            </w:tcBorders>
            <w:shd w:val="clear" w:color="auto" w:fill="auto"/>
            <w:noWrap/>
            <w:vAlign w:val="center"/>
          </w:tcPr>
          <w:p w14:paraId="283BC8F7" w14:textId="453E0E80" w:rsidR="004453F4" w:rsidRPr="009C5892" w:rsidRDefault="004453F4" w:rsidP="004453F4">
            <w:pPr>
              <w:jc w:val="center"/>
              <w:rPr>
                <w:rFonts w:asciiTheme="majorHAnsi" w:eastAsia="Times New Roman" w:hAnsiTheme="majorHAnsi"/>
                <w:color w:val="000000"/>
                <w:sz w:val="17"/>
                <w:szCs w:val="17"/>
              </w:rPr>
            </w:pPr>
            <w:r w:rsidRPr="009C5892">
              <w:rPr>
                <w:rFonts w:asciiTheme="majorHAnsi" w:eastAsia="Times New Roman" w:hAnsiTheme="majorHAnsi"/>
                <w:color w:val="000000"/>
                <w:sz w:val="17"/>
                <w:szCs w:val="17"/>
              </w:rPr>
              <w:t>5</w:t>
            </w:r>
            <w:r w:rsidR="00186A86">
              <w:rPr>
                <w:rFonts w:asciiTheme="majorHAnsi" w:eastAsia="Times New Roman" w:hAnsiTheme="majorHAnsi"/>
                <w:color w:val="000000"/>
                <w:sz w:val="17"/>
                <w:szCs w:val="17"/>
              </w:rPr>
              <w:t>,</w:t>
            </w:r>
            <w:r w:rsidRPr="009C5892">
              <w:rPr>
                <w:rFonts w:asciiTheme="majorHAnsi" w:eastAsia="Times New Roman" w:hAnsiTheme="majorHAnsi"/>
                <w:color w:val="000000"/>
                <w:sz w:val="17"/>
                <w:szCs w:val="17"/>
              </w:rPr>
              <w:t>000</w:t>
            </w:r>
          </w:p>
        </w:tc>
        <w:tc>
          <w:tcPr>
            <w:tcW w:w="970" w:type="dxa"/>
            <w:tcBorders>
              <w:top w:val="nil"/>
              <w:left w:val="nil"/>
              <w:bottom w:val="single" w:sz="8" w:space="0" w:color="auto"/>
              <w:right w:val="single" w:sz="8" w:space="0" w:color="auto"/>
            </w:tcBorders>
            <w:shd w:val="clear" w:color="auto" w:fill="auto"/>
            <w:noWrap/>
          </w:tcPr>
          <w:p w14:paraId="18996102" w14:textId="74EFA068" w:rsidR="004453F4" w:rsidRPr="009C5892" w:rsidRDefault="00186A86" w:rsidP="004453F4">
            <w:pPr>
              <w:jc w:val="center"/>
              <w:rPr>
                <w:rFonts w:asciiTheme="majorHAnsi" w:eastAsia="Times New Roman" w:hAnsiTheme="majorHAnsi"/>
                <w:color w:val="000000"/>
                <w:sz w:val="17"/>
                <w:szCs w:val="17"/>
              </w:rPr>
            </w:pPr>
            <w:r>
              <w:rPr>
                <w:rFonts w:asciiTheme="majorHAnsi" w:hAnsiTheme="majorHAnsi"/>
                <w:sz w:val="17"/>
                <w:szCs w:val="17"/>
              </w:rPr>
              <w:t>5,</w:t>
            </w:r>
            <w:r w:rsidR="004453F4" w:rsidRPr="009C5892">
              <w:rPr>
                <w:rFonts w:asciiTheme="majorHAnsi" w:hAnsiTheme="majorHAnsi"/>
                <w:sz w:val="17"/>
                <w:szCs w:val="17"/>
              </w:rPr>
              <w:t>000</w:t>
            </w:r>
          </w:p>
        </w:tc>
        <w:tc>
          <w:tcPr>
            <w:tcW w:w="1080" w:type="dxa"/>
            <w:tcBorders>
              <w:top w:val="nil"/>
              <w:left w:val="nil"/>
              <w:bottom w:val="single" w:sz="8" w:space="0" w:color="auto"/>
              <w:right w:val="single" w:sz="8" w:space="0" w:color="auto"/>
            </w:tcBorders>
            <w:shd w:val="clear" w:color="auto" w:fill="auto"/>
            <w:noWrap/>
          </w:tcPr>
          <w:p w14:paraId="4F2B42D2" w14:textId="6B13FF68" w:rsidR="004453F4" w:rsidRPr="009C5892" w:rsidRDefault="00186A86" w:rsidP="004453F4">
            <w:pPr>
              <w:jc w:val="center"/>
              <w:rPr>
                <w:rFonts w:asciiTheme="majorHAnsi" w:eastAsia="Times New Roman" w:hAnsiTheme="majorHAnsi"/>
                <w:color w:val="000000"/>
                <w:sz w:val="17"/>
                <w:szCs w:val="17"/>
              </w:rPr>
            </w:pPr>
            <w:r>
              <w:rPr>
                <w:rFonts w:asciiTheme="majorHAnsi" w:hAnsiTheme="majorHAnsi"/>
                <w:sz w:val="17"/>
                <w:szCs w:val="17"/>
              </w:rPr>
              <w:t>5,</w:t>
            </w:r>
            <w:r w:rsidR="004453F4" w:rsidRPr="009C5892">
              <w:rPr>
                <w:rFonts w:asciiTheme="majorHAnsi" w:hAnsiTheme="majorHAnsi"/>
                <w:sz w:val="17"/>
                <w:szCs w:val="17"/>
              </w:rPr>
              <w:t>000</w:t>
            </w:r>
          </w:p>
        </w:tc>
        <w:tc>
          <w:tcPr>
            <w:tcW w:w="1170" w:type="dxa"/>
            <w:tcBorders>
              <w:top w:val="nil"/>
              <w:left w:val="nil"/>
              <w:bottom w:val="single" w:sz="8" w:space="0" w:color="auto"/>
              <w:right w:val="single" w:sz="8" w:space="0" w:color="auto"/>
            </w:tcBorders>
            <w:shd w:val="clear" w:color="auto" w:fill="auto"/>
            <w:noWrap/>
          </w:tcPr>
          <w:p w14:paraId="49AF5BDD" w14:textId="536E4742" w:rsidR="004453F4" w:rsidRPr="009C5892" w:rsidRDefault="00186A86" w:rsidP="004453F4">
            <w:pPr>
              <w:jc w:val="center"/>
              <w:rPr>
                <w:rFonts w:asciiTheme="majorHAnsi" w:eastAsia="Times New Roman" w:hAnsiTheme="majorHAnsi"/>
                <w:color w:val="000000"/>
                <w:sz w:val="17"/>
                <w:szCs w:val="17"/>
              </w:rPr>
            </w:pPr>
            <w:r>
              <w:rPr>
                <w:rFonts w:asciiTheme="majorHAnsi" w:hAnsiTheme="majorHAnsi"/>
                <w:sz w:val="17"/>
                <w:szCs w:val="17"/>
              </w:rPr>
              <w:t>4,</w:t>
            </w:r>
            <w:r w:rsidR="004453F4" w:rsidRPr="009C5892">
              <w:rPr>
                <w:rFonts w:asciiTheme="majorHAnsi" w:hAnsiTheme="majorHAnsi"/>
                <w:sz w:val="17"/>
                <w:szCs w:val="17"/>
              </w:rPr>
              <w:t>500</w:t>
            </w:r>
          </w:p>
        </w:tc>
        <w:tc>
          <w:tcPr>
            <w:tcW w:w="1080" w:type="dxa"/>
            <w:tcBorders>
              <w:top w:val="nil"/>
              <w:left w:val="nil"/>
              <w:bottom w:val="single" w:sz="8" w:space="0" w:color="auto"/>
              <w:right w:val="single" w:sz="8" w:space="0" w:color="auto"/>
            </w:tcBorders>
            <w:shd w:val="clear" w:color="auto" w:fill="auto"/>
            <w:noWrap/>
            <w:vAlign w:val="center"/>
          </w:tcPr>
          <w:p w14:paraId="67640480" w14:textId="17F7BB7B" w:rsidR="004453F4" w:rsidRPr="009C5892" w:rsidRDefault="00186A86" w:rsidP="004453F4">
            <w:pPr>
              <w:jc w:val="center"/>
              <w:rPr>
                <w:rFonts w:eastAsia="Times New Roman"/>
                <w:b/>
                <w:bCs/>
                <w:color w:val="000000"/>
                <w:sz w:val="17"/>
                <w:szCs w:val="17"/>
              </w:rPr>
            </w:pPr>
            <w:r>
              <w:rPr>
                <w:rFonts w:eastAsia="Times New Roman"/>
                <w:b/>
                <w:bCs/>
                <w:color w:val="000000"/>
                <w:sz w:val="17"/>
                <w:szCs w:val="17"/>
              </w:rPr>
              <w:t>24,</w:t>
            </w:r>
            <w:r w:rsidR="004453F4" w:rsidRPr="009C5892">
              <w:rPr>
                <w:rFonts w:eastAsia="Times New Roman"/>
                <w:b/>
                <w:bCs/>
                <w:color w:val="000000"/>
                <w:sz w:val="17"/>
                <w:szCs w:val="17"/>
              </w:rPr>
              <w:t>000</w:t>
            </w:r>
          </w:p>
        </w:tc>
        <w:tc>
          <w:tcPr>
            <w:tcW w:w="900" w:type="dxa"/>
            <w:tcBorders>
              <w:top w:val="nil"/>
              <w:left w:val="nil"/>
              <w:bottom w:val="single" w:sz="8" w:space="0" w:color="auto"/>
              <w:right w:val="single" w:sz="8" w:space="0" w:color="auto"/>
            </w:tcBorders>
            <w:shd w:val="clear" w:color="auto" w:fill="auto"/>
            <w:vAlign w:val="center"/>
          </w:tcPr>
          <w:p w14:paraId="030D8CD4" w14:textId="0C9D2B62" w:rsidR="004453F4" w:rsidRPr="009C5892" w:rsidRDefault="00362DEB" w:rsidP="004453F4">
            <w:pPr>
              <w:jc w:val="center"/>
              <w:rPr>
                <w:rFonts w:eastAsia="Times New Roman"/>
                <w:i/>
                <w:iCs/>
                <w:color w:val="000000"/>
                <w:sz w:val="17"/>
                <w:szCs w:val="17"/>
              </w:rPr>
            </w:pPr>
            <w:r w:rsidRPr="009C5892">
              <w:rPr>
                <w:rFonts w:eastAsia="Times New Roman"/>
                <w:i/>
                <w:iCs/>
                <w:color w:val="000000"/>
                <w:sz w:val="17"/>
                <w:szCs w:val="17"/>
              </w:rPr>
              <w:t>35</w:t>
            </w:r>
          </w:p>
        </w:tc>
      </w:tr>
      <w:tr w:rsidR="004453F4" w:rsidRPr="00FC6195" w14:paraId="7126304A" w14:textId="77777777" w:rsidTr="0020128B">
        <w:trPr>
          <w:trHeight w:val="340"/>
        </w:trPr>
        <w:tc>
          <w:tcPr>
            <w:tcW w:w="1181" w:type="dxa"/>
            <w:tcBorders>
              <w:top w:val="nil"/>
              <w:left w:val="single" w:sz="8" w:space="0" w:color="auto"/>
              <w:bottom w:val="nil"/>
              <w:right w:val="nil"/>
            </w:tcBorders>
            <w:shd w:val="clear" w:color="auto" w:fill="auto"/>
            <w:noWrap/>
            <w:vAlign w:val="center"/>
          </w:tcPr>
          <w:p w14:paraId="0E6F1A7F" w14:textId="77777777" w:rsidR="004453F4" w:rsidRPr="00FC6195" w:rsidRDefault="004453F4" w:rsidP="004453F4">
            <w:pPr>
              <w:rPr>
                <w:rFonts w:eastAsia="Times New Roman"/>
                <w:color w:val="000000"/>
                <w:sz w:val="17"/>
                <w:szCs w:val="17"/>
              </w:rPr>
            </w:pPr>
          </w:p>
        </w:tc>
        <w:tc>
          <w:tcPr>
            <w:tcW w:w="1149" w:type="dxa"/>
            <w:tcBorders>
              <w:top w:val="nil"/>
              <w:left w:val="single" w:sz="8" w:space="0" w:color="auto"/>
              <w:bottom w:val="nil"/>
              <w:right w:val="single" w:sz="8" w:space="0" w:color="auto"/>
            </w:tcBorders>
            <w:shd w:val="clear" w:color="auto" w:fill="auto"/>
            <w:vAlign w:val="center"/>
          </w:tcPr>
          <w:p w14:paraId="57583F4B" w14:textId="77777777" w:rsidR="004453F4" w:rsidRPr="00FC6195" w:rsidRDefault="004453F4" w:rsidP="004453F4">
            <w:pPr>
              <w:jc w:val="center"/>
              <w:rPr>
                <w:rFonts w:eastAsia="Times New Roman"/>
                <w:b/>
                <w:bCs/>
                <w:color w:val="000000"/>
                <w:sz w:val="17"/>
                <w:szCs w:val="17"/>
              </w:rPr>
            </w:pPr>
          </w:p>
        </w:tc>
        <w:tc>
          <w:tcPr>
            <w:tcW w:w="810" w:type="dxa"/>
            <w:tcBorders>
              <w:top w:val="nil"/>
              <w:left w:val="nil"/>
              <w:bottom w:val="nil"/>
              <w:right w:val="single" w:sz="8" w:space="0" w:color="auto"/>
            </w:tcBorders>
            <w:shd w:val="clear" w:color="auto" w:fill="auto"/>
            <w:vAlign w:val="center"/>
          </w:tcPr>
          <w:p w14:paraId="6F81132F" w14:textId="77777777" w:rsidR="004453F4" w:rsidRPr="00FC6195" w:rsidRDefault="004453F4" w:rsidP="004453F4">
            <w:pPr>
              <w:jc w:val="center"/>
              <w:rPr>
                <w:rFonts w:eastAsia="Times New Roman"/>
                <w:b/>
                <w:bCs/>
                <w:color w:val="000000"/>
                <w:sz w:val="17"/>
                <w:szCs w:val="17"/>
              </w:rPr>
            </w:pPr>
          </w:p>
        </w:tc>
        <w:tc>
          <w:tcPr>
            <w:tcW w:w="990" w:type="dxa"/>
            <w:tcBorders>
              <w:top w:val="nil"/>
              <w:left w:val="nil"/>
              <w:bottom w:val="nil"/>
              <w:right w:val="single" w:sz="8" w:space="0" w:color="auto"/>
            </w:tcBorders>
            <w:shd w:val="clear" w:color="auto" w:fill="auto"/>
            <w:vAlign w:val="center"/>
          </w:tcPr>
          <w:p w14:paraId="45C9E457" w14:textId="77777777" w:rsidR="004453F4" w:rsidRPr="00FC6195" w:rsidRDefault="004453F4" w:rsidP="004453F4">
            <w:pPr>
              <w:jc w:val="both"/>
              <w:rPr>
                <w:rFonts w:eastAsia="Times New Roman"/>
                <w:b/>
                <w:bCs/>
                <w:color w:val="000000"/>
                <w:sz w:val="17"/>
                <w:szCs w:val="17"/>
              </w:rPr>
            </w:pPr>
          </w:p>
        </w:tc>
        <w:tc>
          <w:tcPr>
            <w:tcW w:w="990" w:type="dxa"/>
            <w:tcBorders>
              <w:top w:val="nil"/>
              <w:left w:val="nil"/>
              <w:bottom w:val="single" w:sz="8" w:space="0" w:color="auto"/>
              <w:right w:val="single" w:sz="8" w:space="0" w:color="auto"/>
            </w:tcBorders>
            <w:shd w:val="clear" w:color="auto" w:fill="auto"/>
            <w:noWrap/>
            <w:vAlign w:val="center"/>
          </w:tcPr>
          <w:p w14:paraId="6D49B798" w14:textId="371ABC00" w:rsidR="004453F4" w:rsidRPr="009C5892" w:rsidRDefault="004453F4" w:rsidP="004453F4">
            <w:pPr>
              <w:jc w:val="center"/>
              <w:rPr>
                <w:rFonts w:asciiTheme="majorHAnsi" w:eastAsia="Times New Roman" w:hAnsiTheme="majorHAnsi"/>
                <w:color w:val="000000"/>
                <w:sz w:val="17"/>
                <w:szCs w:val="17"/>
              </w:rPr>
            </w:pPr>
            <w:r w:rsidRPr="009C5892">
              <w:rPr>
                <w:rFonts w:asciiTheme="majorHAnsi" w:hAnsiTheme="majorHAnsi"/>
                <w:sz w:val="17"/>
                <w:szCs w:val="17"/>
              </w:rPr>
              <w:t>71600</w:t>
            </w:r>
          </w:p>
        </w:tc>
        <w:tc>
          <w:tcPr>
            <w:tcW w:w="2070" w:type="dxa"/>
            <w:tcBorders>
              <w:top w:val="nil"/>
              <w:left w:val="nil"/>
              <w:bottom w:val="single" w:sz="8" w:space="0" w:color="auto"/>
              <w:right w:val="single" w:sz="8" w:space="0" w:color="auto"/>
            </w:tcBorders>
            <w:shd w:val="clear" w:color="auto" w:fill="auto"/>
            <w:noWrap/>
            <w:vAlign w:val="center"/>
          </w:tcPr>
          <w:p w14:paraId="401521D4" w14:textId="10808020" w:rsidR="004453F4" w:rsidRPr="009C5892" w:rsidRDefault="004453F4" w:rsidP="008149C0">
            <w:pPr>
              <w:rPr>
                <w:rFonts w:asciiTheme="majorHAnsi" w:eastAsia="Times New Roman" w:hAnsiTheme="majorHAnsi"/>
                <w:color w:val="000000"/>
                <w:sz w:val="17"/>
                <w:szCs w:val="17"/>
              </w:rPr>
            </w:pPr>
            <w:r w:rsidRPr="009C5892">
              <w:rPr>
                <w:rFonts w:asciiTheme="majorHAnsi" w:hAnsiTheme="majorHAnsi"/>
                <w:sz w:val="17"/>
                <w:szCs w:val="17"/>
              </w:rPr>
              <w:t>Travel</w:t>
            </w:r>
          </w:p>
        </w:tc>
        <w:tc>
          <w:tcPr>
            <w:tcW w:w="810" w:type="dxa"/>
            <w:tcBorders>
              <w:top w:val="nil"/>
              <w:left w:val="nil"/>
              <w:bottom w:val="single" w:sz="8" w:space="0" w:color="auto"/>
              <w:right w:val="single" w:sz="8" w:space="0" w:color="auto"/>
            </w:tcBorders>
            <w:shd w:val="clear" w:color="auto" w:fill="auto"/>
            <w:noWrap/>
            <w:vAlign w:val="center"/>
          </w:tcPr>
          <w:p w14:paraId="05BF932B" w14:textId="0B6D4DF5" w:rsidR="004453F4" w:rsidRPr="009C5892" w:rsidRDefault="00186A86" w:rsidP="004453F4">
            <w:pPr>
              <w:jc w:val="center"/>
              <w:rPr>
                <w:rFonts w:asciiTheme="majorHAnsi" w:eastAsia="Times New Roman" w:hAnsiTheme="majorHAnsi"/>
                <w:color w:val="000000"/>
                <w:sz w:val="17"/>
                <w:szCs w:val="17"/>
              </w:rPr>
            </w:pPr>
            <w:r>
              <w:rPr>
                <w:rFonts w:asciiTheme="majorHAnsi" w:eastAsia="Times New Roman" w:hAnsiTheme="majorHAnsi"/>
                <w:color w:val="000000"/>
                <w:sz w:val="17"/>
                <w:szCs w:val="17"/>
              </w:rPr>
              <w:t>5,</w:t>
            </w:r>
            <w:r w:rsidR="004453F4" w:rsidRPr="009C5892">
              <w:rPr>
                <w:rFonts w:asciiTheme="majorHAnsi" w:eastAsia="Times New Roman" w:hAnsiTheme="majorHAnsi"/>
                <w:color w:val="000000"/>
                <w:sz w:val="17"/>
                <w:szCs w:val="17"/>
              </w:rPr>
              <w:t>000</w:t>
            </w:r>
          </w:p>
        </w:tc>
        <w:tc>
          <w:tcPr>
            <w:tcW w:w="1010" w:type="dxa"/>
            <w:tcBorders>
              <w:top w:val="nil"/>
              <w:left w:val="nil"/>
              <w:bottom w:val="single" w:sz="8" w:space="0" w:color="auto"/>
              <w:right w:val="single" w:sz="8" w:space="0" w:color="auto"/>
            </w:tcBorders>
            <w:shd w:val="clear" w:color="auto" w:fill="auto"/>
            <w:noWrap/>
            <w:vAlign w:val="center"/>
          </w:tcPr>
          <w:p w14:paraId="217D813C" w14:textId="72385C20" w:rsidR="004453F4" w:rsidRPr="009C5892" w:rsidRDefault="00186A86" w:rsidP="004453F4">
            <w:pPr>
              <w:jc w:val="center"/>
              <w:rPr>
                <w:rFonts w:asciiTheme="majorHAnsi" w:eastAsia="Times New Roman" w:hAnsiTheme="majorHAnsi"/>
                <w:color w:val="000000"/>
                <w:sz w:val="17"/>
                <w:szCs w:val="17"/>
              </w:rPr>
            </w:pPr>
            <w:r>
              <w:rPr>
                <w:rFonts w:asciiTheme="majorHAnsi" w:eastAsia="Times New Roman" w:hAnsiTheme="majorHAnsi"/>
                <w:color w:val="000000"/>
                <w:sz w:val="17"/>
                <w:szCs w:val="17"/>
              </w:rPr>
              <w:t>7,</w:t>
            </w:r>
            <w:r w:rsidR="004453F4" w:rsidRPr="009C5892">
              <w:rPr>
                <w:rFonts w:asciiTheme="majorHAnsi" w:eastAsia="Times New Roman" w:hAnsiTheme="majorHAnsi"/>
                <w:color w:val="000000"/>
                <w:sz w:val="17"/>
                <w:szCs w:val="17"/>
              </w:rPr>
              <w:t>000</w:t>
            </w:r>
          </w:p>
        </w:tc>
        <w:tc>
          <w:tcPr>
            <w:tcW w:w="970" w:type="dxa"/>
            <w:tcBorders>
              <w:top w:val="nil"/>
              <w:left w:val="nil"/>
              <w:bottom w:val="single" w:sz="8" w:space="0" w:color="auto"/>
              <w:right w:val="single" w:sz="8" w:space="0" w:color="auto"/>
            </w:tcBorders>
            <w:shd w:val="clear" w:color="auto" w:fill="auto"/>
            <w:noWrap/>
          </w:tcPr>
          <w:p w14:paraId="66D39F81" w14:textId="4FFC1BB0" w:rsidR="004453F4" w:rsidRPr="009C5892" w:rsidRDefault="00186A86" w:rsidP="004453F4">
            <w:pPr>
              <w:jc w:val="center"/>
              <w:rPr>
                <w:rFonts w:asciiTheme="majorHAnsi" w:eastAsia="Times New Roman" w:hAnsiTheme="majorHAnsi"/>
                <w:color w:val="000000"/>
                <w:sz w:val="17"/>
                <w:szCs w:val="17"/>
              </w:rPr>
            </w:pPr>
            <w:r>
              <w:rPr>
                <w:rFonts w:asciiTheme="majorHAnsi" w:hAnsiTheme="majorHAnsi"/>
                <w:sz w:val="17"/>
                <w:szCs w:val="17"/>
              </w:rPr>
              <w:t>7,</w:t>
            </w:r>
            <w:r w:rsidR="004453F4" w:rsidRPr="009C5892">
              <w:rPr>
                <w:rFonts w:asciiTheme="majorHAnsi" w:hAnsiTheme="majorHAnsi"/>
                <w:sz w:val="17"/>
                <w:szCs w:val="17"/>
              </w:rPr>
              <w:t>000</w:t>
            </w:r>
          </w:p>
        </w:tc>
        <w:tc>
          <w:tcPr>
            <w:tcW w:w="1080" w:type="dxa"/>
            <w:tcBorders>
              <w:top w:val="nil"/>
              <w:left w:val="nil"/>
              <w:bottom w:val="single" w:sz="8" w:space="0" w:color="auto"/>
              <w:right w:val="single" w:sz="8" w:space="0" w:color="auto"/>
            </w:tcBorders>
            <w:shd w:val="clear" w:color="auto" w:fill="auto"/>
            <w:noWrap/>
          </w:tcPr>
          <w:p w14:paraId="5F9B075B" w14:textId="29CE3C03" w:rsidR="004453F4" w:rsidRPr="009C5892" w:rsidRDefault="00186A86" w:rsidP="004453F4">
            <w:pPr>
              <w:jc w:val="center"/>
              <w:rPr>
                <w:rFonts w:asciiTheme="majorHAnsi" w:eastAsia="Times New Roman" w:hAnsiTheme="majorHAnsi"/>
                <w:color w:val="000000"/>
                <w:sz w:val="17"/>
                <w:szCs w:val="17"/>
              </w:rPr>
            </w:pPr>
            <w:r>
              <w:rPr>
                <w:rFonts w:asciiTheme="majorHAnsi" w:hAnsiTheme="majorHAnsi"/>
                <w:sz w:val="17"/>
                <w:szCs w:val="17"/>
              </w:rPr>
              <w:t>7,</w:t>
            </w:r>
            <w:r w:rsidR="004453F4" w:rsidRPr="009C5892">
              <w:rPr>
                <w:rFonts w:asciiTheme="majorHAnsi" w:hAnsiTheme="majorHAnsi"/>
                <w:sz w:val="17"/>
                <w:szCs w:val="17"/>
              </w:rPr>
              <w:t>000</w:t>
            </w:r>
          </w:p>
        </w:tc>
        <w:tc>
          <w:tcPr>
            <w:tcW w:w="1170" w:type="dxa"/>
            <w:tcBorders>
              <w:top w:val="nil"/>
              <w:left w:val="nil"/>
              <w:bottom w:val="single" w:sz="8" w:space="0" w:color="auto"/>
              <w:right w:val="single" w:sz="8" w:space="0" w:color="auto"/>
            </w:tcBorders>
            <w:shd w:val="clear" w:color="auto" w:fill="auto"/>
            <w:noWrap/>
          </w:tcPr>
          <w:p w14:paraId="597612B0" w14:textId="203CE860" w:rsidR="004453F4" w:rsidRPr="009C5892" w:rsidRDefault="00186A86" w:rsidP="004453F4">
            <w:pPr>
              <w:jc w:val="center"/>
              <w:rPr>
                <w:rFonts w:asciiTheme="majorHAnsi" w:eastAsia="Times New Roman" w:hAnsiTheme="majorHAnsi"/>
                <w:color w:val="000000"/>
                <w:sz w:val="17"/>
                <w:szCs w:val="17"/>
              </w:rPr>
            </w:pPr>
            <w:r>
              <w:rPr>
                <w:rFonts w:asciiTheme="majorHAnsi" w:hAnsiTheme="majorHAnsi"/>
                <w:sz w:val="17"/>
                <w:szCs w:val="17"/>
              </w:rPr>
              <w:t>4,</w:t>
            </w:r>
            <w:r w:rsidR="004453F4" w:rsidRPr="009C5892">
              <w:rPr>
                <w:rFonts w:asciiTheme="majorHAnsi" w:hAnsiTheme="majorHAnsi"/>
                <w:sz w:val="17"/>
                <w:szCs w:val="17"/>
              </w:rPr>
              <w:t>000</w:t>
            </w:r>
          </w:p>
        </w:tc>
        <w:tc>
          <w:tcPr>
            <w:tcW w:w="1080" w:type="dxa"/>
            <w:tcBorders>
              <w:top w:val="nil"/>
              <w:left w:val="nil"/>
              <w:bottom w:val="single" w:sz="8" w:space="0" w:color="auto"/>
              <w:right w:val="single" w:sz="8" w:space="0" w:color="auto"/>
            </w:tcBorders>
            <w:shd w:val="clear" w:color="auto" w:fill="auto"/>
            <w:noWrap/>
            <w:vAlign w:val="center"/>
          </w:tcPr>
          <w:p w14:paraId="21B7C19B" w14:textId="43BCDEC7" w:rsidR="004453F4" w:rsidRPr="009C5892" w:rsidRDefault="00186A86" w:rsidP="004453F4">
            <w:pPr>
              <w:jc w:val="center"/>
              <w:rPr>
                <w:rFonts w:eastAsia="Times New Roman"/>
                <w:b/>
                <w:bCs/>
                <w:color w:val="000000"/>
                <w:sz w:val="17"/>
                <w:szCs w:val="17"/>
              </w:rPr>
            </w:pPr>
            <w:r>
              <w:rPr>
                <w:rFonts w:eastAsia="Times New Roman"/>
                <w:b/>
                <w:bCs/>
                <w:color w:val="000000"/>
                <w:sz w:val="17"/>
                <w:szCs w:val="17"/>
              </w:rPr>
              <w:t>30,</w:t>
            </w:r>
            <w:r w:rsidR="004453F4" w:rsidRPr="009C5892">
              <w:rPr>
                <w:rFonts w:eastAsia="Times New Roman"/>
                <w:b/>
                <w:bCs/>
                <w:color w:val="000000"/>
                <w:sz w:val="17"/>
                <w:szCs w:val="17"/>
              </w:rPr>
              <w:t>000</w:t>
            </w:r>
          </w:p>
        </w:tc>
        <w:tc>
          <w:tcPr>
            <w:tcW w:w="900" w:type="dxa"/>
            <w:tcBorders>
              <w:top w:val="nil"/>
              <w:left w:val="nil"/>
              <w:bottom w:val="single" w:sz="8" w:space="0" w:color="auto"/>
              <w:right w:val="single" w:sz="8" w:space="0" w:color="auto"/>
            </w:tcBorders>
            <w:shd w:val="clear" w:color="auto" w:fill="auto"/>
            <w:vAlign w:val="center"/>
          </w:tcPr>
          <w:p w14:paraId="218B1EB8" w14:textId="4048F5D7" w:rsidR="004453F4" w:rsidRPr="009C5892" w:rsidRDefault="00362DEB" w:rsidP="004453F4">
            <w:pPr>
              <w:jc w:val="center"/>
              <w:rPr>
                <w:rFonts w:eastAsia="Times New Roman"/>
                <w:i/>
                <w:iCs/>
                <w:color w:val="000000"/>
                <w:sz w:val="17"/>
                <w:szCs w:val="17"/>
              </w:rPr>
            </w:pPr>
            <w:r w:rsidRPr="009C5892">
              <w:rPr>
                <w:rFonts w:eastAsia="Times New Roman"/>
                <w:i/>
                <w:iCs/>
                <w:color w:val="000000"/>
                <w:sz w:val="17"/>
                <w:szCs w:val="17"/>
              </w:rPr>
              <w:t>36</w:t>
            </w:r>
          </w:p>
        </w:tc>
      </w:tr>
      <w:tr w:rsidR="004453F4" w:rsidRPr="00FC6195" w14:paraId="64ABFDC5" w14:textId="77777777" w:rsidTr="0020128B">
        <w:trPr>
          <w:trHeight w:val="340"/>
        </w:trPr>
        <w:tc>
          <w:tcPr>
            <w:tcW w:w="1181" w:type="dxa"/>
            <w:tcBorders>
              <w:top w:val="nil"/>
              <w:left w:val="single" w:sz="8" w:space="0" w:color="auto"/>
              <w:bottom w:val="nil"/>
              <w:right w:val="nil"/>
            </w:tcBorders>
            <w:shd w:val="clear" w:color="auto" w:fill="auto"/>
            <w:noWrap/>
            <w:vAlign w:val="center"/>
          </w:tcPr>
          <w:p w14:paraId="027C0AF6" w14:textId="77777777" w:rsidR="004453F4" w:rsidRPr="00FC6195" w:rsidRDefault="004453F4" w:rsidP="004453F4">
            <w:pPr>
              <w:rPr>
                <w:rFonts w:eastAsia="Times New Roman"/>
                <w:color w:val="000000"/>
                <w:sz w:val="17"/>
                <w:szCs w:val="17"/>
              </w:rPr>
            </w:pPr>
          </w:p>
        </w:tc>
        <w:tc>
          <w:tcPr>
            <w:tcW w:w="1149" w:type="dxa"/>
            <w:tcBorders>
              <w:top w:val="nil"/>
              <w:left w:val="single" w:sz="8" w:space="0" w:color="auto"/>
              <w:bottom w:val="nil"/>
              <w:right w:val="single" w:sz="8" w:space="0" w:color="auto"/>
            </w:tcBorders>
            <w:shd w:val="clear" w:color="auto" w:fill="auto"/>
            <w:vAlign w:val="center"/>
          </w:tcPr>
          <w:p w14:paraId="6BBD2700" w14:textId="77777777" w:rsidR="004453F4" w:rsidRPr="00FC6195" w:rsidRDefault="004453F4" w:rsidP="004453F4">
            <w:pPr>
              <w:jc w:val="center"/>
              <w:rPr>
                <w:rFonts w:eastAsia="Times New Roman"/>
                <w:b/>
                <w:bCs/>
                <w:color w:val="000000"/>
                <w:sz w:val="17"/>
                <w:szCs w:val="17"/>
              </w:rPr>
            </w:pPr>
          </w:p>
        </w:tc>
        <w:tc>
          <w:tcPr>
            <w:tcW w:w="810" w:type="dxa"/>
            <w:tcBorders>
              <w:top w:val="nil"/>
              <w:left w:val="nil"/>
              <w:bottom w:val="nil"/>
              <w:right w:val="single" w:sz="8" w:space="0" w:color="auto"/>
            </w:tcBorders>
            <w:shd w:val="clear" w:color="auto" w:fill="auto"/>
            <w:vAlign w:val="center"/>
          </w:tcPr>
          <w:p w14:paraId="528E2E93" w14:textId="77777777" w:rsidR="004453F4" w:rsidRPr="00FC6195" w:rsidRDefault="004453F4" w:rsidP="004453F4">
            <w:pPr>
              <w:jc w:val="center"/>
              <w:rPr>
                <w:rFonts w:eastAsia="Times New Roman"/>
                <w:b/>
                <w:bCs/>
                <w:color w:val="000000"/>
                <w:sz w:val="17"/>
                <w:szCs w:val="17"/>
              </w:rPr>
            </w:pPr>
          </w:p>
        </w:tc>
        <w:tc>
          <w:tcPr>
            <w:tcW w:w="990" w:type="dxa"/>
            <w:tcBorders>
              <w:top w:val="nil"/>
              <w:left w:val="nil"/>
              <w:bottom w:val="nil"/>
              <w:right w:val="single" w:sz="8" w:space="0" w:color="auto"/>
            </w:tcBorders>
            <w:shd w:val="clear" w:color="auto" w:fill="auto"/>
            <w:vAlign w:val="center"/>
          </w:tcPr>
          <w:p w14:paraId="339DACD2" w14:textId="77777777" w:rsidR="004453F4" w:rsidRPr="00FC6195" w:rsidRDefault="004453F4" w:rsidP="004453F4">
            <w:pPr>
              <w:jc w:val="both"/>
              <w:rPr>
                <w:rFonts w:eastAsia="Times New Roman"/>
                <w:b/>
                <w:bCs/>
                <w:color w:val="000000"/>
                <w:sz w:val="17"/>
                <w:szCs w:val="17"/>
              </w:rPr>
            </w:pPr>
          </w:p>
        </w:tc>
        <w:tc>
          <w:tcPr>
            <w:tcW w:w="990" w:type="dxa"/>
            <w:tcBorders>
              <w:top w:val="nil"/>
              <w:left w:val="nil"/>
              <w:bottom w:val="single" w:sz="8" w:space="0" w:color="auto"/>
              <w:right w:val="single" w:sz="8" w:space="0" w:color="auto"/>
            </w:tcBorders>
            <w:shd w:val="clear" w:color="auto" w:fill="auto"/>
            <w:noWrap/>
            <w:vAlign w:val="center"/>
          </w:tcPr>
          <w:p w14:paraId="42FBD1F3" w14:textId="374B4E17" w:rsidR="004453F4" w:rsidRPr="009C5892" w:rsidRDefault="004453F4" w:rsidP="004453F4">
            <w:pPr>
              <w:jc w:val="center"/>
              <w:rPr>
                <w:rFonts w:asciiTheme="majorHAnsi" w:hAnsiTheme="majorHAnsi"/>
                <w:sz w:val="17"/>
                <w:szCs w:val="17"/>
              </w:rPr>
            </w:pPr>
            <w:r w:rsidRPr="009C5892">
              <w:rPr>
                <w:rFonts w:asciiTheme="majorHAnsi" w:hAnsiTheme="majorHAnsi"/>
                <w:sz w:val="17"/>
                <w:szCs w:val="17"/>
              </w:rPr>
              <w:t>72200</w:t>
            </w:r>
          </w:p>
        </w:tc>
        <w:tc>
          <w:tcPr>
            <w:tcW w:w="2070" w:type="dxa"/>
            <w:tcBorders>
              <w:top w:val="nil"/>
              <w:left w:val="nil"/>
              <w:bottom w:val="single" w:sz="8" w:space="0" w:color="auto"/>
              <w:right w:val="single" w:sz="8" w:space="0" w:color="auto"/>
            </w:tcBorders>
            <w:shd w:val="clear" w:color="auto" w:fill="auto"/>
            <w:noWrap/>
            <w:vAlign w:val="center"/>
          </w:tcPr>
          <w:p w14:paraId="51B23310" w14:textId="465A9E6C" w:rsidR="004453F4" w:rsidRPr="009C5892" w:rsidRDefault="004453F4" w:rsidP="008149C0">
            <w:pPr>
              <w:rPr>
                <w:rFonts w:asciiTheme="majorHAnsi" w:hAnsiTheme="majorHAnsi"/>
                <w:sz w:val="17"/>
                <w:szCs w:val="17"/>
              </w:rPr>
            </w:pPr>
            <w:r w:rsidRPr="009C5892">
              <w:rPr>
                <w:rFonts w:asciiTheme="majorHAnsi" w:hAnsiTheme="majorHAnsi"/>
                <w:sz w:val="17"/>
                <w:szCs w:val="17"/>
              </w:rPr>
              <w:t>Equipment and Furniture</w:t>
            </w:r>
          </w:p>
        </w:tc>
        <w:tc>
          <w:tcPr>
            <w:tcW w:w="810" w:type="dxa"/>
            <w:tcBorders>
              <w:top w:val="nil"/>
              <w:left w:val="nil"/>
              <w:bottom w:val="single" w:sz="8" w:space="0" w:color="auto"/>
              <w:right w:val="single" w:sz="8" w:space="0" w:color="auto"/>
            </w:tcBorders>
            <w:shd w:val="clear" w:color="auto" w:fill="auto"/>
            <w:noWrap/>
            <w:vAlign w:val="center"/>
          </w:tcPr>
          <w:p w14:paraId="3C5DDA35" w14:textId="2A641998" w:rsidR="004453F4" w:rsidRPr="009C5892" w:rsidRDefault="004453F4" w:rsidP="004453F4">
            <w:pPr>
              <w:jc w:val="center"/>
              <w:rPr>
                <w:rFonts w:asciiTheme="majorHAnsi" w:eastAsia="Times New Roman" w:hAnsiTheme="majorHAnsi"/>
                <w:color w:val="000000"/>
                <w:sz w:val="17"/>
                <w:szCs w:val="17"/>
              </w:rPr>
            </w:pPr>
            <w:r w:rsidRPr="009C5892">
              <w:rPr>
                <w:rFonts w:asciiTheme="majorHAnsi" w:eastAsia="Times New Roman" w:hAnsiTheme="majorHAnsi"/>
                <w:color w:val="000000"/>
                <w:sz w:val="17"/>
                <w:szCs w:val="17"/>
              </w:rPr>
              <w:t>0</w:t>
            </w:r>
          </w:p>
        </w:tc>
        <w:tc>
          <w:tcPr>
            <w:tcW w:w="1010" w:type="dxa"/>
            <w:tcBorders>
              <w:top w:val="nil"/>
              <w:left w:val="nil"/>
              <w:bottom w:val="single" w:sz="8" w:space="0" w:color="auto"/>
              <w:right w:val="single" w:sz="8" w:space="0" w:color="auto"/>
            </w:tcBorders>
            <w:shd w:val="clear" w:color="auto" w:fill="auto"/>
            <w:noWrap/>
            <w:vAlign w:val="center"/>
          </w:tcPr>
          <w:p w14:paraId="77890495" w14:textId="34ADCDD6" w:rsidR="004453F4" w:rsidRPr="009C5892" w:rsidRDefault="00186A86" w:rsidP="004453F4">
            <w:pPr>
              <w:jc w:val="center"/>
              <w:rPr>
                <w:rFonts w:asciiTheme="majorHAnsi" w:eastAsia="Times New Roman" w:hAnsiTheme="majorHAnsi"/>
                <w:color w:val="000000"/>
                <w:sz w:val="17"/>
                <w:szCs w:val="17"/>
              </w:rPr>
            </w:pPr>
            <w:r>
              <w:rPr>
                <w:rFonts w:asciiTheme="majorHAnsi" w:eastAsia="Times New Roman" w:hAnsiTheme="majorHAnsi"/>
                <w:color w:val="000000"/>
                <w:sz w:val="17"/>
                <w:szCs w:val="17"/>
              </w:rPr>
              <w:t>5,</w:t>
            </w:r>
            <w:r w:rsidR="004453F4" w:rsidRPr="009C5892">
              <w:rPr>
                <w:rFonts w:asciiTheme="majorHAnsi" w:eastAsia="Times New Roman" w:hAnsiTheme="majorHAnsi"/>
                <w:color w:val="000000"/>
                <w:sz w:val="17"/>
                <w:szCs w:val="17"/>
              </w:rPr>
              <w:t>000</w:t>
            </w:r>
          </w:p>
        </w:tc>
        <w:tc>
          <w:tcPr>
            <w:tcW w:w="970" w:type="dxa"/>
            <w:tcBorders>
              <w:top w:val="nil"/>
              <w:left w:val="nil"/>
              <w:bottom w:val="single" w:sz="8" w:space="0" w:color="auto"/>
              <w:right w:val="single" w:sz="8" w:space="0" w:color="auto"/>
            </w:tcBorders>
            <w:shd w:val="clear" w:color="auto" w:fill="auto"/>
            <w:noWrap/>
          </w:tcPr>
          <w:p w14:paraId="5E81C675" w14:textId="3FFCFF0C" w:rsidR="004453F4" w:rsidRPr="009C5892" w:rsidRDefault="004453F4" w:rsidP="004453F4">
            <w:pPr>
              <w:jc w:val="center"/>
              <w:rPr>
                <w:rFonts w:asciiTheme="majorHAnsi" w:eastAsia="Times New Roman" w:hAnsiTheme="majorHAnsi"/>
                <w:color w:val="000000"/>
                <w:sz w:val="17"/>
                <w:szCs w:val="17"/>
              </w:rPr>
            </w:pPr>
            <w:r w:rsidRPr="009C5892">
              <w:rPr>
                <w:rFonts w:asciiTheme="majorHAnsi" w:eastAsia="Times New Roman" w:hAnsiTheme="majorHAnsi"/>
                <w:color w:val="000000"/>
                <w:sz w:val="17"/>
                <w:szCs w:val="17"/>
              </w:rPr>
              <w:t>0</w:t>
            </w:r>
          </w:p>
        </w:tc>
        <w:tc>
          <w:tcPr>
            <w:tcW w:w="1080" w:type="dxa"/>
            <w:tcBorders>
              <w:top w:val="nil"/>
              <w:left w:val="nil"/>
              <w:bottom w:val="single" w:sz="8" w:space="0" w:color="auto"/>
              <w:right w:val="single" w:sz="8" w:space="0" w:color="auto"/>
            </w:tcBorders>
            <w:shd w:val="clear" w:color="auto" w:fill="auto"/>
            <w:noWrap/>
          </w:tcPr>
          <w:p w14:paraId="33A759EF" w14:textId="69B50DCF" w:rsidR="004453F4" w:rsidRPr="009C5892" w:rsidRDefault="004453F4" w:rsidP="004453F4">
            <w:pPr>
              <w:jc w:val="center"/>
              <w:rPr>
                <w:rFonts w:asciiTheme="majorHAnsi" w:eastAsia="Times New Roman" w:hAnsiTheme="majorHAnsi"/>
                <w:color w:val="000000"/>
                <w:sz w:val="17"/>
                <w:szCs w:val="17"/>
              </w:rPr>
            </w:pPr>
            <w:r w:rsidRPr="009C5892">
              <w:rPr>
                <w:rFonts w:asciiTheme="majorHAnsi" w:hAnsiTheme="majorHAnsi"/>
                <w:sz w:val="17"/>
                <w:szCs w:val="17"/>
              </w:rPr>
              <w:t>0</w:t>
            </w:r>
          </w:p>
        </w:tc>
        <w:tc>
          <w:tcPr>
            <w:tcW w:w="1170" w:type="dxa"/>
            <w:tcBorders>
              <w:top w:val="nil"/>
              <w:left w:val="nil"/>
              <w:bottom w:val="single" w:sz="8" w:space="0" w:color="auto"/>
              <w:right w:val="single" w:sz="8" w:space="0" w:color="auto"/>
            </w:tcBorders>
            <w:shd w:val="clear" w:color="auto" w:fill="auto"/>
            <w:noWrap/>
          </w:tcPr>
          <w:p w14:paraId="36320116" w14:textId="0D386B9E" w:rsidR="004453F4" w:rsidRPr="009C5892" w:rsidRDefault="004453F4" w:rsidP="004453F4">
            <w:pPr>
              <w:jc w:val="center"/>
              <w:rPr>
                <w:rFonts w:asciiTheme="majorHAnsi" w:eastAsia="Times New Roman" w:hAnsiTheme="majorHAnsi"/>
                <w:color w:val="000000"/>
                <w:sz w:val="17"/>
                <w:szCs w:val="17"/>
              </w:rPr>
            </w:pPr>
            <w:r w:rsidRPr="009C5892">
              <w:rPr>
                <w:rFonts w:asciiTheme="majorHAnsi" w:hAnsiTheme="majorHAnsi"/>
                <w:sz w:val="17"/>
                <w:szCs w:val="17"/>
              </w:rPr>
              <w:t>0</w:t>
            </w:r>
          </w:p>
        </w:tc>
        <w:tc>
          <w:tcPr>
            <w:tcW w:w="1080" w:type="dxa"/>
            <w:tcBorders>
              <w:top w:val="nil"/>
              <w:left w:val="nil"/>
              <w:bottom w:val="single" w:sz="8" w:space="0" w:color="auto"/>
              <w:right w:val="single" w:sz="8" w:space="0" w:color="auto"/>
            </w:tcBorders>
            <w:shd w:val="clear" w:color="auto" w:fill="auto"/>
            <w:noWrap/>
            <w:vAlign w:val="center"/>
          </w:tcPr>
          <w:p w14:paraId="37608BF9" w14:textId="3649D890" w:rsidR="004453F4" w:rsidRPr="009C5892" w:rsidRDefault="00186A86" w:rsidP="004453F4">
            <w:pPr>
              <w:jc w:val="center"/>
              <w:rPr>
                <w:rFonts w:eastAsia="Times New Roman"/>
                <w:b/>
                <w:bCs/>
                <w:color w:val="000000"/>
                <w:sz w:val="17"/>
                <w:szCs w:val="17"/>
              </w:rPr>
            </w:pPr>
            <w:r>
              <w:rPr>
                <w:rFonts w:eastAsia="Times New Roman"/>
                <w:b/>
                <w:bCs/>
                <w:color w:val="000000"/>
                <w:sz w:val="17"/>
                <w:szCs w:val="17"/>
              </w:rPr>
              <w:t>5,</w:t>
            </w:r>
            <w:r w:rsidR="004453F4" w:rsidRPr="009C5892">
              <w:rPr>
                <w:rFonts w:eastAsia="Times New Roman"/>
                <w:b/>
                <w:bCs/>
                <w:color w:val="000000"/>
                <w:sz w:val="17"/>
                <w:szCs w:val="17"/>
              </w:rPr>
              <w:t>000</w:t>
            </w:r>
          </w:p>
        </w:tc>
        <w:tc>
          <w:tcPr>
            <w:tcW w:w="900" w:type="dxa"/>
            <w:tcBorders>
              <w:top w:val="nil"/>
              <w:left w:val="nil"/>
              <w:bottom w:val="single" w:sz="8" w:space="0" w:color="auto"/>
              <w:right w:val="single" w:sz="8" w:space="0" w:color="auto"/>
            </w:tcBorders>
            <w:shd w:val="clear" w:color="auto" w:fill="auto"/>
            <w:vAlign w:val="center"/>
          </w:tcPr>
          <w:p w14:paraId="0DE6A747" w14:textId="7E97E28E" w:rsidR="004453F4" w:rsidRPr="009C5892" w:rsidRDefault="00362DEB" w:rsidP="004453F4">
            <w:pPr>
              <w:jc w:val="center"/>
              <w:rPr>
                <w:rFonts w:eastAsia="Times New Roman"/>
                <w:i/>
                <w:iCs/>
                <w:color w:val="000000"/>
                <w:sz w:val="17"/>
                <w:szCs w:val="17"/>
              </w:rPr>
            </w:pPr>
            <w:r w:rsidRPr="009C5892">
              <w:rPr>
                <w:rFonts w:eastAsia="Times New Roman"/>
                <w:i/>
                <w:iCs/>
                <w:color w:val="000000"/>
                <w:sz w:val="17"/>
                <w:szCs w:val="17"/>
              </w:rPr>
              <w:t>37</w:t>
            </w:r>
          </w:p>
        </w:tc>
      </w:tr>
      <w:tr w:rsidR="004453F4" w:rsidRPr="00FC6195" w14:paraId="0ED290A4" w14:textId="77777777" w:rsidTr="0020128B">
        <w:trPr>
          <w:trHeight w:val="340"/>
        </w:trPr>
        <w:tc>
          <w:tcPr>
            <w:tcW w:w="1181" w:type="dxa"/>
            <w:tcBorders>
              <w:top w:val="nil"/>
              <w:left w:val="single" w:sz="8" w:space="0" w:color="auto"/>
              <w:bottom w:val="nil"/>
              <w:right w:val="nil"/>
            </w:tcBorders>
            <w:shd w:val="clear" w:color="auto" w:fill="auto"/>
            <w:noWrap/>
            <w:vAlign w:val="center"/>
          </w:tcPr>
          <w:p w14:paraId="294B5705" w14:textId="77777777" w:rsidR="004453F4" w:rsidRPr="00FC6195" w:rsidRDefault="004453F4" w:rsidP="004453F4">
            <w:pPr>
              <w:rPr>
                <w:rFonts w:eastAsia="Times New Roman"/>
                <w:color w:val="000000"/>
                <w:sz w:val="17"/>
                <w:szCs w:val="17"/>
              </w:rPr>
            </w:pPr>
          </w:p>
        </w:tc>
        <w:tc>
          <w:tcPr>
            <w:tcW w:w="1149" w:type="dxa"/>
            <w:tcBorders>
              <w:top w:val="nil"/>
              <w:left w:val="single" w:sz="8" w:space="0" w:color="auto"/>
              <w:bottom w:val="nil"/>
              <w:right w:val="single" w:sz="8" w:space="0" w:color="auto"/>
            </w:tcBorders>
            <w:shd w:val="clear" w:color="auto" w:fill="auto"/>
            <w:vAlign w:val="center"/>
          </w:tcPr>
          <w:p w14:paraId="4A562957" w14:textId="77777777" w:rsidR="004453F4" w:rsidRPr="00FC6195" w:rsidRDefault="004453F4" w:rsidP="004453F4">
            <w:pPr>
              <w:jc w:val="center"/>
              <w:rPr>
                <w:rFonts w:eastAsia="Times New Roman"/>
                <w:b/>
                <w:bCs/>
                <w:color w:val="000000"/>
                <w:sz w:val="17"/>
                <w:szCs w:val="17"/>
              </w:rPr>
            </w:pPr>
          </w:p>
        </w:tc>
        <w:tc>
          <w:tcPr>
            <w:tcW w:w="810" w:type="dxa"/>
            <w:tcBorders>
              <w:top w:val="nil"/>
              <w:left w:val="nil"/>
              <w:bottom w:val="nil"/>
              <w:right w:val="single" w:sz="8" w:space="0" w:color="auto"/>
            </w:tcBorders>
            <w:shd w:val="clear" w:color="auto" w:fill="auto"/>
            <w:vAlign w:val="center"/>
          </w:tcPr>
          <w:p w14:paraId="667CD63B" w14:textId="77777777" w:rsidR="004453F4" w:rsidRPr="00FC6195" w:rsidRDefault="004453F4" w:rsidP="004453F4">
            <w:pPr>
              <w:jc w:val="center"/>
              <w:rPr>
                <w:rFonts w:eastAsia="Times New Roman"/>
                <w:b/>
                <w:bCs/>
                <w:color w:val="000000"/>
                <w:sz w:val="17"/>
                <w:szCs w:val="17"/>
              </w:rPr>
            </w:pPr>
          </w:p>
        </w:tc>
        <w:tc>
          <w:tcPr>
            <w:tcW w:w="990" w:type="dxa"/>
            <w:tcBorders>
              <w:top w:val="nil"/>
              <w:left w:val="nil"/>
              <w:bottom w:val="nil"/>
              <w:right w:val="single" w:sz="8" w:space="0" w:color="auto"/>
            </w:tcBorders>
            <w:shd w:val="clear" w:color="auto" w:fill="auto"/>
            <w:vAlign w:val="center"/>
          </w:tcPr>
          <w:p w14:paraId="5E33774A" w14:textId="77777777" w:rsidR="004453F4" w:rsidRPr="00FC6195" w:rsidRDefault="004453F4" w:rsidP="004453F4">
            <w:pPr>
              <w:jc w:val="both"/>
              <w:rPr>
                <w:rFonts w:eastAsia="Times New Roman"/>
                <w:b/>
                <w:bCs/>
                <w:color w:val="000000"/>
                <w:sz w:val="17"/>
                <w:szCs w:val="17"/>
              </w:rPr>
            </w:pPr>
          </w:p>
        </w:tc>
        <w:tc>
          <w:tcPr>
            <w:tcW w:w="990" w:type="dxa"/>
            <w:tcBorders>
              <w:top w:val="nil"/>
              <w:left w:val="nil"/>
              <w:bottom w:val="single" w:sz="8" w:space="0" w:color="auto"/>
              <w:right w:val="single" w:sz="8" w:space="0" w:color="auto"/>
            </w:tcBorders>
            <w:shd w:val="clear" w:color="auto" w:fill="auto"/>
            <w:noWrap/>
            <w:vAlign w:val="center"/>
          </w:tcPr>
          <w:p w14:paraId="77743443" w14:textId="6F34B067" w:rsidR="004453F4" w:rsidRPr="009C5892" w:rsidRDefault="004453F4" w:rsidP="004453F4">
            <w:pPr>
              <w:jc w:val="center"/>
              <w:rPr>
                <w:rFonts w:asciiTheme="majorHAnsi" w:hAnsiTheme="majorHAnsi"/>
                <w:sz w:val="17"/>
                <w:szCs w:val="17"/>
              </w:rPr>
            </w:pPr>
            <w:r w:rsidRPr="009C5892">
              <w:rPr>
                <w:rFonts w:asciiTheme="majorHAnsi" w:hAnsiTheme="majorHAnsi"/>
                <w:sz w:val="17"/>
                <w:szCs w:val="17"/>
              </w:rPr>
              <w:t>72400</w:t>
            </w:r>
          </w:p>
        </w:tc>
        <w:tc>
          <w:tcPr>
            <w:tcW w:w="2070" w:type="dxa"/>
            <w:tcBorders>
              <w:top w:val="nil"/>
              <w:left w:val="nil"/>
              <w:bottom w:val="single" w:sz="8" w:space="0" w:color="auto"/>
              <w:right w:val="single" w:sz="8" w:space="0" w:color="auto"/>
            </w:tcBorders>
            <w:shd w:val="clear" w:color="auto" w:fill="auto"/>
            <w:noWrap/>
            <w:vAlign w:val="center"/>
          </w:tcPr>
          <w:p w14:paraId="4005DB23" w14:textId="536057D4" w:rsidR="004453F4" w:rsidRPr="009C5892" w:rsidRDefault="004453F4" w:rsidP="008149C0">
            <w:pPr>
              <w:rPr>
                <w:rFonts w:asciiTheme="majorHAnsi" w:hAnsiTheme="majorHAnsi"/>
                <w:sz w:val="17"/>
                <w:szCs w:val="17"/>
              </w:rPr>
            </w:pPr>
            <w:r w:rsidRPr="009C5892">
              <w:rPr>
                <w:rFonts w:asciiTheme="majorHAnsi" w:hAnsiTheme="majorHAnsi"/>
                <w:sz w:val="17"/>
                <w:szCs w:val="17"/>
              </w:rPr>
              <w:t>Communications</w:t>
            </w:r>
          </w:p>
        </w:tc>
        <w:tc>
          <w:tcPr>
            <w:tcW w:w="810" w:type="dxa"/>
            <w:tcBorders>
              <w:top w:val="nil"/>
              <w:left w:val="nil"/>
              <w:bottom w:val="single" w:sz="8" w:space="0" w:color="auto"/>
              <w:right w:val="single" w:sz="8" w:space="0" w:color="auto"/>
            </w:tcBorders>
            <w:shd w:val="clear" w:color="auto" w:fill="auto"/>
            <w:noWrap/>
            <w:vAlign w:val="center"/>
          </w:tcPr>
          <w:p w14:paraId="3BB49DAA" w14:textId="4AA71284" w:rsidR="004453F4" w:rsidRPr="009C5892" w:rsidRDefault="004453F4" w:rsidP="004453F4">
            <w:pPr>
              <w:jc w:val="center"/>
              <w:rPr>
                <w:rFonts w:asciiTheme="majorHAnsi" w:eastAsia="Times New Roman" w:hAnsiTheme="majorHAnsi"/>
                <w:color w:val="000000"/>
                <w:sz w:val="17"/>
                <w:szCs w:val="17"/>
              </w:rPr>
            </w:pPr>
            <w:r w:rsidRPr="009C5892">
              <w:rPr>
                <w:rFonts w:asciiTheme="majorHAnsi" w:eastAsia="Times New Roman" w:hAnsiTheme="majorHAnsi"/>
                <w:color w:val="000000"/>
                <w:sz w:val="17"/>
                <w:szCs w:val="17"/>
              </w:rPr>
              <w:t>0</w:t>
            </w:r>
          </w:p>
        </w:tc>
        <w:tc>
          <w:tcPr>
            <w:tcW w:w="1010" w:type="dxa"/>
            <w:tcBorders>
              <w:top w:val="nil"/>
              <w:left w:val="nil"/>
              <w:bottom w:val="single" w:sz="8" w:space="0" w:color="auto"/>
              <w:right w:val="single" w:sz="8" w:space="0" w:color="auto"/>
            </w:tcBorders>
            <w:shd w:val="clear" w:color="auto" w:fill="auto"/>
            <w:noWrap/>
            <w:vAlign w:val="center"/>
          </w:tcPr>
          <w:p w14:paraId="1B115555" w14:textId="741B49B0" w:rsidR="004453F4" w:rsidRPr="009C5892" w:rsidRDefault="00186A86" w:rsidP="004453F4">
            <w:pPr>
              <w:jc w:val="center"/>
              <w:rPr>
                <w:rFonts w:asciiTheme="majorHAnsi" w:eastAsia="Times New Roman" w:hAnsiTheme="majorHAnsi"/>
                <w:color w:val="000000"/>
                <w:sz w:val="17"/>
                <w:szCs w:val="17"/>
              </w:rPr>
            </w:pPr>
            <w:r>
              <w:rPr>
                <w:rFonts w:asciiTheme="majorHAnsi" w:eastAsia="Times New Roman" w:hAnsiTheme="majorHAnsi"/>
                <w:color w:val="000000"/>
                <w:sz w:val="17"/>
                <w:szCs w:val="17"/>
              </w:rPr>
              <w:t>1,</w:t>
            </w:r>
            <w:r w:rsidR="004453F4" w:rsidRPr="009C5892">
              <w:rPr>
                <w:rFonts w:asciiTheme="majorHAnsi" w:eastAsia="Times New Roman" w:hAnsiTheme="majorHAnsi"/>
                <w:color w:val="000000"/>
                <w:sz w:val="17"/>
                <w:szCs w:val="17"/>
              </w:rPr>
              <w:t>000</w:t>
            </w:r>
          </w:p>
        </w:tc>
        <w:tc>
          <w:tcPr>
            <w:tcW w:w="970" w:type="dxa"/>
            <w:tcBorders>
              <w:top w:val="nil"/>
              <w:left w:val="nil"/>
              <w:bottom w:val="single" w:sz="8" w:space="0" w:color="auto"/>
              <w:right w:val="single" w:sz="8" w:space="0" w:color="auto"/>
            </w:tcBorders>
            <w:shd w:val="clear" w:color="auto" w:fill="auto"/>
            <w:noWrap/>
          </w:tcPr>
          <w:p w14:paraId="030357CD" w14:textId="1AA98773" w:rsidR="004453F4" w:rsidRPr="009C5892" w:rsidRDefault="00186A86" w:rsidP="004453F4">
            <w:pPr>
              <w:jc w:val="center"/>
              <w:rPr>
                <w:rFonts w:asciiTheme="majorHAnsi" w:eastAsia="Times New Roman" w:hAnsiTheme="majorHAnsi"/>
                <w:color w:val="000000"/>
                <w:sz w:val="17"/>
                <w:szCs w:val="17"/>
              </w:rPr>
            </w:pPr>
            <w:r>
              <w:rPr>
                <w:rFonts w:asciiTheme="majorHAnsi" w:hAnsiTheme="majorHAnsi"/>
                <w:sz w:val="17"/>
                <w:szCs w:val="17"/>
              </w:rPr>
              <w:t>1,</w:t>
            </w:r>
            <w:r w:rsidR="004453F4" w:rsidRPr="009C5892">
              <w:rPr>
                <w:rFonts w:asciiTheme="majorHAnsi" w:hAnsiTheme="majorHAnsi"/>
                <w:sz w:val="17"/>
                <w:szCs w:val="17"/>
              </w:rPr>
              <w:t>000</w:t>
            </w:r>
          </w:p>
        </w:tc>
        <w:tc>
          <w:tcPr>
            <w:tcW w:w="1080" w:type="dxa"/>
            <w:tcBorders>
              <w:top w:val="nil"/>
              <w:left w:val="nil"/>
              <w:bottom w:val="single" w:sz="8" w:space="0" w:color="auto"/>
              <w:right w:val="single" w:sz="8" w:space="0" w:color="auto"/>
            </w:tcBorders>
            <w:shd w:val="clear" w:color="auto" w:fill="auto"/>
            <w:noWrap/>
          </w:tcPr>
          <w:p w14:paraId="324C169C" w14:textId="38BE14FB" w:rsidR="004453F4" w:rsidRPr="009C5892" w:rsidRDefault="00186A86" w:rsidP="004453F4">
            <w:pPr>
              <w:jc w:val="center"/>
              <w:rPr>
                <w:rFonts w:asciiTheme="majorHAnsi" w:eastAsia="Times New Roman" w:hAnsiTheme="majorHAnsi"/>
                <w:color w:val="000000"/>
                <w:sz w:val="17"/>
                <w:szCs w:val="17"/>
              </w:rPr>
            </w:pPr>
            <w:r>
              <w:rPr>
                <w:rFonts w:asciiTheme="majorHAnsi" w:hAnsiTheme="majorHAnsi"/>
                <w:sz w:val="17"/>
                <w:szCs w:val="17"/>
              </w:rPr>
              <w:t>1,</w:t>
            </w:r>
            <w:r w:rsidR="004453F4" w:rsidRPr="009C5892">
              <w:rPr>
                <w:rFonts w:asciiTheme="majorHAnsi" w:hAnsiTheme="majorHAnsi"/>
                <w:sz w:val="17"/>
                <w:szCs w:val="17"/>
              </w:rPr>
              <w:t>000</w:t>
            </w:r>
          </w:p>
        </w:tc>
        <w:tc>
          <w:tcPr>
            <w:tcW w:w="1170" w:type="dxa"/>
            <w:tcBorders>
              <w:top w:val="nil"/>
              <w:left w:val="nil"/>
              <w:bottom w:val="single" w:sz="8" w:space="0" w:color="auto"/>
              <w:right w:val="single" w:sz="8" w:space="0" w:color="auto"/>
            </w:tcBorders>
            <w:shd w:val="clear" w:color="auto" w:fill="auto"/>
            <w:noWrap/>
          </w:tcPr>
          <w:p w14:paraId="2C0C2EED" w14:textId="6EE9C5DE" w:rsidR="004453F4" w:rsidRPr="009C5892" w:rsidRDefault="00186A86" w:rsidP="004453F4">
            <w:pPr>
              <w:jc w:val="center"/>
              <w:rPr>
                <w:rFonts w:asciiTheme="majorHAnsi" w:eastAsia="Times New Roman" w:hAnsiTheme="majorHAnsi"/>
                <w:color w:val="000000"/>
                <w:sz w:val="17"/>
                <w:szCs w:val="17"/>
              </w:rPr>
            </w:pPr>
            <w:r>
              <w:rPr>
                <w:rFonts w:asciiTheme="majorHAnsi" w:hAnsiTheme="majorHAnsi"/>
                <w:sz w:val="17"/>
                <w:szCs w:val="17"/>
              </w:rPr>
              <w:t>1,</w:t>
            </w:r>
            <w:r w:rsidR="004453F4" w:rsidRPr="009C5892">
              <w:rPr>
                <w:rFonts w:asciiTheme="majorHAnsi" w:hAnsiTheme="majorHAnsi"/>
                <w:sz w:val="17"/>
                <w:szCs w:val="17"/>
              </w:rPr>
              <w:t>000</w:t>
            </w:r>
          </w:p>
        </w:tc>
        <w:tc>
          <w:tcPr>
            <w:tcW w:w="1080" w:type="dxa"/>
            <w:tcBorders>
              <w:top w:val="nil"/>
              <w:left w:val="nil"/>
              <w:bottom w:val="single" w:sz="8" w:space="0" w:color="auto"/>
              <w:right w:val="single" w:sz="8" w:space="0" w:color="auto"/>
            </w:tcBorders>
            <w:shd w:val="clear" w:color="auto" w:fill="auto"/>
            <w:noWrap/>
            <w:vAlign w:val="center"/>
          </w:tcPr>
          <w:p w14:paraId="6A70F2D1" w14:textId="61B8C660" w:rsidR="004453F4" w:rsidRPr="009C5892" w:rsidRDefault="00186A86" w:rsidP="004453F4">
            <w:pPr>
              <w:jc w:val="center"/>
              <w:rPr>
                <w:rFonts w:eastAsia="Times New Roman"/>
                <w:b/>
                <w:bCs/>
                <w:color w:val="000000"/>
                <w:sz w:val="17"/>
                <w:szCs w:val="17"/>
              </w:rPr>
            </w:pPr>
            <w:r>
              <w:rPr>
                <w:rFonts w:eastAsia="Times New Roman"/>
                <w:b/>
                <w:bCs/>
                <w:color w:val="000000"/>
                <w:sz w:val="17"/>
                <w:szCs w:val="17"/>
              </w:rPr>
              <w:t>4,</w:t>
            </w:r>
            <w:r w:rsidR="004453F4" w:rsidRPr="009C5892">
              <w:rPr>
                <w:rFonts w:eastAsia="Times New Roman"/>
                <w:b/>
                <w:bCs/>
                <w:color w:val="000000"/>
                <w:sz w:val="17"/>
                <w:szCs w:val="17"/>
              </w:rPr>
              <w:t>000</w:t>
            </w:r>
          </w:p>
        </w:tc>
        <w:tc>
          <w:tcPr>
            <w:tcW w:w="900" w:type="dxa"/>
            <w:tcBorders>
              <w:top w:val="nil"/>
              <w:left w:val="nil"/>
              <w:bottom w:val="single" w:sz="8" w:space="0" w:color="auto"/>
              <w:right w:val="single" w:sz="8" w:space="0" w:color="auto"/>
            </w:tcBorders>
            <w:shd w:val="clear" w:color="auto" w:fill="auto"/>
            <w:vAlign w:val="center"/>
          </w:tcPr>
          <w:p w14:paraId="0A202906" w14:textId="165E501B" w:rsidR="004453F4" w:rsidRPr="009C5892" w:rsidRDefault="00362DEB" w:rsidP="004453F4">
            <w:pPr>
              <w:jc w:val="center"/>
              <w:rPr>
                <w:rFonts w:eastAsia="Times New Roman"/>
                <w:i/>
                <w:iCs/>
                <w:color w:val="000000"/>
                <w:sz w:val="17"/>
                <w:szCs w:val="17"/>
              </w:rPr>
            </w:pPr>
            <w:r w:rsidRPr="009C5892">
              <w:rPr>
                <w:rFonts w:eastAsia="Times New Roman"/>
                <w:i/>
                <w:iCs/>
                <w:color w:val="000000"/>
                <w:sz w:val="17"/>
                <w:szCs w:val="17"/>
              </w:rPr>
              <w:t>38</w:t>
            </w:r>
          </w:p>
        </w:tc>
      </w:tr>
      <w:tr w:rsidR="004453F4" w:rsidRPr="00FC6195" w14:paraId="5B8D3DB3" w14:textId="77777777" w:rsidTr="0020128B">
        <w:trPr>
          <w:trHeight w:val="340"/>
        </w:trPr>
        <w:tc>
          <w:tcPr>
            <w:tcW w:w="1181" w:type="dxa"/>
            <w:tcBorders>
              <w:top w:val="nil"/>
              <w:left w:val="single" w:sz="8" w:space="0" w:color="auto"/>
              <w:bottom w:val="nil"/>
              <w:right w:val="nil"/>
            </w:tcBorders>
            <w:shd w:val="clear" w:color="auto" w:fill="auto"/>
            <w:noWrap/>
            <w:vAlign w:val="center"/>
          </w:tcPr>
          <w:p w14:paraId="5616F742" w14:textId="77777777" w:rsidR="004453F4" w:rsidRPr="00FC6195" w:rsidRDefault="004453F4" w:rsidP="004453F4">
            <w:pPr>
              <w:rPr>
                <w:rFonts w:eastAsia="Times New Roman"/>
                <w:color w:val="000000"/>
                <w:sz w:val="17"/>
                <w:szCs w:val="17"/>
              </w:rPr>
            </w:pPr>
          </w:p>
        </w:tc>
        <w:tc>
          <w:tcPr>
            <w:tcW w:w="1149" w:type="dxa"/>
            <w:tcBorders>
              <w:top w:val="nil"/>
              <w:left w:val="single" w:sz="8" w:space="0" w:color="auto"/>
              <w:bottom w:val="nil"/>
              <w:right w:val="single" w:sz="8" w:space="0" w:color="auto"/>
            </w:tcBorders>
            <w:shd w:val="clear" w:color="auto" w:fill="auto"/>
            <w:vAlign w:val="center"/>
          </w:tcPr>
          <w:p w14:paraId="4A188926" w14:textId="77777777" w:rsidR="004453F4" w:rsidRPr="00FC6195" w:rsidRDefault="004453F4" w:rsidP="004453F4">
            <w:pPr>
              <w:jc w:val="center"/>
              <w:rPr>
                <w:rFonts w:eastAsia="Times New Roman"/>
                <w:b/>
                <w:bCs/>
                <w:color w:val="000000"/>
                <w:sz w:val="17"/>
                <w:szCs w:val="17"/>
              </w:rPr>
            </w:pPr>
          </w:p>
        </w:tc>
        <w:tc>
          <w:tcPr>
            <w:tcW w:w="810" w:type="dxa"/>
            <w:tcBorders>
              <w:top w:val="nil"/>
              <w:left w:val="nil"/>
              <w:bottom w:val="nil"/>
              <w:right w:val="single" w:sz="8" w:space="0" w:color="auto"/>
            </w:tcBorders>
            <w:shd w:val="clear" w:color="auto" w:fill="auto"/>
            <w:vAlign w:val="center"/>
          </w:tcPr>
          <w:p w14:paraId="2A525F68" w14:textId="77777777" w:rsidR="004453F4" w:rsidRPr="00FC6195" w:rsidRDefault="004453F4" w:rsidP="004453F4">
            <w:pPr>
              <w:jc w:val="center"/>
              <w:rPr>
                <w:rFonts w:eastAsia="Times New Roman"/>
                <w:b/>
                <w:bCs/>
                <w:color w:val="000000"/>
                <w:sz w:val="17"/>
                <w:szCs w:val="17"/>
              </w:rPr>
            </w:pPr>
          </w:p>
        </w:tc>
        <w:tc>
          <w:tcPr>
            <w:tcW w:w="990" w:type="dxa"/>
            <w:tcBorders>
              <w:top w:val="nil"/>
              <w:left w:val="nil"/>
              <w:bottom w:val="nil"/>
              <w:right w:val="single" w:sz="8" w:space="0" w:color="auto"/>
            </w:tcBorders>
            <w:shd w:val="clear" w:color="auto" w:fill="auto"/>
            <w:vAlign w:val="center"/>
          </w:tcPr>
          <w:p w14:paraId="3522E223" w14:textId="77777777" w:rsidR="004453F4" w:rsidRPr="00FC6195" w:rsidRDefault="004453F4" w:rsidP="004453F4">
            <w:pPr>
              <w:jc w:val="both"/>
              <w:rPr>
                <w:rFonts w:eastAsia="Times New Roman"/>
                <w:b/>
                <w:bCs/>
                <w:color w:val="000000"/>
                <w:sz w:val="17"/>
                <w:szCs w:val="17"/>
              </w:rPr>
            </w:pPr>
          </w:p>
        </w:tc>
        <w:tc>
          <w:tcPr>
            <w:tcW w:w="990" w:type="dxa"/>
            <w:tcBorders>
              <w:top w:val="nil"/>
              <w:left w:val="nil"/>
              <w:bottom w:val="single" w:sz="8" w:space="0" w:color="auto"/>
              <w:right w:val="single" w:sz="8" w:space="0" w:color="auto"/>
            </w:tcBorders>
            <w:shd w:val="clear" w:color="auto" w:fill="auto"/>
            <w:noWrap/>
            <w:vAlign w:val="center"/>
          </w:tcPr>
          <w:p w14:paraId="164A2BE3" w14:textId="3237E93B" w:rsidR="004453F4" w:rsidRPr="009C5892" w:rsidRDefault="004453F4" w:rsidP="004453F4">
            <w:pPr>
              <w:jc w:val="center"/>
              <w:rPr>
                <w:rFonts w:asciiTheme="majorHAnsi" w:hAnsiTheme="majorHAnsi"/>
                <w:sz w:val="17"/>
                <w:szCs w:val="17"/>
              </w:rPr>
            </w:pPr>
            <w:r w:rsidRPr="009C5892">
              <w:rPr>
                <w:rFonts w:asciiTheme="majorHAnsi" w:hAnsiTheme="majorHAnsi" w:cs="Calibri"/>
                <w:color w:val="000000"/>
                <w:sz w:val="17"/>
                <w:szCs w:val="17"/>
              </w:rPr>
              <w:t>74200</w:t>
            </w:r>
          </w:p>
        </w:tc>
        <w:tc>
          <w:tcPr>
            <w:tcW w:w="2070" w:type="dxa"/>
            <w:tcBorders>
              <w:top w:val="nil"/>
              <w:left w:val="nil"/>
              <w:bottom w:val="single" w:sz="8" w:space="0" w:color="auto"/>
              <w:right w:val="single" w:sz="8" w:space="0" w:color="auto"/>
            </w:tcBorders>
            <w:shd w:val="clear" w:color="auto" w:fill="auto"/>
            <w:noWrap/>
            <w:vAlign w:val="center"/>
          </w:tcPr>
          <w:p w14:paraId="36826EC5" w14:textId="2C5774D9" w:rsidR="004453F4" w:rsidRPr="009C5892" w:rsidRDefault="004453F4" w:rsidP="008149C0">
            <w:pPr>
              <w:rPr>
                <w:rFonts w:asciiTheme="majorHAnsi" w:hAnsiTheme="majorHAnsi"/>
                <w:sz w:val="17"/>
                <w:szCs w:val="17"/>
              </w:rPr>
            </w:pPr>
            <w:r w:rsidRPr="009C5892">
              <w:rPr>
                <w:rFonts w:asciiTheme="majorHAnsi" w:hAnsiTheme="majorHAnsi" w:cs="Calibri"/>
                <w:color w:val="000000"/>
                <w:sz w:val="17"/>
                <w:szCs w:val="17"/>
              </w:rPr>
              <w:t>Audio Visual&amp;Print Prod Costs</w:t>
            </w:r>
          </w:p>
        </w:tc>
        <w:tc>
          <w:tcPr>
            <w:tcW w:w="810" w:type="dxa"/>
            <w:tcBorders>
              <w:top w:val="nil"/>
              <w:left w:val="nil"/>
              <w:bottom w:val="single" w:sz="8" w:space="0" w:color="auto"/>
              <w:right w:val="single" w:sz="8" w:space="0" w:color="auto"/>
            </w:tcBorders>
            <w:shd w:val="clear" w:color="auto" w:fill="auto"/>
            <w:noWrap/>
            <w:vAlign w:val="center"/>
          </w:tcPr>
          <w:p w14:paraId="44E04419" w14:textId="300C5053" w:rsidR="004453F4" w:rsidRPr="009C5892" w:rsidRDefault="004453F4" w:rsidP="004453F4">
            <w:pPr>
              <w:jc w:val="center"/>
              <w:rPr>
                <w:rFonts w:asciiTheme="majorHAnsi" w:eastAsia="Times New Roman" w:hAnsiTheme="majorHAnsi"/>
                <w:color w:val="000000"/>
                <w:sz w:val="17"/>
                <w:szCs w:val="17"/>
              </w:rPr>
            </w:pPr>
            <w:r w:rsidRPr="009C5892">
              <w:rPr>
                <w:rFonts w:asciiTheme="majorHAnsi" w:eastAsia="Times New Roman" w:hAnsiTheme="majorHAnsi"/>
                <w:color w:val="000000"/>
                <w:sz w:val="17"/>
                <w:szCs w:val="17"/>
              </w:rPr>
              <w:t>0</w:t>
            </w:r>
          </w:p>
        </w:tc>
        <w:tc>
          <w:tcPr>
            <w:tcW w:w="1010" w:type="dxa"/>
            <w:tcBorders>
              <w:top w:val="nil"/>
              <w:left w:val="nil"/>
              <w:bottom w:val="single" w:sz="8" w:space="0" w:color="auto"/>
              <w:right w:val="single" w:sz="8" w:space="0" w:color="auto"/>
            </w:tcBorders>
            <w:shd w:val="clear" w:color="auto" w:fill="auto"/>
            <w:noWrap/>
            <w:vAlign w:val="center"/>
          </w:tcPr>
          <w:p w14:paraId="6AA14653" w14:textId="7A2C90C7" w:rsidR="004453F4" w:rsidRPr="009C5892" w:rsidRDefault="00186A86" w:rsidP="004453F4">
            <w:pPr>
              <w:jc w:val="center"/>
              <w:rPr>
                <w:rFonts w:asciiTheme="majorHAnsi" w:eastAsia="Times New Roman" w:hAnsiTheme="majorHAnsi"/>
                <w:color w:val="000000"/>
                <w:sz w:val="17"/>
                <w:szCs w:val="17"/>
              </w:rPr>
            </w:pPr>
            <w:r>
              <w:rPr>
                <w:rFonts w:asciiTheme="majorHAnsi" w:eastAsia="Times New Roman" w:hAnsiTheme="majorHAnsi"/>
                <w:color w:val="000000"/>
                <w:sz w:val="17"/>
                <w:szCs w:val="17"/>
              </w:rPr>
              <w:t>7,</w:t>
            </w:r>
            <w:r w:rsidR="004453F4" w:rsidRPr="009C5892">
              <w:rPr>
                <w:rFonts w:asciiTheme="majorHAnsi" w:eastAsia="Times New Roman" w:hAnsiTheme="majorHAnsi"/>
                <w:color w:val="000000"/>
                <w:sz w:val="17"/>
                <w:szCs w:val="17"/>
              </w:rPr>
              <w:t>300</w:t>
            </w:r>
          </w:p>
        </w:tc>
        <w:tc>
          <w:tcPr>
            <w:tcW w:w="970" w:type="dxa"/>
            <w:tcBorders>
              <w:top w:val="nil"/>
              <w:left w:val="nil"/>
              <w:bottom w:val="single" w:sz="8" w:space="0" w:color="auto"/>
              <w:right w:val="single" w:sz="8" w:space="0" w:color="auto"/>
            </w:tcBorders>
            <w:shd w:val="clear" w:color="auto" w:fill="auto"/>
            <w:noWrap/>
          </w:tcPr>
          <w:p w14:paraId="4813D6C9" w14:textId="505A0436" w:rsidR="004453F4" w:rsidRPr="009C5892" w:rsidRDefault="004453F4" w:rsidP="004453F4">
            <w:pPr>
              <w:jc w:val="center"/>
              <w:rPr>
                <w:rFonts w:asciiTheme="majorHAnsi" w:eastAsia="Times New Roman" w:hAnsiTheme="majorHAnsi"/>
                <w:color w:val="000000"/>
                <w:sz w:val="17"/>
                <w:szCs w:val="17"/>
              </w:rPr>
            </w:pPr>
            <w:r w:rsidRPr="009C5892">
              <w:rPr>
                <w:rFonts w:asciiTheme="majorHAnsi" w:hAnsiTheme="majorHAnsi"/>
                <w:sz w:val="17"/>
                <w:szCs w:val="17"/>
              </w:rPr>
              <w:t>12</w:t>
            </w:r>
            <w:r w:rsidR="00186A86">
              <w:rPr>
                <w:rFonts w:asciiTheme="majorHAnsi" w:hAnsiTheme="majorHAnsi"/>
                <w:sz w:val="17"/>
                <w:szCs w:val="17"/>
              </w:rPr>
              <w:t>,</w:t>
            </w:r>
            <w:r w:rsidRPr="009C5892">
              <w:rPr>
                <w:rFonts w:asciiTheme="majorHAnsi" w:hAnsiTheme="majorHAnsi"/>
                <w:sz w:val="17"/>
                <w:szCs w:val="17"/>
              </w:rPr>
              <w:t>300</w:t>
            </w:r>
          </w:p>
        </w:tc>
        <w:tc>
          <w:tcPr>
            <w:tcW w:w="1080" w:type="dxa"/>
            <w:tcBorders>
              <w:top w:val="nil"/>
              <w:left w:val="nil"/>
              <w:bottom w:val="single" w:sz="8" w:space="0" w:color="auto"/>
              <w:right w:val="single" w:sz="8" w:space="0" w:color="auto"/>
            </w:tcBorders>
            <w:shd w:val="clear" w:color="auto" w:fill="auto"/>
            <w:noWrap/>
          </w:tcPr>
          <w:p w14:paraId="3C23C7CB" w14:textId="75A7F695" w:rsidR="004453F4" w:rsidRPr="009C5892" w:rsidRDefault="004453F4" w:rsidP="004453F4">
            <w:pPr>
              <w:jc w:val="center"/>
              <w:rPr>
                <w:rFonts w:asciiTheme="majorHAnsi" w:eastAsia="Times New Roman" w:hAnsiTheme="majorHAnsi"/>
                <w:color w:val="000000"/>
                <w:sz w:val="17"/>
                <w:szCs w:val="17"/>
              </w:rPr>
            </w:pPr>
            <w:r w:rsidRPr="009C5892">
              <w:rPr>
                <w:rFonts w:asciiTheme="majorHAnsi" w:hAnsiTheme="majorHAnsi"/>
                <w:sz w:val="17"/>
                <w:szCs w:val="17"/>
              </w:rPr>
              <w:t>12</w:t>
            </w:r>
            <w:r w:rsidR="00186A86">
              <w:rPr>
                <w:rFonts w:asciiTheme="majorHAnsi" w:hAnsiTheme="majorHAnsi"/>
                <w:sz w:val="17"/>
                <w:szCs w:val="17"/>
              </w:rPr>
              <w:t>,</w:t>
            </w:r>
            <w:r w:rsidRPr="009C5892">
              <w:rPr>
                <w:rFonts w:asciiTheme="majorHAnsi" w:hAnsiTheme="majorHAnsi"/>
                <w:sz w:val="17"/>
                <w:szCs w:val="17"/>
              </w:rPr>
              <w:t>500</w:t>
            </w:r>
          </w:p>
        </w:tc>
        <w:tc>
          <w:tcPr>
            <w:tcW w:w="1170" w:type="dxa"/>
            <w:tcBorders>
              <w:top w:val="nil"/>
              <w:left w:val="nil"/>
              <w:bottom w:val="single" w:sz="8" w:space="0" w:color="auto"/>
              <w:right w:val="single" w:sz="8" w:space="0" w:color="auto"/>
            </w:tcBorders>
            <w:shd w:val="clear" w:color="auto" w:fill="auto"/>
            <w:noWrap/>
          </w:tcPr>
          <w:p w14:paraId="43B48A5E" w14:textId="38D25E7E" w:rsidR="004453F4" w:rsidRPr="009C5892" w:rsidRDefault="004453F4" w:rsidP="004453F4">
            <w:pPr>
              <w:jc w:val="center"/>
              <w:rPr>
                <w:rFonts w:asciiTheme="majorHAnsi" w:eastAsia="Times New Roman" w:hAnsiTheme="majorHAnsi"/>
                <w:color w:val="000000"/>
                <w:sz w:val="17"/>
                <w:szCs w:val="17"/>
              </w:rPr>
            </w:pPr>
            <w:r w:rsidRPr="009C5892">
              <w:rPr>
                <w:rFonts w:asciiTheme="majorHAnsi" w:eastAsia="Times New Roman" w:hAnsiTheme="majorHAnsi"/>
                <w:color w:val="000000"/>
                <w:sz w:val="17"/>
                <w:szCs w:val="17"/>
              </w:rPr>
              <w:t>0</w:t>
            </w:r>
          </w:p>
        </w:tc>
        <w:tc>
          <w:tcPr>
            <w:tcW w:w="1080" w:type="dxa"/>
            <w:tcBorders>
              <w:top w:val="nil"/>
              <w:left w:val="nil"/>
              <w:bottom w:val="single" w:sz="8" w:space="0" w:color="auto"/>
              <w:right w:val="single" w:sz="8" w:space="0" w:color="auto"/>
            </w:tcBorders>
            <w:shd w:val="clear" w:color="auto" w:fill="auto"/>
            <w:noWrap/>
            <w:vAlign w:val="center"/>
          </w:tcPr>
          <w:p w14:paraId="002D06E7" w14:textId="3F376819" w:rsidR="004453F4" w:rsidRPr="009C5892" w:rsidRDefault="004453F4" w:rsidP="004453F4">
            <w:pPr>
              <w:jc w:val="center"/>
              <w:rPr>
                <w:rFonts w:eastAsia="Times New Roman"/>
                <w:b/>
                <w:bCs/>
                <w:color w:val="000000"/>
                <w:sz w:val="17"/>
                <w:szCs w:val="17"/>
              </w:rPr>
            </w:pPr>
            <w:r w:rsidRPr="009C5892">
              <w:rPr>
                <w:rFonts w:eastAsia="Times New Roman"/>
                <w:b/>
                <w:bCs/>
                <w:color w:val="000000"/>
                <w:sz w:val="17"/>
                <w:szCs w:val="17"/>
              </w:rPr>
              <w:t>32</w:t>
            </w:r>
            <w:r w:rsidR="00186A86">
              <w:rPr>
                <w:rFonts w:eastAsia="Times New Roman"/>
                <w:b/>
                <w:bCs/>
                <w:color w:val="000000"/>
                <w:sz w:val="17"/>
                <w:szCs w:val="17"/>
              </w:rPr>
              <w:t>,</w:t>
            </w:r>
            <w:r w:rsidRPr="009C5892">
              <w:rPr>
                <w:rFonts w:eastAsia="Times New Roman"/>
                <w:b/>
                <w:bCs/>
                <w:color w:val="000000"/>
                <w:sz w:val="17"/>
                <w:szCs w:val="17"/>
              </w:rPr>
              <w:t>100</w:t>
            </w:r>
          </w:p>
        </w:tc>
        <w:tc>
          <w:tcPr>
            <w:tcW w:w="900" w:type="dxa"/>
            <w:tcBorders>
              <w:top w:val="nil"/>
              <w:left w:val="nil"/>
              <w:bottom w:val="single" w:sz="8" w:space="0" w:color="auto"/>
              <w:right w:val="single" w:sz="8" w:space="0" w:color="auto"/>
            </w:tcBorders>
            <w:shd w:val="clear" w:color="auto" w:fill="auto"/>
            <w:vAlign w:val="center"/>
          </w:tcPr>
          <w:p w14:paraId="5A6E7BB9" w14:textId="333861A0" w:rsidR="004453F4" w:rsidRPr="009C5892" w:rsidRDefault="00362DEB" w:rsidP="004453F4">
            <w:pPr>
              <w:jc w:val="center"/>
              <w:rPr>
                <w:rFonts w:eastAsia="Times New Roman"/>
                <w:i/>
                <w:iCs/>
                <w:color w:val="000000"/>
                <w:sz w:val="17"/>
                <w:szCs w:val="17"/>
              </w:rPr>
            </w:pPr>
            <w:r w:rsidRPr="009C5892">
              <w:rPr>
                <w:rFonts w:eastAsia="Times New Roman"/>
                <w:i/>
                <w:iCs/>
                <w:color w:val="000000"/>
                <w:sz w:val="17"/>
                <w:szCs w:val="17"/>
              </w:rPr>
              <w:t>39</w:t>
            </w:r>
          </w:p>
        </w:tc>
      </w:tr>
      <w:tr w:rsidR="004453F4" w:rsidRPr="00FC6195" w14:paraId="4B5B899C" w14:textId="77777777" w:rsidTr="0020128B">
        <w:trPr>
          <w:trHeight w:val="340"/>
        </w:trPr>
        <w:tc>
          <w:tcPr>
            <w:tcW w:w="1181" w:type="dxa"/>
            <w:tcBorders>
              <w:top w:val="nil"/>
              <w:left w:val="single" w:sz="8" w:space="0" w:color="auto"/>
              <w:bottom w:val="nil"/>
              <w:right w:val="nil"/>
            </w:tcBorders>
            <w:shd w:val="clear" w:color="auto" w:fill="auto"/>
            <w:noWrap/>
            <w:vAlign w:val="center"/>
          </w:tcPr>
          <w:p w14:paraId="57EB00C5" w14:textId="77777777" w:rsidR="004453F4" w:rsidRPr="00FC6195" w:rsidRDefault="004453F4" w:rsidP="004453F4">
            <w:pPr>
              <w:rPr>
                <w:rFonts w:eastAsia="Times New Roman"/>
                <w:color w:val="000000"/>
                <w:sz w:val="17"/>
                <w:szCs w:val="17"/>
              </w:rPr>
            </w:pPr>
          </w:p>
        </w:tc>
        <w:tc>
          <w:tcPr>
            <w:tcW w:w="1149" w:type="dxa"/>
            <w:tcBorders>
              <w:top w:val="nil"/>
              <w:left w:val="single" w:sz="8" w:space="0" w:color="auto"/>
              <w:bottom w:val="nil"/>
              <w:right w:val="single" w:sz="8" w:space="0" w:color="auto"/>
            </w:tcBorders>
            <w:shd w:val="clear" w:color="auto" w:fill="auto"/>
            <w:vAlign w:val="center"/>
          </w:tcPr>
          <w:p w14:paraId="6D8974E8" w14:textId="77777777" w:rsidR="004453F4" w:rsidRPr="00FC6195" w:rsidRDefault="004453F4" w:rsidP="004453F4">
            <w:pPr>
              <w:jc w:val="center"/>
              <w:rPr>
                <w:rFonts w:eastAsia="Times New Roman"/>
                <w:b/>
                <w:bCs/>
                <w:color w:val="000000"/>
                <w:sz w:val="17"/>
                <w:szCs w:val="17"/>
              </w:rPr>
            </w:pPr>
          </w:p>
        </w:tc>
        <w:tc>
          <w:tcPr>
            <w:tcW w:w="810" w:type="dxa"/>
            <w:tcBorders>
              <w:top w:val="nil"/>
              <w:left w:val="nil"/>
              <w:bottom w:val="nil"/>
              <w:right w:val="single" w:sz="8" w:space="0" w:color="auto"/>
            </w:tcBorders>
            <w:shd w:val="clear" w:color="auto" w:fill="auto"/>
            <w:vAlign w:val="center"/>
          </w:tcPr>
          <w:p w14:paraId="4D56E556" w14:textId="77777777" w:rsidR="004453F4" w:rsidRPr="00FC6195" w:rsidRDefault="004453F4" w:rsidP="004453F4">
            <w:pPr>
              <w:jc w:val="center"/>
              <w:rPr>
                <w:rFonts w:eastAsia="Times New Roman"/>
                <w:b/>
                <w:bCs/>
                <w:color w:val="000000"/>
                <w:sz w:val="17"/>
                <w:szCs w:val="17"/>
              </w:rPr>
            </w:pPr>
          </w:p>
        </w:tc>
        <w:tc>
          <w:tcPr>
            <w:tcW w:w="990" w:type="dxa"/>
            <w:tcBorders>
              <w:top w:val="nil"/>
              <w:left w:val="nil"/>
              <w:bottom w:val="nil"/>
              <w:right w:val="single" w:sz="8" w:space="0" w:color="auto"/>
            </w:tcBorders>
            <w:shd w:val="clear" w:color="auto" w:fill="auto"/>
            <w:vAlign w:val="center"/>
          </w:tcPr>
          <w:p w14:paraId="19A8F43A" w14:textId="77777777" w:rsidR="004453F4" w:rsidRPr="00FC6195" w:rsidRDefault="004453F4" w:rsidP="004453F4">
            <w:pPr>
              <w:jc w:val="both"/>
              <w:rPr>
                <w:rFonts w:eastAsia="Times New Roman"/>
                <w:b/>
                <w:bCs/>
                <w:color w:val="000000"/>
                <w:sz w:val="17"/>
                <w:szCs w:val="17"/>
              </w:rPr>
            </w:pPr>
          </w:p>
        </w:tc>
        <w:tc>
          <w:tcPr>
            <w:tcW w:w="990" w:type="dxa"/>
            <w:tcBorders>
              <w:top w:val="nil"/>
              <w:left w:val="nil"/>
              <w:bottom w:val="single" w:sz="8" w:space="0" w:color="auto"/>
              <w:right w:val="single" w:sz="8" w:space="0" w:color="auto"/>
            </w:tcBorders>
            <w:shd w:val="clear" w:color="auto" w:fill="auto"/>
            <w:noWrap/>
            <w:vAlign w:val="center"/>
          </w:tcPr>
          <w:p w14:paraId="01AE22B3" w14:textId="38EADC73" w:rsidR="004453F4" w:rsidRPr="009C5892" w:rsidRDefault="004453F4" w:rsidP="004453F4">
            <w:pPr>
              <w:jc w:val="center"/>
              <w:rPr>
                <w:rFonts w:asciiTheme="majorHAnsi" w:eastAsia="Times New Roman" w:hAnsiTheme="majorHAnsi"/>
                <w:color w:val="000000"/>
                <w:sz w:val="17"/>
                <w:szCs w:val="17"/>
              </w:rPr>
            </w:pPr>
            <w:r w:rsidRPr="009C5892">
              <w:rPr>
                <w:rFonts w:asciiTheme="majorHAnsi" w:hAnsiTheme="majorHAnsi"/>
                <w:sz w:val="17"/>
                <w:szCs w:val="17"/>
              </w:rPr>
              <w:t>74500</w:t>
            </w:r>
          </w:p>
        </w:tc>
        <w:tc>
          <w:tcPr>
            <w:tcW w:w="2070" w:type="dxa"/>
            <w:tcBorders>
              <w:top w:val="nil"/>
              <w:left w:val="nil"/>
              <w:bottom w:val="single" w:sz="8" w:space="0" w:color="auto"/>
              <w:right w:val="single" w:sz="8" w:space="0" w:color="auto"/>
            </w:tcBorders>
            <w:shd w:val="clear" w:color="auto" w:fill="auto"/>
            <w:noWrap/>
            <w:vAlign w:val="center"/>
          </w:tcPr>
          <w:p w14:paraId="1075E766" w14:textId="4ED8B15B" w:rsidR="004453F4" w:rsidRPr="009C5892" w:rsidRDefault="004453F4" w:rsidP="008149C0">
            <w:pPr>
              <w:rPr>
                <w:rFonts w:asciiTheme="majorHAnsi" w:eastAsia="Times New Roman" w:hAnsiTheme="majorHAnsi"/>
                <w:color w:val="000000"/>
                <w:sz w:val="17"/>
                <w:szCs w:val="17"/>
              </w:rPr>
            </w:pPr>
            <w:r w:rsidRPr="009C5892">
              <w:rPr>
                <w:rFonts w:asciiTheme="majorHAnsi" w:hAnsiTheme="majorHAnsi"/>
                <w:sz w:val="17"/>
                <w:szCs w:val="17"/>
              </w:rPr>
              <w:t>Miscellaneous Expenses</w:t>
            </w:r>
          </w:p>
        </w:tc>
        <w:tc>
          <w:tcPr>
            <w:tcW w:w="810" w:type="dxa"/>
            <w:tcBorders>
              <w:top w:val="nil"/>
              <w:left w:val="nil"/>
              <w:bottom w:val="single" w:sz="8" w:space="0" w:color="auto"/>
              <w:right w:val="single" w:sz="8" w:space="0" w:color="auto"/>
            </w:tcBorders>
            <w:shd w:val="clear" w:color="auto" w:fill="auto"/>
            <w:noWrap/>
            <w:vAlign w:val="center"/>
          </w:tcPr>
          <w:p w14:paraId="163AFAA4" w14:textId="7AF0F1DE" w:rsidR="004453F4" w:rsidRPr="009C5892" w:rsidRDefault="004453F4" w:rsidP="004453F4">
            <w:pPr>
              <w:jc w:val="center"/>
              <w:rPr>
                <w:rFonts w:asciiTheme="majorHAnsi" w:eastAsia="Times New Roman" w:hAnsiTheme="majorHAnsi"/>
                <w:color w:val="000000"/>
                <w:sz w:val="17"/>
                <w:szCs w:val="17"/>
              </w:rPr>
            </w:pPr>
            <w:r w:rsidRPr="009C5892">
              <w:rPr>
                <w:rFonts w:asciiTheme="majorHAnsi" w:eastAsia="Times New Roman" w:hAnsiTheme="majorHAnsi"/>
                <w:color w:val="000000"/>
                <w:sz w:val="17"/>
                <w:szCs w:val="17"/>
              </w:rPr>
              <w:t>500</w:t>
            </w:r>
          </w:p>
        </w:tc>
        <w:tc>
          <w:tcPr>
            <w:tcW w:w="1010" w:type="dxa"/>
            <w:tcBorders>
              <w:top w:val="nil"/>
              <w:left w:val="nil"/>
              <w:bottom w:val="single" w:sz="8" w:space="0" w:color="auto"/>
              <w:right w:val="single" w:sz="8" w:space="0" w:color="auto"/>
            </w:tcBorders>
            <w:shd w:val="clear" w:color="auto" w:fill="auto"/>
            <w:noWrap/>
            <w:vAlign w:val="center"/>
          </w:tcPr>
          <w:p w14:paraId="6FAE341A" w14:textId="444D3A91" w:rsidR="004453F4" w:rsidRPr="009C5892" w:rsidRDefault="00186A86" w:rsidP="004453F4">
            <w:pPr>
              <w:jc w:val="center"/>
              <w:rPr>
                <w:rFonts w:asciiTheme="majorHAnsi" w:eastAsia="Times New Roman" w:hAnsiTheme="majorHAnsi"/>
                <w:color w:val="000000"/>
                <w:sz w:val="17"/>
                <w:szCs w:val="17"/>
              </w:rPr>
            </w:pPr>
            <w:r>
              <w:rPr>
                <w:rFonts w:asciiTheme="majorHAnsi" w:eastAsia="Times New Roman" w:hAnsiTheme="majorHAnsi"/>
                <w:color w:val="000000"/>
                <w:sz w:val="17"/>
                <w:szCs w:val="17"/>
              </w:rPr>
              <w:t>1,</w:t>
            </w:r>
            <w:r w:rsidR="004453F4" w:rsidRPr="009C5892">
              <w:rPr>
                <w:rFonts w:asciiTheme="majorHAnsi" w:eastAsia="Times New Roman" w:hAnsiTheme="majorHAnsi"/>
                <w:color w:val="000000"/>
                <w:sz w:val="17"/>
                <w:szCs w:val="17"/>
              </w:rPr>
              <w:t>300</w:t>
            </w:r>
          </w:p>
        </w:tc>
        <w:tc>
          <w:tcPr>
            <w:tcW w:w="970" w:type="dxa"/>
            <w:tcBorders>
              <w:top w:val="nil"/>
              <w:left w:val="nil"/>
              <w:bottom w:val="single" w:sz="8" w:space="0" w:color="auto"/>
              <w:right w:val="single" w:sz="8" w:space="0" w:color="auto"/>
            </w:tcBorders>
            <w:shd w:val="clear" w:color="auto" w:fill="auto"/>
            <w:noWrap/>
          </w:tcPr>
          <w:p w14:paraId="0911B113" w14:textId="7B547A0B" w:rsidR="004453F4" w:rsidRPr="009C5892" w:rsidRDefault="00186A86" w:rsidP="004453F4">
            <w:pPr>
              <w:jc w:val="center"/>
              <w:rPr>
                <w:rFonts w:asciiTheme="majorHAnsi" w:eastAsia="Times New Roman" w:hAnsiTheme="majorHAnsi"/>
                <w:color w:val="000000"/>
                <w:sz w:val="17"/>
                <w:szCs w:val="17"/>
              </w:rPr>
            </w:pPr>
            <w:r>
              <w:rPr>
                <w:rFonts w:asciiTheme="majorHAnsi" w:hAnsiTheme="majorHAnsi"/>
                <w:sz w:val="17"/>
                <w:szCs w:val="17"/>
              </w:rPr>
              <w:t>1,</w:t>
            </w:r>
            <w:r w:rsidR="004453F4" w:rsidRPr="009C5892">
              <w:rPr>
                <w:rFonts w:asciiTheme="majorHAnsi" w:hAnsiTheme="majorHAnsi"/>
                <w:sz w:val="17"/>
                <w:szCs w:val="17"/>
              </w:rPr>
              <w:t>300</w:t>
            </w:r>
          </w:p>
        </w:tc>
        <w:tc>
          <w:tcPr>
            <w:tcW w:w="1080" w:type="dxa"/>
            <w:tcBorders>
              <w:top w:val="nil"/>
              <w:left w:val="nil"/>
              <w:bottom w:val="single" w:sz="8" w:space="0" w:color="auto"/>
              <w:right w:val="single" w:sz="8" w:space="0" w:color="auto"/>
            </w:tcBorders>
            <w:shd w:val="clear" w:color="auto" w:fill="auto"/>
            <w:noWrap/>
          </w:tcPr>
          <w:p w14:paraId="06C2E179" w14:textId="795AF91B" w:rsidR="004453F4" w:rsidRPr="009C5892" w:rsidRDefault="00186A86" w:rsidP="004453F4">
            <w:pPr>
              <w:jc w:val="center"/>
              <w:rPr>
                <w:rFonts w:asciiTheme="majorHAnsi" w:eastAsia="Times New Roman" w:hAnsiTheme="majorHAnsi"/>
                <w:color w:val="000000"/>
                <w:sz w:val="17"/>
                <w:szCs w:val="17"/>
              </w:rPr>
            </w:pPr>
            <w:r>
              <w:rPr>
                <w:rFonts w:asciiTheme="majorHAnsi" w:hAnsiTheme="majorHAnsi"/>
                <w:sz w:val="17"/>
                <w:szCs w:val="17"/>
              </w:rPr>
              <w:t>1,</w:t>
            </w:r>
            <w:r w:rsidR="004453F4" w:rsidRPr="009C5892">
              <w:rPr>
                <w:rFonts w:asciiTheme="majorHAnsi" w:hAnsiTheme="majorHAnsi"/>
                <w:sz w:val="17"/>
                <w:szCs w:val="17"/>
              </w:rPr>
              <w:t>300</w:t>
            </w:r>
          </w:p>
        </w:tc>
        <w:tc>
          <w:tcPr>
            <w:tcW w:w="1170" w:type="dxa"/>
            <w:tcBorders>
              <w:top w:val="nil"/>
              <w:left w:val="nil"/>
              <w:bottom w:val="single" w:sz="8" w:space="0" w:color="auto"/>
              <w:right w:val="single" w:sz="8" w:space="0" w:color="auto"/>
            </w:tcBorders>
            <w:shd w:val="clear" w:color="auto" w:fill="auto"/>
            <w:noWrap/>
          </w:tcPr>
          <w:p w14:paraId="7D50A1F1" w14:textId="4A93AFB6" w:rsidR="004453F4" w:rsidRPr="009C5892" w:rsidRDefault="004453F4" w:rsidP="004453F4">
            <w:pPr>
              <w:jc w:val="center"/>
              <w:rPr>
                <w:rFonts w:asciiTheme="majorHAnsi" w:eastAsia="Times New Roman" w:hAnsiTheme="majorHAnsi"/>
                <w:color w:val="000000"/>
                <w:sz w:val="17"/>
                <w:szCs w:val="17"/>
              </w:rPr>
            </w:pPr>
            <w:r w:rsidRPr="009C5892">
              <w:rPr>
                <w:rFonts w:asciiTheme="majorHAnsi" w:hAnsiTheme="majorHAnsi"/>
                <w:sz w:val="17"/>
                <w:szCs w:val="17"/>
              </w:rPr>
              <w:t>500</w:t>
            </w:r>
          </w:p>
        </w:tc>
        <w:tc>
          <w:tcPr>
            <w:tcW w:w="1080" w:type="dxa"/>
            <w:tcBorders>
              <w:top w:val="nil"/>
              <w:left w:val="nil"/>
              <w:bottom w:val="single" w:sz="8" w:space="0" w:color="auto"/>
              <w:right w:val="single" w:sz="8" w:space="0" w:color="auto"/>
            </w:tcBorders>
            <w:shd w:val="clear" w:color="auto" w:fill="auto"/>
            <w:noWrap/>
            <w:vAlign w:val="center"/>
          </w:tcPr>
          <w:p w14:paraId="1961833A" w14:textId="1D1D50D1" w:rsidR="004453F4" w:rsidRPr="009C5892" w:rsidRDefault="00186A86" w:rsidP="004453F4">
            <w:pPr>
              <w:jc w:val="center"/>
              <w:rPr>
                <w:rFonts w:eastAsia="Times New Roman"/>
                <w:b/>
                <w:bCs/>
                <w:color w:val="000000"/>
                <w:sz w:val="17"/>
                <w:szCs w:val="17"/>
              </w:rPr>
            </w:pPr>
            <w:r>
              <w:rPr>
                <w:rFonts w:eastAsia="Times New Roman"/>
                <w:b/>
                <w:bCs/>
                <w:color w:val="000000"/>
                <w:sz w:val="17"/>
                <w:szCs w:val="17"/>
              </w:rPr>
              <w:t>4,</w:t>
            </w:r>
            <w:r w:rsidR="004453F4" w:rsidRPr="009C5892">
              <w:rPr>
                <w:rFonts w:eastAsia="Times New Roman"/>
                <w:b/>
                <w:bCs/>
                <w:color w:val="000000"/>
                <w:sz w:val="17"/>
                <w:szCs w:val="17"/>
              </w:rPr>
              <w:t>900</w:t>
            </w:r>
          </w:p>
        </w:tc>
        <w:tc>
          <w:tcPr>
            <w:tcW w:w="900" w:type="dxa"/>
            <w:tcBorders>
              <w:top w:val="nil"/>
              <w:left w:val="nil"/>
              <w:bottom w:val="single" w:sz="8" w:space="0" w:color="auto"/>
              <w:right w:val="single" w:sz="8" w:space="0" w:color="auto"/>
            </w:tcBorders>
            <w:shd w:val="clear" w:color="auto" w:fill="auto"/>
            <w:vAlign w:val="center"/>
          </w:tcPr>
          <w:p w14:paraId="4CF41878" w14:textId="5129586A" w:rsidR="004453F4" w:rsidRPr="009C5892" w:rsidRDefault="00362DEB" w:rsidP="004453F4">
            <w:pPr>
              <w:jc w:val="center"/>
              <w:rPr>
                <w:rFonts w:eastAsia="Times New Roman"/>
                <w:i/>
                <w:iCs/>
                <w:color w:val="000000"/>
                <w:sz w:val="17"/>
                <w:szCs w:val="17"/>
              </w:rPr>
            </w:pPr>
            <w:r w:rsidRPr="009C5892">
              <w:rPr>
                <w:rFonts w:eastAsia="Times New Roman"/>
                <w:i/>
                <w:iCs/>
                <w:color w:val="000000"/>
                <w:sz w:val="17"/>
                <w:szCs w:val="17"/>
              </w:rPr>
              <w:t>40</w:t>
            </w:r>
          </w:p>
        </w:tc>
      </w:tr>
      <w:tr w:rsidR="004453F4" w:rsidRPr="00FC6195" w14:paraId="1A2BF6AF" w14:textId="77777777" w:rsidTr="007132EE">
        <w:trPr>
          <w:trHeight w:val="340"/>
        </w:trPr>
        <w:tc>
          <w:tcPr>
            <w:tcW w:w="1181" w:type="dxa"/>
            <w:tcBorders>
              <w:top w:val="nil"/>
              <w:left w:val="single" w:sz="8" w:space="0" w:color="auto"/>
              <w:bottom w:val="nil"/>
              <w:right w:val="nil"/>
            </w:tcBorders>
            <w:shd w:val="clear" w:color="auto" w:fill="auto"/>
            <w:noWrap/>
            <w:vAlign w:val="center"/>
          </w:tcPr>
          <w:p w14:paraId="2B47B5F4" w14:textId="77777777" w:rsidR="004453F4" w:rsidRPr="00FC6195" w:rsidRDefault="004453F4" w:rsidP="004453F4">
            <w:pPr>
              <w:rPr>
                <w:rFonts w:eastAsia="Times New Roman"/>
                <w:color w:val="000000"/>
                <w:sz w:val="17"/>
                <w:szCs w:val="17"/>
              </w:rPr>
            </w:pPr>
          </w:p>
        </w:tc>
        <w:tc>
          <w:tcPr>
            <w:tcW w:w="1149" w:type="dxa"/>
            <w:tcBorders>
              <w:top w:val="nil"/>
              <w:left w:val="single" w:sz="8" w:space="0" w:color="auto"/>
              <w:bottom w:val="nil"/>
              <w:right w:val="single" w:sz="8" w:space="0" w:color="auto"/>
            </w:tcBorders>
            <w:shd w:val="clear" w:color="auto" w:fill="auto"/>
            <w:vAlign w:val="center"/>
          </w:tcPr>
          <w:p w14:paraId="791C1AFE" w14:textId="77777777" w:rsidR="004453F4" w:rsidRPr="00FC6195" w:rsidRDefault="004453F4" w:rsidP="004453F4">
            <w:pPr>
              <w:jc w:val="center"/>
              <w:rPr>
                <w:rFonts w:eastAsia="Times New Roman"/>
                <w:b/>
                <w:bCs/>
                <w:color w:val="000000"/>
                <w:sz w:val="17"/>
                <w:szCs w:val="17"/>
              </w:rPr>
            </w:pPr>
          </w:p>
        </w:tc>
        <w:tc>
          <w:tcPr>
            <w:tcW w:w="810" w:type="dxa"/>
            <w:tcBorders>
              <w:top w:val="nil"/>
              <w:left w:val="nil"/>
              <w:bottom w:val="nil"/>
              <w:right w:val="single" w:sz="8" w:space="0" w:color="auto"/>
            </w:tcBorders>
            <w:shd w:val="clear" w:color="auto" w:fill="auto"/>
            <w:vAlign w:val="center"/>
          </w:tcPr>
          <w:p w14:paraId="46447BCF" w14:textId="77777777" w:rsidR="004453F4" w:rsidRPr="00FC6195" w:rsidRDefault="004453F4" w:rsidP="004453F4">
            <w:pPr>
              <w:jc w:val="center"/>
              <w:rPr>
                <w:rFonts w:eastAsia="Times New Roman"/>
                <w:b/>
                <w:bCs/>
                <w:color w:val="000000"/>
                <w:sz w:val="17"/>
                <w:szCs w:val="17"/>
              </w:rPr>
            </w:pPr>
          </w:p>
        </w:tc>
        <w:tc>
          <w:tcPr>
            <w:tcW w:w="990" w:type="dxa"/>
            <w:tcBorders>
              <w:top w:val="nil"/>
              <w:left w:val="nil"/>
              <w:bottom w:val="nil"/>
              <w:right w:val="single" w:sz="8" w:space="0" w:color="auto"/>
            </w:tcBorders>
            <w:shd w:val="clear" w:color="auto" w:fill="auto"/>
            <w:vAlign w:val="center"/>
          </w:tcPr>
          <w:p w14:paraId="4C4E7FA7" w14:textId="77777777" w:rsidR="004453F4" w:rsidRPr="00FC6195" w:rsidRDefault="004453F4" w:rsidP="004453F4">
            <w:pPr>
              <w:jc w:val="both"/>
              <w:rPr>
                <w:rFonts w:eastAsia="Times New Roman"/>
                <w:b/>
                <w:bCs/>
                <w:color w:val="000000"/>
                <w:sz w:val="17"/>
                <w:szCs w:val="17"/>
              </w:rPr>
            </w:pPr>
          </w:p>
        </w:tc>
        <w:tc>
          <w:tcPr>
            <w:tcW w:w="990" w:type="dxa"/>
            <w:tcBorders>
              <w:top w:val="nil"/>
              <w:left w:val="nil"/>
              <w:bottom w:val="single" w:sz="8" w:space="0" w:color="auto"/>
              <w:right w:val="single" w:sz="8" w:space="0" w:color="auto"/>
            </w:tcBorders>
            <w:shd w:val="clear" w:color="auto" w:fill="auto"/>
            <w:noWrap/>
            <w:vAlign w:val="center"/>
          </w:tcPr>
          <w:p w14:paraId="7A840022" w14:textId="77777777" w:rsidR="004453F4" w:rsidRPr="009C5892" w:rsidRDefault="004453F4" w:rsidP="004453F4">
            <w:pPr>
              <w:jc w:val="center"/>
              <w:rPr>
                <w:rFonts w:asciiTheme="majorHAnsi" w:hAnsiTheme="majorHAnsi"/>
                <w:sz w:val="18"/>
                <w:szCs w:val="18"/>
              </w:rPr>
            </w:pPr>
          </w:p>
        </w:tc>
        <w:tc>
          <w:tcPr>
            <w:tcW w:w="2070" w:type="dxa"/>
            <w:tcBorders>
              <w:top w:val="nil"/>
              <w:left w:val="nil"/>
              <w:bottom w:val="single" w:sz="8" w:space="0" w:color="auto"/>
              <w:right w:val="single" w:sz="8" w:space="0" w:color="auto"/>
            </w:tcBorders>
            <w:shd w:val="clear" w:color="auto" w:fill="auto"/>
            <w:noWrap/>
            <w:vAlign w:val="center"/>
          </w:tcPr>
          <w:p w14:paraId="350609B8" w14:textId="73EC60B7" w:rsidR="004453F4" w:rsidRPr="009C5892" w:rsidRDefault="004453F4" w:rsidP="004453F4">
            <w:pPr>
              <w:rPr>
                <w:rFonts w:asciiTheme="majorHAnsi" w:hAnsiTheme="majorHAnsi"/>
                <w:b/>
                <w:sz w:val="18"/>
                <w:szCs w:val="18"/>
              </w:rPr>
            </w:pPr>
            <w:r w:rsidRPr="009C5892">
              <w:rPr>
                <w:rFonts w:asciiTheme="majorHAnsi" w:hAnsiTheme="majorHAnsi"/>
                <w:b/>
                <w:sz w:val="18"/>
                <w:szCs w:val="18"/>
              </w:rPr>
              <w:t xml:space="preserve">UNDP PM total </w:t>
            </w:r>
          </w:p>
        </w:tc>
        <w:tc>
          <w:tcPr>
            <w:tcW w:w="810" w:type="dxa"/>
            <w:tcBorders>
              <w:top w:val="nil"/>
              <w:left w:val="nil"/>
              <w:bottom w:val="single" w:sz="8" w:space="0" w:color="auto"/>
              <w:right w:val="single" w:sz="8" w:space="0" w:color="auto"/>
            </w:tcBorders>
            <w:shd w:val="clear" w:color="auto" w:fill="auto"/>
            <w:noWrap/>
            <w:vAlign w:val="center"/>
          </w:tcPr>
          <w:p w14:paraId="43AFAAF0" w14:textId="3436D20D" w:rsidR="004453F4" w:rsidRPr="009C5892" w:rsidRDefault="004453F4" w:rsidP="004453F4">
            <w:pPr>
              <w:jc w:val="center"/>
              <w:rPr>
                <w:rFonts w:asciiTheme="majorHAnsi" w:eastAsia="Times New Roman" w:hAnsiTheme="majorHAnsi"/>
                <w:b/>
                <w:color w:val="000000"/>
                <w:sz w:val="17"/>
                <w:szCs w:val="17"/>
              </w:rPr>
            </w:pPr>
            <w:r w:rsidRPr="009C5892">
              <w:rPr>
                <w:rFonts w:asciiTheme="majorHAnsi" w:eastAsia="Times New Roman" w:hAnsiTheme="majorHAnsi"/>
                <w:b/>
                <w:color w:val="000000"/>
                <w:sz w:val="17"/>
                <w:szCs w:val="17"/>
              </w:rPr>
              <w:t>10</w:t>
            </w:r>
            <w:r w:rsidR="00186A86">
              <w:rPr>
                <w:rFonts w:asciiTheme="majorHAnsi" w:eastAsia="Times New Roman" w:hAnsiTheme="majorHAnsi"/>
                <w:b/>
                <w:color w:val="000000"/>
                <w:sz w:val="17"/>
                <w:szCs w:val="17"/>
              </w:rPr>
              <w:t>,</w:t>
            </w:r>
            <w:r w:rsidRPr="009C5892">
              <w:rPr>
                <w:rFonts w:asciiTheme="majorHAnsi" w:eastAsia="Times New Roman" w:hAnsiTheme="majorHAnsi"/>
                <w:b/>
                <w:color w:val="000000"/>
                <w:sz w:val="17"/>
                <w:szCs w:val="17"/>
              </w:rPr>
              <w:t>000</w:t>
            </w:r>
          </w:p>
        </w:tc>
        <w:tc>
          <w:tcPr>
            <w:tcW w:w="1010" w:type="dxa"/>
            <w:tcBorders>
              <w:top w:val="nil"/>
              <w:left w:val="nil"/>
              <w:bottom w:val="single" w:sz="8" w:space="0" w:color="auto"/>
              <w:right w:val="single" w:sz="8" w:space="0" w:color="auto"/>
            </w:tcBorders>
            <w:shd w:val="clear" w:color="auto" w:fill="auto"/>
            <w:noWrap/>
            <w:vAlign w:val="center"/>
          </w:tcPr>
          <w:p w14:paraId="453DA3E3" w14:textId="3028534E" w:rsidR="004453F4" w:rsidRPr="009C5892" w:rsidRDefault="004453F4" w:rsidP="004453F4">
            <w:pPr>
              <w:jc w:val="center"/>
              <w:rPr>
                <w:rFonts w:asciiTheme="majorHAnsi" w:eastAsia="Times New Roman" w:hAnsiTheme="majorHAnsi"/>
                <w:b/>
                <w:color w:val="000000"/>
                <w:sz w:val="17"/>
                <w:szCs w:val="17"/>
              </w:rPr>
            </w:pPr>
            <w:r w:rsidRPr="009C5892">
              <w:rPr>
                <w:rFonts w:asciiTheme="majorHAnsi" w:eastAsia="Times New Roman" w:hAnsiTheme="majorHAnsi"/>
                <w:b/>
                <w:color w:val="000000"/>
                <w:sz w:val="17"/>
                <w:szCs w:val="17"/>
              </w:rPr>
              <w:t>26</w:t>
            </w:r>
            <w:r w:rsidR="00186A86">
              <w:rPr>
                <w:rFonts w:asciiTheme="majorHAnsi" w:eastAsia="Times New Roman" w:hAnsiTheme="majorHAnsi"/>
                <w:b/>
                <w:color w:val="000000"/>
                <w:sz w:val="17"/>
                <w:szCs w:val="17"/>
              </w:rPr>
              <w:t>,</w:t>
            </w:r>
            <w:r w:rsidRPr="009C5892">
              <w:rPr>
                <w:rFonts w:asciiTheme="majorHAnsi" w:eastAsia="Times New Roman" w:hAnsiTheme="majorHAnsi"/>
                <w:b/>
                <w:color w:val="000000"/>
                <w:sz w:val="17"/>
                <w:szCs w:val="17"/>
              </w:rPr>
              <w:t>600</w:t>
            </w:r>
          </w:p>
        </w:tc>
        <w:tc>
          <w:tcPr>
            <w:tcW w:w="970" w:type="dxa"/>
            <w:tcBorders>
              <w:top w:val="nil"/>
              <w:left w:val="nil"/>
              <w:bottom w:val="single" w:sz="8" w:space="0" w:color="auto"/>
              <w:right w:val="single" w:sz="8" w:space="0" w:color="auto"/>
            </w:tcBorders>
            <w:shd w:val="clear" w:color="auto" w:fill="auto"/>
            <w:noWrap/>
            <w:vAlign w:val="center"/>
          </w:tcPr>
          <w:p w14:paraId="68C5081D" w14:textId="2DBD28BF" w:rsidR="004453F4" w:rsidRPr="009C5892" w:rsidRDefault="00186A86" w:rsidP="004453F4">
            <w:pPr>
              <w:jc w:val="center"/>
              <w:rPr>
                <w:rFonts w:asciiTheme="majorHAnsi" w:eastAsia="Times New Roman" w:hAnsiTheme="majorHAnsi"/>
                <w:b/>
                <w:color w:val="000000"/>
                <w:sz w:val="17"/>
                <w:szCs w:val="17"/>
              </w:rPr>
            </w:pPr>
            <w:r>
              <w:rPr>
                <w:rFonts w:asciiTheme="majorHAnsi" w:eastAsia="Times New Roman" w:hAnsiTheme="majorHAnsi"/>
                <w:b/>
                <w:color w:val="000000"/>
                <w:sz w:val="17"/>
                <w:szCs w:val="17"/>
              </w:rPr>
              <w:t>26,</w:t>
            </w:r>
            <w:r w:rsidR="004453F4" w:rsidRPr="009C5892">
              <w:rPr>
                <w:rFonts w:asciiTheme="majorHAnsi" w:eastAsia="Times New Roman" w:hAnsiTheme="majorHAnsi"/>
                <w:b/>
                <w:color w:val="000000"/>
                <w:sz w:val="17"/>
                <w:szCs w:val="17"/>
              </w:rPr>
              <w:t>600</w:t>
            </w:r>
          </w:p>
        </w:tc>
        <w:tc>
          <w:tcPr>
            <w:tcW w:w="1080" w:type="dxa"/>
            <w:tcBorders>
              <w:top w:val="nil"/>
              <w:left w:val="nil"/>
              <w:bottom w:val="single" w:sz="8" w:space="0" w:color="auto"/>
              <w:right w:val="single" w:sz="8" w:space="0" w:color="auto"/>
            </w:tcBorders>
            <w:shd w:val="clear" w:color="auto" w:fill="auto"/>
            <w:noWrap/>
            <w:vAlign w:val="center"/>
          </w:tcPr>
          <w:p w14:paraId="69D539C4" w14:textId="30460F28" w:rsidR="004453F4" w:rsidRPr="009C5892" w:rsidRDefault="004453F4" w:rsidP="004453F4">
            <w:pPr>
              <w:jc w:val="center"/>
              <w:rPr>
                <w:rFonts w:asciiTheme="majorHAnsi" w:eastAsia="Times New Roman" w:hAnsiTheme="majorHAnsi"/>
                <w:b/>
                <w:color w:val="000000"/>
                <w:sz w:val="17"/>
                <w:szCs w:val="17"/>
              </w:rPr>
            </w:pPr>
            <w:r w:rsidRPr="009C5892">
              <w:rPr>
                <w:rFonts w:asciiTheme="majorHAnsi" w:eastAsia="Times New Roman" w:hAnsiTheme="majorHAnsi"/>
                <w:b/>
                <w:color w:val="000000"/>
                <w:sz w:val="17"/>
                <w:szCs w:val="17"/>
              </w:rPr>
              <w:t>26</w:t>
            </w:r>
            <w:r w:rsidR="00186A86">
              <w:rPr>
                <w:rFonts w:asciiTheme="majorHAnsi" w:eastAsia="Times New Roman" w:hAnsiTheme="majorHAnsi"/>
                <w:b/>
                <w:color w:val="000000"/>
                <w:sz w:val="17"/>
                <w:szCs w:val="17"/>
              </w:rPr>
              <w:t>,</w:t>
            </w:r>
            <w:r w:rsidRPr="009C5892">
              <w:rPr>
                <w:rFonts w:asciiTheme="majorHAnsi" w:eastAsia="Times New Roman" w:hAnsiTheme="majorHAnsi"/>
                <w:b/>
                <w:color w:val="000000"/>
                <w:sz w:val="17"/>
                <w:szCs w:val="17"/>
              </w:rPr>
              <w:t>800</w:t>
            </w:r>
          </w:p>
        </w:tc>
        <w:tc>
          <w:tcPr>
            <w:tcW w:w="1170" w:type="dxa"/>
            <w:tcBorders>
              <w:top w:val="nil"/>
              <w:left w:val="nil"/>
              <w:bottom w:val="single" w:sz="8" w:space="0" w:color="auto"/>
              <w:right w:val="single" w:sz="8" w:space="0" w:color="auto"/>
            </w:tcBorders>
            <w:shd w:val="clear" w:color="auto" w:fill="auto"/>
            <w:noWrap/>
            <w:vAlign w:val="center"/>
          </w:tcPr>
          <w:p w14:paraId="3416105C" w14:textId="6F43FCA3" w:rsidR="004453F4" w:rsidRPr="009C5892" w:rsidRDefault="00186A86" w:rsidP="004453F4">
            <w:pPr>
              <w:jc w:val="center"/>
              <w:rPr>
                <w:rFonts w:asciiTheme="majorHAnsi" w:eastAsia="Times New Roman" w:hAnsiTheme="majorHAnsi"/>
                <w:b/>
                <w:color w:val="000000"/>
                <w:sz w:val="17"/>
                <w:szCs w:val="17"/>
              </w:rPr>
            </w:pPr>
            <w:r>
              <w:rPr>
                <w:rFonts w:asciiTheme="majorHAnsi" w:eastAsia="Times New Roman" w:hAnsiTheme="majorHAnsi"/>
                <w:b/>
                <w:color w:val="000000"/>
                <w:sz w:val="17"/>
                <w:szCs w:val="17"/>
              </w:rPr>
              <w:t>10,</w:t>
            </w:r>
            <w:r w:rsidR="004453F4" w:rsidRPr="009C5892">
              <w:rPr>
                <w:rFonts w:asciiTheme="majorHAnsi" w:eastAsia="Times New Roman" w:hAnsiTheme="majorHAnsi"/>
                <w:b/>
                <w:color w:val="000000"/>
                <w:sz w:val="17"/>
                <w:szCs w:val="17"/>
              </w:rPr>
              <w:t>000</w:t>
            </w:r>
          </w:p>
        </w:tc>
        <w:tc>
          <w:tcPr>
            <w:tcW w:w="1080" w:type="dxa"/>
            <w:tcBorders>
              <w:top w:val="nil"/>
              <w:left w:val="nil"/>
              <w:bottom w:val="single" w:sz="8" w:space="0" w:color="auto"/>
              <w:right w:val="single" w:sz="8" w:space="0" w:color="auto"/>
            </w:tcBorders>
            <w:shd w:val="clear" w:color="auto" w:fill="auto"/>
            <w:noWrap/>
            <w:vAlign w:val="center"/>
          </w:tcPr>
          <w:p w14:paraId="4D7E7270" w14:textId="16C87FCA" w:rsidR="004453F4" w:rsidRPr="009C5892" w:rsidRDefault="00186A86" w:rsidP="004453F4">
            <w:pPr>
              <w:jc w:val="center"/>
              <w:rPr>
                <w:rFonts w:eastAsia="Times New Roman"/>
                <w:b/>
                <w:bCs/>
                <w:color w:val="000000"/>
                <w:sz w:val="17"/>
                <w:szCs w:val="17"/>
              </w:rPr>
            </w:pPr>
            <w:r>
              <w:rPr>
                <w:rFonts w:eastAsia="Times New Roman"/>
                <w:b/>
                <w:bCs/>
                <w:color w:val="000000"/>
                <w:sz w:val="17"/>
                <w:szCs w:val="17"/>
              </w:rPr>
              <w:t>100,</w:t>
            </w:r>
            <w:r w:rsidR="004453F4" w:rsidRPr="009C5892">
              <w:rPr>
                <w:rFonts w:eastAsia="Times New Roman"/>
                <w:b/>
                <w:bCs/>
                <w:color w:val="000000"/>
                <w:sz w:val="17"/>
                <w:szCs w:val="17"/>
              </w:rPr>
              <w:t>000</w:t>
            </w:r>
          </w:p>
        </w:tc>
        <w:tc>
          <w:tcPr>
            <w:tcW w:w="900" w:type="dxa"/>
            <w:tcBorders>
              <w:top w:val="nil"/>
              <w:left w:val="nil"/>
              <w:bottom w:val="single" w:sz="8" w:space="0" w:color="auto"/>
              <w:right w:val="single" w:sz="8" w:space="0" w:color="auto"/>
            </w:tcBorders>
            <w:shd w:val="clear" w:color="auto" w:fill="auto"/>
            <w:vAlign w:val="center"/>
          </w:tcPr>
          <w:p w14:paraId="06F90470" w14:textId="77777777" w:rsidR="004453F4" w:rsidRPr="009C5892" w:rsidRDefault="004453F4" w:rsidP="004453F4">
            <w:pPr>
              <w:jc w:val="center"/>
              <w:rPr>
                <w:rFonts w:eastAsia="Times New Roman"/>
                <w:i/>
                <w:iCs/>
                <w:color w:val="000000"/>
                <w:sz w:val="17"/>
                <w:szCs w:val="17"/>
              </w:rPr>
            </w:pPr>
          </w:p>
        </w:tc>
      </w:tr>
      <w:tr w:rsidR="004453F4" w:rsidRPr="00FC6195" w14:paraId="033DAA05" w14:textId="77777777" w:rsidTr="004453F4">
        <w:trPr>
          <w:trHeight w:val="583"/>
        </w:trPr>
        <w:tc>
          <w:tcPr>
            <w:tcW w:w="1181" w:type="dxa"/>
            <w:tcBorders>
              <w:top w:val="nil"/>
              <w:left w:val="single" w:sz="8" w:space="0" w:color="auto"/>
              <w:bottom w:val="double" w:sz="6" w:space="0" w:color="auto"/>
              <w:right w:val="nil"/>
            </w:tcBorders>
            <w:shd w:val="clear" w:color="auto" w:fill="auto"/>
            <w:noWrap/>
            <w:vAlign w:val="center"/>
            <w:hideMark/>
          </w:tcPr>
          <w:p w14:paraId="7B57EA11" w14:textId="77777777" w:rsidR="004453F4" w:rsidRPr="00FC6195" w:rsidRDefault="004453F4" w:rsidP="004453F4">
            <w:pPr>
              <w:rPr>
                <w:rFonts w:eastAsia="Times New Roman"/>
                <w:color w:val="000000"/>
                <w:sz w:val="17"/>
                <w:szCs w:val="17"/>
              </w:rPr>
            </w:pPr>
            <w:r w:rsidRPr="00FC6195">
              <w:rPr>
                <w:rFonts w:eastAsia="Times New Roman"/>
                <w:color w:val="000000"/>
                <w:sz w:val="17"/>
                <w:szCs w:val="17"/>
              </w:rPr>
              <w:t> </w:t>
            </w:r>
          </w:p>
        </w:tc>
        <w:tc>
          <w:tcPr>
            <w:tcW w:w="1149" w:type="dxa"/>
            <w:tcBorders>
              <w:top w:val="nil"/>
              <w:left w:val="single" w:sz="8" w:space="0" w:color="auto"/>
              <w:bottom w:val="double" w:sz="6" w:space="0" w:color="auto"/>
              <w:right w:val="single" w:sz="8" w:space="0" w:color="auto"/>
            </w:tcBorders>
            <w:shd w:val="clear" w:color="auto" w:fill="auto"/>
            <w:vAlign w:val="center"/>
            <w:hideMark/>
          </w:tcPr>
          <w:p w14:paraId="76BB8289" w14:textId="77777777" w:rsidR="004453F4" w:rsidRPr="00FC6195" w:rsidRDefault="004453F4" w:rsidP="004453F4">
            <w:pPr>
              <w:jc w:val="center"/>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bottom w:val="double" w:sz="6" w:space="0" w:color="auto"/>
              <w:right w:val="single" w:sz="8" w:space="0" w:color="auto"/>
            </w:tcBorders>
            <w:shd w:val="clear" w:color="auto" w:fill="auto"/>
            <w:vAlign w:val="center"/>
            <w:hideMark/>
          </w:tcPr>
          <w:p w14:paraId="128BC56C" w14:textId="77777777" w:rsidR="004453F4" w:rsidRPr="00FC6195" w:rsidRDefault="004453F4" w:rsidP="004453F4">
            <w:pPr>
              <w:jc w:val="both"/>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double" w:sz="6" w:space="0" w:color="auto"/>
              <w:right w:val="single" w:sz="8" w:space="0" w:color="auto"/>
            </w:tcBorders>
            <w:shd w:val="clear" w:color="auto" w:fill="auto"/>
            <w:vAlign w:val="center"/>
            <w:hideMark/>
          </w:tcPr>
          <w:p w14:paraId="17217942" w14:textId="77777777" w:rsidR="004453F4" w:rsidRPr="00FC6195" w:rsidRDefault="004453F4" w:rsidP="004453F4">
            <w:pPr>
              <w:jc w:val="both"/>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double" w:sz="6" w:space="0" w:color="auto"/>
              <w:right w:val="single" w:sz="8" w:space="0" w:color="auto"/>
            </w:tcBorders>
            <w:shd w:val="clear" w:color="auto" w:fill="auto"/>
            <w:noWrap/>
            <w:vAlign w:val="center"/>
            <w:hideMark/>
          </w:tcPr>
          <w:p w14:paraId="7A359537" w14:textId="77777777" w:rsidR="004453F4" w:rsidRPr="00FC6195" w:rsidRDefault="004453F4" w:rsidP="004453F4">
            <w:pPr>
              <w:jc w:val="center"/>
              <w:rPr>
                <w:rFonts w:eastAsia="Times New Roman"/>
                <w:b/>
                <w:bCs/>
                <w:color w:val="000000"/>
                <w:sz w:val="17"/>
                <w:szCs w:val="17"/>
              </w:rPr>
            </w:pPr>
            <w:r w:rsidRPr="00FC6195">
              <w:rPr>
                <w:rFonts w:eastAsia="Times New Roman"/>
                <w:b/>
                <w:bCs/>
                <w:color w:val="000000"/>
                <w:sz w:val="17"/>
                <w:szCs w:val="17"/>
              </w:rPr>
              <w:t> </w:t>
            </w:r>
          </w:p>
        </w:tc>
        <w:tc>
          <w:tcPr>
            <w:tcW w:w="2070" w:type="dxa"/>
            <w:tcBorders>
              <w:top w:val="nil"/>
              <w:left w:val="nil"/>
              <w:bottom w:val="double" w:sz="6" w:space="0" w:color="auto"/>
              <w:right w:val="single" w:sz="8" w:space="0" w:color="auto"/>
            </w:tcBorders>
            <w:shd w:val="clear" w:color="auto" w:fill="auto"/>
            <w:vAlign w:val="center"/>
            <w:hideMark/>
          </w:tcPr>
          <w:p w14:paraId="74AA60AE" w14:textId="77777777" w:rsidR="004453F4" w:rsidRPr="00FC6195" w:rsidRDefault="004453F4" w:rsidP="004453F4">
            <w:pPr>
              <w:rPr>
                <w:rFonts w:eastAsia="Times New Roman"/>
                <w:b/>
                <w:bCs/>
                <w:color w:val="000000"/>
                <w:sz w:val="17"/>
                <w:szCs w:val="17"/>
              </w:rPr>
            </w:pPr>
            <w:r w:rsidRPr="00FC6195">
              <w:rPr>
                <w:rFonts w:eastAsia="Times New Roman"/>
                <w:b/>
                <w:bCs/>
                <w:color w:val="000000"/>
                <w:sz w:val="17"/>
                <w:szCs w:val="17"/>
              </w:rPr>
              <w:t>Total Project Management</w:t>
            </w:r>
          </w:p>
        </w:tc>
        <w:tc>
          <w:tcPr>
            <w:tcW w:w="810" w:type="dxa"/>
            <w:tcBorders>
              <w:top w:val="nil"/>
              <w:left w:val="nil"/>
              <w:bottom w:val="double" w:sz="6" w:space="0" w:color="auto"/>
              <w:right w:val="single" w:sz="8" w:space="0" w:color="auto"/>
            </w:tcBorders>
            <w:shd w:val="clear" w:color="auto" w:fill="auto"/>
            <w:noWrap/>
            <w:vAlign w:val="center"/>
          </w:tcPr>
          <w:p w14:paraId="474BDD3C" w14:textId="0D12B5DC" w:rsidR="004453F4" w:rsidRPr="00FC6195" w:rsidRDefault="004453F4" w:rsidP="004453F4">
            <w:pPr>
              <w:jc w:val="center"/>
              <w:rPr>
                <w:rFonts w:eastAsia="Times New Roman"/>
                <w:b/>
                <w:bCs/>
                <w:color w:val="000000"/>
                <w:sz w:val="17"/>
                <w:szCs w:val="17"/>
              </w:rPr>
            </w:pPr>
            <w:r>
              <w:rPr>
                <w:rFonts w:eastAsia="Times New Roman"/>
                <w:b/>
                <w:bCs/>
                <w:color w:val="000000"/>
                <w:sz w:val="17"/>
                <w:szCs w:val="17"/>
              </w:rPr>
              <w:t>45,100</w:t>
            </w:r>
          </w:p>
        </w:tc>
        <w:tc>
          <w:tcPr>
            <w:tcW w:w="1010" w:type="dxa"/>
            <w:tcBorders>
              <w:top w:val="nil"/>
              <w:left w:val="nil"/>
              <w:bottom w:val="double" w:sz="6" w:space="0" w:color="auto"/>
              <w:right w:val="single" w:sz="8" w:space="0" w:color="auto"/>
            </w:tcBorders>
            <w:shd w:val="clear" w:color="auto" w:fill="auto"/>
            <w:noWrap/>
            <w:vAlign w:val="center"/>
          </w:tcPr>
          <w:p w14:paraId="44732189" w14:textId="69495975" w:rsidR="004453F4" w:rsidRPr="00FC6195" w:rsidRDefault="004453F4" w:rsidP="004453F4">
            <w:pPr>
              <w:jc w:val="center"/>
              <w:rPr>
                <w:rFonts w:eastAsia="Times New Roman"/>
                <w:b/>
                <w:bCs/>
                <w:color w:val="000000"/>
                <w:sz w:val="17"/>
                <w:szCs w:val="17"/>
              </w:rPr>
            </w:pPr>
            <w:r>
              <w:rPr>
                <w:rFonts w:eastAsia="Times New Roman"/>
                <w:b/>
                <w:bCs/>
                <w:color w:val="000000"/>
                <w:sz w:val="17"/>
                <w:szCs w:val="17"/>
              </w:rPr>
              <w:t>71,100</w:t>
            </w:r>
          </w:p>
        </w:tc>
        <w:tc>
          <w:tcPr>
            <w:tcW w:w="970" w:type="dxa"/>
            <w:tcBorders>
              <w:top w:val="nil"/>
              <w:left w:val="nil"/>
              <w:bottom w:val="double" w:sz="6" w:space="0" w:color="auto"/>
              <w:right w:val="single" w:sz="8" w:space="0" w:color="auto"/>
            </w:tcBorders>
            <w:shd w:val="clear" w:color="auto" w:fill="auto"/>
            <w:noWrap/>
            <w:vAlign w:val="center"/>
          </w:tcPr>
          <w:p w14:paraId="0FDA5D57" w14:textId="0BADD605" w:rsidR="004453F4" w:rsidRPr="00FC6195" w:rsidRDefault="004453F4" w:rsidP="004453F4">
            <w:pPr>
              <w:jc w:val="center"/>
              <w:rPr>
                <w:rFonts w:eastAsia="Times New Roman"/>
                <w:b/>
                <w:bCs/>
                <w:color w:val="000000"/>
                <w:sz w:val="17"/>
                <w:szCs w:val="17"/>
              </w:rPr>
            </w:pPr>
            <w:r>
              <w:rPr>
                <w:rFonts w:eastAsia="Times New Roman"/>
                <w:b/>
                <w:bCs/>
                <w:color w:val="000000"/>
                <w:sz w:val="17"/>
                <w:szCs w:val="17"/>
              </w:rPr>
              <w:t>71,600</w:t>
            </w:r>
          </w:p>
        </w:tc>
        <w:tc>
          <w:tcPr>
            <w:tcW w:w="1080" w:type="dxa"/>
            <w:tcBorders>
              <w:top w:val="nil"/>
              <w:left w:val="nil"/>
              <w:bottom w:val="double" w:sz="6" w:space="0" w:color="auto"/>
              <w:right w:val="single" w:sz="8" w:space="0" w:color="auto"/>
            </w:tcBorders>
            <w:shd w:val="clear" w:color="auto" w:fill="auto"/>
            <w:noWrap/>
            <w:vAlign w:val="center"/>
          </w:tcPr>
          <w:p w14:paraId="473B7A8B" w14:textId="7A7514E8" w:rsidR="004453F4" w:rsidRPr="00FC6195" w:rsidRDefault="004453F4" w:rsidP="004453F4">
            <w:pPr>
              <w:jc w:val="center"/>
              <w:rPr>
                <w:rFonts w:eastAsia="Times New Roman"/>
                <w:b/>
                <w:bCs/>
                <w:color w:val="000000"/>
                <w:sz w:val="17"/>
                <w:szCs w:val="17"/>
              </w:rPr>
            </w:pPr>
            <w:r>
              <w:rPr>
                <w:rFonts w:eastAsia="Times New Roman"/>
                <w:b/>
                <w:bCs/>
                <w:color w:val="000000"/>
                <w:sz w:val="17"/>
                <w:szCs w:val="17"/>
              </w:rPr>
              <w:t>71,200</w:t>
            </w:r>
          </w:p>
        </w:tc>
        <w:tc>
          <w:tcPr>
            <w:tcW w:w="1170" w:type="dxa"/>
            <w:tcBorders>
              <w:top w:val="nil"/>
              <w:left w:val="nil"/>
              <w:bottom w:val="double" w:sz="6" w:space="0" w:color="auto"/>
              <w:right w:val="single" w:sz="8" w:space="0" w:color="auto"/>
            </w:tcBorders>
            <w:shd w:val="clear" w:color="auto" w:fill="auto"/>
            <w:noWrap/>
            <w:vAlign w:val="center"/>
          </w:tcPr>
          <w:p w14:paraId="4FD8F937" w14:textId="0FA7F7AF" w:rsidR="004453F4" w:rsidRPr="00FC6195" w:rsidRDefault="004453F4" w:rsidP="004453F4">
            <w:pPr>
              <w:jc w:val="center"/>
              <w:rPr>
                <w:rFonts w:eastAsia="Times New Roman"/>
                <w:b/>
                <w:bCs/>
                <w:color w:val="000000"/>
                <w:sz w:val="17"/>
                <w:szCs w:val="17"/>
              </w:rPr>
            </w:pPr>
            <w:r>
              <w:rPr>
                <w:rFonts w:eastAsia="Times New Roman"/>
                <w:b/>
                <w:bCs/>
                <w:color w:val="000000"/>
                <w:sz w:val="17"/>
                <w:szCs w:val="17"/>
              </w:rPr>
              <w:t>51,100</w:t>
            </w:r>
          </w:p>
        </w:tc>
        <w:tc>
          <w:tcPr>
            <w:tcW w:w="1080" w:type="dxa"/>
            <w:tcBorders>
              <w:top w:val="nil"/>
              <w:left w:val="nil"/>
              <w:bottom w:val="double" w:sz="6" w:space="0" w:color="auto"/>
              <w:right w:val="single" w:sz="8" w:space="0" w:color="auto"/>
            </w:tcBorders>
            <w:shd w:val="clear" w:color="auto" w:fill="auto"/>
            <w:noWrap/>
            <w:vAlign w:val="center"/>
            <w:hideMark/>
          </w:tcPr>
          <w:p w14:paraId="51DDA133" w14:textId="464185BF" w:rsidR="004453F4" w:rsidRPr="00FC6195" w:rsidRDefault="009C5892" w:rsidP="004453F4">
            <w:pPr>
              <w:jc w:val="center"/>
              <w:rPr>
                <w:rFonts w:eastAsia="Times New Roman"/>
                <w:b/>
                <w:bCs/>
                <w:color w:val="000000"/>
                <w:sz w:val="17"/>
                <w:szCs w:val="17"/>
              </w:rPr>
            </w:pPr>
            <w:r>
              <w:rPr>
                <w:rFonts w:eastAsia="Times New Roman"/>
                <w:b/>
                <w:bCs/>
                <w:color w:val="000000"/>
                <w:sz w:val="17"/>
                <w:szCs w:val="17"/>
              </w:rPr>
              <w:t>310,0</w:t>
            </w:r>
            <w:r w:rsidR="004453F4">
              <w:rPr>
                <w:rFonts w:eastAsia="Times New Roman"/>
                <w:b/>
                <w:bCs/>
                <w:color w:val="000000"/>
                <w:sz w:val="17"/>
                <w:szCs w:val="17"/>
              </w:rPr>
              <w:t>00</w:t>
            </w:r>
          </w:p>
        </w:tc>
        <w:tc>
          <w:tcPr>
            <w:tcW w:w="900" w:type="dxa"/>
            <w:tcBorders>
              <w:top w:val="nil"/>
              <w:left w:val="nil"/>
              <w:bottom w:val="double" w:sz="6" w:space="0" w:color="auto"/>
              <w:right w:val="single" w:sz="8" w:space="0" w:color="auto"/>
            </w:tcBorders>
            <w:shd w:val="clear" w:color="auto" w:fill="auto"/>
            <w:vAlign w:val="center"/>
            <w:hideMark/>
          </w:tcPr>
          <w:p w14:paraId="3E7E02C9" w14:textId="77777777" w:rsidR="004453F4" w:rsidRPr="00FC6195" w:rsidRDefault="004453F4" w:rsidP="004453F4">
            <w:pPr>
              <w:jc w:val="center"/>
              <w:rPr>
                <w:rFonts w:eastAsia="Times New Roman"/>
                <w:color w:val="000000"/>
                <w:sz w:val="17"/>
                <w:szCs w:val="17"/>
              </w:rPr>
            </w:pPr>
            <w:r w:rsidRPr="00FC6195">
              <w:rPr>
                <w:rFonts w:eastAsia="Times New Roman"/>
                <w:color w:val="000000"/>
                <w:sz w:val="17"/>
                <w:szCs w:val="17"/>
              </w:rPr>
              <w:t> </w:t>
            </w:r>
          </w:p>
        </w:tc>
      </w:tr>
      <w:tr w:rsidR="004453F4" w:rsidRPr="006C2700" w14:paraId="2188A3B3" w14:textId="77777777" w:rsidTr="006C2700">
        <w:trPr>
          <w:trHeight w:val="315"/>
        </w:trPr>
        <w:tc>
          <w:tcPr>
            <w:tcW w:w="1181" w:type="dxa"/>
            <w:tcBorders>
              <w:top w:val="nil"/>
              <w:left w:val="single" w:sz="8" w:space="0" w:color="auto"/>
              <w:bottom w:val="double" w:sz="6" w:space="0" w:color="auto"/>
              <w:right w:val="nil"/>
            </w:tcBorders>
            <w:shd w:val="clear" w:color="auto" w:fill="auto"/>
            <w:noWrap/>
            <w:vAlign w:val="center"/>
          </w:tcPr>
          <w:p w14:paraId="30F698D0" w14:textId="77777777" w:rsidR="004453F4" w:rsidRPr="00FC6195" w:rsidRDefault="004453F4" w:rsidP="004453F4">
            <w:pPr>
              <w:rPr>
                <w:rFonts w:eastAsia="Times New Roman"/>
                <w:color w:val="000000"/>
                <w:sz w:val="17"/>
                <w:szCs w:val="17"/>
              </w:rPr>
            </w:pPr>
          </w:p>
        </w:tc>
        <w:tc>
          <w:tcPr>
            <w:tcW w:w="1149" w:type="dxa"/>
            <w:tcBorders>
              <w:top w:val="nil"/>
              <w:left w:val="single" w:sz="8" w:space="0" w:color="auto"/>
              <w:bottom w:val="double" w:sz="6" w:space="0" w:color="auto"/>
              <w:right w:val="single" w:sz="8" w:space="0" w:color="auto"/>
            </w:tcBorders>
            <w:shd w:val="clear" w:color="auto" w:fill="auto"/>
            <w:vAlign w:val="center"/>
          </w:tcPr>
          <w:p w14:paraId="7F513EBF" w14:textId="77777777" w:rsidR="004453F4" w:rsidRPr="00FC6195" w:rsidRDefault="004453F4" w:rsidP="004453F4">
            <w:pPr>
              <w:jc w:val="center"/>
              <w:rPr>
                <w:rFonts w:eastAsia="Times New Roman"/>
                <w:b/>
                <w:bCs/>
                <w:color w:val="000000"/>
                <w:sz w:val="17"/>
                <w:szCs w:val="17"/>
              </w:rPr>
            </w:pPr>
          </w:p>
        </w:tc>
        <w:tc>
          <w:tcPr>
            <w:tcW w:w="810" w:type="dxa"/>
            <w:tcBorders>
              <w:top w:val="nil"/>
              <w:left w:val="nil"/>
              <w:bottom w:val="double" w:sz="6" w:space="0" w:color="auto"/>
              <w:right w:val="single" w:sz="8" w:space="0" w:color="auto"/>
            </w:tcBorders>
            <w:shd w:val="clear" w:color="auto" w:fill="auto"/>
            <w:vAlign w:val="center"/>
          </w:tcPr>
          <w:p w14:paraId="6AE127C2" w14:textId="77777777" w:rsidR="004453F4" w:rsidRPr="00FC6195" w:rsidRDefault="004453F4" w:rsidP="004453F4">
            <w:pPr>
              <w:jc w:val="both"/>
              <w:rPr>
                <w:rFonts w:eastAsia="Times New Roman"/>
                <w:b/>
                <w:bCs/>
                <w:color w:val="000000"/>
                <w:sz w:val="17"/>
                <w:szCs w:val="17"/>
              </w:rPr>
            </w:pPr>
          </w:p>
        </w:tc>
        <w:tc>
          <w:tcPr>
            <w:tcW w:w="990" w:type="dxa"/>
            <w:tcBorders>
              <w:top w:val="nil"/>
              <w:left w:val="nil"/>
              <w:bottom w:val="double" w:sz="6" w:space="0" w:color="auto"/>
              <w:right w:val="single" w:sz="8" w:space="0" w:color="auto"/>
            </w:tcBorders>
            <w:shd w:val="clear" w:color="auto" w:fill="auto"/>
            <w:vAlign w:val="center"/>
          </w:tcPr>
          <w:p w14:paraId="5ABF3FC7" w14:textId="77777777" w:rsidR="004453F4" w:rsidRPr="00FC6195" w:rsidRDefault="004453F4" w:rsidP="004453F4">
            <w:pPr>
              <w:jc w:val="both"/>
              <w:rPr>
                <w:rFonts w:eastAsia="Times New Roman"/>
                <w:b/>
                <w:bCs/>
                <w:color w:val="000000"/>
                <w:sz w:val="17"/>
                <w:szCs w:val="17"/>
              </w:rPr>
            </w:pPr>
          </w:p>
        </w:tc>
        <w:tc>
          <w:tcPr>
            <w:tcW w:w="990" w:type="dxa"/>
            <w:tcBorders>
              <w:top w:val="nil"/>
              <w:left w:val="nil"/>
              <w:bottom w:val="double" w:sz="6" w:space="0" w:color="auto"/>
              <w:right w:val="single" w:sz="8" w:space="0" w:color="auto"/>
            </w:tcBorders>
            <w:shd w:val="clear" w:color="auto" w:fill="auto"/>
            <w:noWrap/>
            <w:vAlign w:val="center"/>
          </w:tcPr>
          <w:p w14:paraId="75FE8A55" w14:textId="77777777" w:rsidR="004453F4" w:rsidRPr="00FC6195" w:rsidRDefault="004453F4" w:rsidP="004453F4">
            <w:pPr>
              <w:jc w:val="center"/>
              <w:rPr>
                <w:rFonts w:eastAsia="Times New Roman"/>
                <w:b/>
                <w:bCs/>
                <w:color w:val="000000"/>
                <w:sz w:val="17"/>
                <w:szCs w:val="17"/>
              </w:rPr>
            </w:pPr>
          </w:p>
        </w:tc>
        <w:tc>
          <w:tcPr>
            <w:tcW w:w="2070" w:type="dxa"/>
            <w:tcBorders>
              <w:top w:val="nil"/>
              <w:left w:val="nil"/>
              <w:bottom w:val="double" w:sz="6" w:space="0" w:color="auto"/>
              <w:right w:val="single" w:sz="8" w:space="0" w:color="auto"/>
            </w:tcBorders>
            <w:shd w:val="clear" w:color="auto" w:fill="00B0F0"/>
            <w:vAlign w:val="center"/>
          </w:tcPr>
          <w:p w14:paraId="410DE54D" w14:textId="10330890" w:rsidR="004453F4" w:rsidRPr="006C2700" w:rsidRDefault="004453F4" w:rsidP="004453F4">
            <w:pPr>
              <w:rPr>
                <w:rFonts w:eastAsia="Times New Roman"/>
                <w:b/>
                <w:bCs/>
                <w:color w:val="000000"/>
                <w:sz w:val="17"/>
                <w:szCs w:val="17"/>
              </w:rPr>
            </w:pPr>
            <w:r w:rsidRPr="006C2700">
              <w:rPr>
                <w:rFonts w:eastAsia="Times New Roman"/>
                <w:b/>
                <w:bCs/>
                <w:color w:val="000000"/>
                <w:sz w:val="17"/>
                <w:szCs w:val="17"/>
              </w:rPr>
              <w:t xml:space="preserve">UNDP Total </w:t>
            </w:r>
          </w:p>
        </w:tc>
        <w:tc>
          <w:tcPr>
            <w:tcW w:w="810" w:type="dxa"/>
            <w:tcBorders>
              <w:top w:val="nil"/>
              <w:left w:val="nil"/>
              <w:bottom w:val="double" w:sz="6" w:space="0" w:color="auto"/>
              <w:right w:val="single" w:sz="8" w:space="0" w:color="auto"/>
            </w:tcBorders>
            <w:shd w:val="clear" w:color="auto" w:fill="00B0F0"/>
            <w:noWrap/>
            <w:vAlign w:val="center"/>
          </w:tcPr>
          <w:p w14:paraId="4D228FB7" w14:textId="15B59FCD" w:rsidR="004453F4" w:rsidRPr="006C2700" w:rsidRDefault="00362DEB" w:rsidP="004453F4">
            <w:pPr>
              <w:jc w:val="center"/>
              <w:rPr>
                <w:rFonts w:eastAsia="Times New Roman"/>
                <w:b/>
                <w:bCs/>
                <w:color w:val="000000"/>
                <w:sz w:val="17"/>
                <w:szCs w:val="17"/>
              </w:rPr>
            </w:pPr>
            <w:r w:rsidRPr="006C2700">
              <w:rPr>
                <w:rFonts w:eastAsia="Times New Roman"/>
                <w:b/>
                <w:bCs/>
                <w:color w:val="000000"/>
                <w:sz w:val="17"/>
                <w:szCs w:val="17"/>
              </w:rPr>
              <w:t>10,000</w:t>
            </w:r>
          </w:p>
        </w:tc>
        <w:tc>
          <w:tcPr>
            <w:tcW w:w="1010" w:type="dxa"/>
            <w:tcBorders>
              <w:top w:val="nil"/>
              <w:left w:val="nil"/>
              <w:bottom w:val="double" w:sz="6" w:space="0" w:color="auto"/>
              <w:right w:val="single" w:sz="8" w:space="0" w:color="auto"/>
            </w:tcBorders>
            <w:shd w:val="clear" w:color="auto" w:fill="00B0F0"/>
            <w:noWrap/>
            <w:vAlign w:val="center"/>
          </w:tcPr>
          <w:p w14:paraId="41F04A07" w14:textId="394F6737" w:rsidR="004453F4" w:rsidRPr="006C2700" w:rsidRDefault="00362DEB" w:rsidP="004453F4">
            <w:pPr>
              <w:jc w:val="center"/>
              <w:rPr>
                <w:rFonts w:eastAsia="Times New Roman"/>
                <w:b/>
                <w:bCs/>
                <w:color w:val="000000"/>
                <w:sz w:val="17"/>
                <w:szCs w:val="17"/>
              </w:rPr>
            </w:pPr>
            <w:r w:rsidRPr="006C2700">
              <w:rPr>
                <w:rFonts w:eastAsia="Times New Roman"/>
                <w:b/>
                <w:bCs/>
                <w:color w:val="000000"/>
                <w:sz w:val="17"/>
                <w:szCs w:val="17"/>
              </w:rPr>
              <w:t>26,600</w:t>
            </w:r>
          </w:p>
        </w:tc>
        <w:tc>
          <w:tcPr>
            <w:tcW w:w="970" w:type="dxa"/>
            <w:tcBorders>
              <w:top w:val="nil"/>
              <w:left w:val="nil"/>
              <w:bottom w:val="double" w:sz="6" w:space="0" w:color="auto"/>
              <w:right w:val="single" w:sz="8" w:space="0" w:color="auto"/>
            </w:tcBorders>
            <w:shd w:val="clear" w:color="auto" w:fill="00B0F0"/>
            <w:noWrap/>
            <w:vAlign w:val="center"/>
          </w:tcPr>
          <w:p w14:paraId="3A54D39F" w14:textId="78980998" w:rsidR="004453F4" w:rsidRPr="006C2700" w:rsidRDefault="00362DEB" w:rsidP="004453F4">
            <w:pPr>
              <w:jc w:val="center"/>
              <w:rPr>
                <w:rFonts w:eastAsia="Times New Roman"/>
                <w:b/>
                <w:bCs/>
                <w:color w:val="000000"/>
                <w:sz w:val="17"/>
                <w:szCs w:val="17"/>
              </w:rPr>
            </w:pPr>
            <w:r w:rsidRPr="006C2700">
              <w:rPr>
                <w:rFonts w:eastAsia="Times New Roman"/>
                <w:b/>
                <w:bCs/>
                <w:color w:val="000000"/>
                <w:sz w:val="17"/>
                <w:szCs w:val="17"/>
              </w:rPr>
              <w:t>26,600</w:t>
            </w:r>
          </w:p>
        </w:tc>
        <w:tc>
          <w:tcPr>
            <w:tcW w:w="1080" w:type="dxa"/>
            <w:tcBorders>
              <w:top w:val="nil"/>
              <w:left w:val="nil"/>
              <w:bottom w:val="double" w:sz="6" w:space="0" w:color="auto"/>
              <w:right w:val="single" w:sz="8" w:space="0" w:color="auto"/>
            </w:tcBorders>
            <w:shd w:val="clear" w:color="auto" w:fill="00B0F0"/>
            <w:noWrap/>
            <w:vAlign w:val="center"/>
          </w:tcPr>
          <w:p w14:paraId="634755DF" w14:textId="75544850" w:rsidR="004453F4" w:rsidRPr="006C2700" w:rsidRDefault="00362DEB" w:rsidP="004453F4">
            <w:pPr>
              <w:jc w:val="center"/>
              <w:rPr>
                <w:rFonts w:eastAsia="Times New Roman"/>
                <w:b/>
                <w:bCs/>
                <w:color w:val="000000"/>
                <w:sz w:val="17"/>
                <w:szCs w:val="17"/>
              </w:rPr>
            </w:pPr>
            <w:r w:rsidRPr="006C2700">
              <w:rPr>
                <w:rFonts w:eastAsia="Times New Roman"/>
                <w:b/>
                <w:bCs/>
                <w:color w:val="000000"/>
                <w:sz w:val="17"/>
                <w:szCs w:val="17"/>
              </w:rPr>
              <w:t>26,800</w:t>
            </w:r>
          </w:p>
        </w:tc>
        <w:tc>
          <w:tcPr>
            <w:tcW w:w="1170" w:type="dxa"/>
            <w:tcBorders>
              <w:top w:val="nil"/>
              <w:left w:val="nil"/>
              <w:bottom w:val="double" w:sz="6" w:space="0" w:color="auto"/>
              <w:right w:val="single" w:sz="8" w:space="0" w:color="auto"/>
            </w:tcBorders>
            <w:shd w:val="clear" w:color="auto" w:fill="00B0F0"/>
            <w:noWrap/>
            <w:vAlign w:val="center"/>
          </w:tcPr>
          <w:p w14:paraId="42B6476B" w14:textId="4D723C42" w:rsidR="004453F4" w:rsidRPr="006C2700" w:rsidRDefault="00362DEB" w:rsidP="004453F4">
            <w:pPr>
              <w:jc w:val="center"/>
              <w:rPr>
                <w:rFonts w:eastAsia="Times New Roman"/>
                <w:b/>
                <w:bCs/>
                <w:color w:val="000000"/>
                <w:sz w:val="17"/>
                <w:szCs w:val="17"/>
              </w:rPr>
            </w:pPr>
            <w:r w:rsidRPr="006C2700">
              <w:rPr>
                <w:rFonts w:eastAsia="Times New Roman"/>
                <w:b/>
                <w:bCs/>
                <w:color w:val="000000"/>
                <w:sz w:val="17"/>
                <w:szCs w:val="17"/>
              </w:rPr>
              <w:t>10,000</w:t>
            </w:r>
          </w:p>
        </w:tc>
        <w:tc>
          <w:tcPr>
            <w:tcW w:w="1080" w:type="dxa"/>
            <w:tcBorders>
              <w:top w:val="nil"/>
              <w:left w:val="nil"/>
              <w:bottom w:val="double" w:sz="6" w:space="0" w:color="auto"/>
              <w:right w:val="single" w:sz="8" w:space="0" w:color="auto"/>
            </w:tcBorders>
            <w:shd w:val="clear" w:color="auto" w:fill="00B0F0"/>
            <w:noWrap/>
            <w:vAlign w:val="center"/>
          </w:tcPr>
          <w:p w14:paraId="65DEB3ED" w14:textId="12CECC6F" w:rsidR="004453F4" w:rsidRPr="006C2700" w:rsidRDefault="00362DEB" w:rsidP="004453F4">
            <w:pPr>
              <w:jc w:val="center"/>
              <w:rPr>
                <w:rFonts w:eastAsia="Times New Roman"/>
                <w:b/>
                <w:bCs/>
                <w:color w:val="000000"/>
                <w:sz w:val="17"/>
                <w:szCs w:val="17"/>
              </w:rPr>
            </w:pPr>
            <w:r w:rsidRPr="006C2700">
              <w:rPr>
                <w:rFonts w:eastAsia="Times New Roman"/>
                <w:b/>
                <w:bCs/>
                <w:color w:val="000000"/>
                <w:sz w:val="17"/>
                <w:szCs w:val="17"/>
              </w:rPr>
              <w:t>100,000</w:t>
            </w:r>
          </w:p>
        </w:tc>
        <w:tc>
          <w:tcPr>
            <w:tcW w:w="900" w:type="dxa"/>
            <w:tcBorders>
              <w:top w:val="nil"/>
              <w:left w:val="nil"/>
              <w:bottom w:val="double" w:sz="6" w:space="0" w:color="auto"/>
              <w:right w:val="single" w:sz="8" w:space="0" w:color="auto"/>
            </w:tcBorders>
            <w:shd w:val="clear" w:color="auto" w:fill="00B0F0"/>
            <w:vAlign w:val="center"/>
          </w:tcPr>
          <w:p w14:paraId="2BA9860E" w14:textId="77777777" w:rsidR="004453F4" w:rsidRPr="006C2700" w:rsidRDefault="004453F4" w:rsidP="004453F4">
            <w:pPr>
              <w:jc w:val="center"/>
              <w:rPr>
                <w:rFonts w:eastAsia="Times New Roman"/>
                <w:color w:val="000000"/>
                <w:sz w:val="17"/>
                <w:szCs w:val="17"/>
              </w:rPr>
            </w:pPr>
          </w:p>
        </w:tc>
      </w:tr>
      <w:tr w:rsidR="00362DEB" w:rsidRPr="00FC6195" w14:paraId="71B0728A" w14:textId="77777777" w:rsidTr="006C2700">
        <w:trPr>
          <w:trHeight w:val="225"/>
        </w:trPr>
        <w:tc>
          <w:tcPr>
            <w:tcW w:w="1181" w:type="dxa"/>
            <w:tcBorders>
              <w:top w:val="nil"/>
              <w:left w:val="single" w:sz="8" w:space="0" w:color="auto"/>
              <w:bottom w:val="double" w:sz="6" w:space="0" w:color="auto"/>
              <w:right w:val="nil"/>
            </w:tcBorders>
            <w:shd w:val="clear" w:color="auto" w:fill="auto"/>
            <w:noWrap/>
            <w:vAlign w:val="center"/>
          </w:tcPr>
          <w:p w14:paraId="2166F94F" w14:textId="77777777" w:rsidR="00362DEB" w:rsidRPr="00FC6195" w:rsidRDefault="00362DEB" w:rsidP="00362DEB">
            <w:pPr>
              <w:rPr>
                <w:rFonts w:eastAsia="Times New Roman"/>
                <w:color w:val="000000"/>
                <w:sz w:val="17"/>
                <w:szCs w:val="17"/>
              </w:rPr>
            </w:pPr>
          </w:p>
        </w:tc>
        <w:tc>
          <w:tcPr>
            <w:tcW w:w="1149" w:type="dxa"/>
            <w:tcBorders>
              <w:top w:val="nil"/>
              <w:left w:val="single" w:sz="8" w:space="0" w:color="auto"/>
              <w:bottom w:val="double" w:sz="6" w:space="0" w:color="auto"/>
              <w:right w:val="single" w:sz="8" w:space="0" w:color="auto"/>
            </w:tcBorders>
            <w:shd w:val="clear" w:color="auto" w:fill="auto"/>
            <w:vAlign w:val="center"/>
          </w:tcPr>
          <w:p w14:paraId="06771C8D" w14:textId="77777777" w:rsidR="00362DEB" w:rsidRPr="00FC6195" w:rsidRDefault="00362DEB" w:rsidP="00362DEB">
            <w:pPr>
              <w:jc w:val="center"/>
              <w:rPr>
                <w:rFonts w:eastAsia="Times New Roman"/>
                <w:b/>
                <w:bCs/>
                <w:color w:val="000000"/>
                <w:sz w:val="17"/>
                <w:szCs w:val="17"/>
              </w:rPr>
            </w:pPr>
          </w:p>
        </w:tc>
        <w:tc>
          <w:tcPr>
            <w:tcW w:w="810" w:type="dxa"/>
            <w:tcBorders>
              <w:top w:val="nil"/>
              <w:left w:val="nil"/>
              <w:bottom w:val="double" w:sz="6" w:space="0" w:color="auto"/>
              <w:right w:val="single" w:sz="8" w:space="0" w:color="auto"/>
            </w:tcBorders>
            <w:shd w:val="clear" w:color="auto" w:fill="auto"/>
            <w:vAlign w:val="center"/>
          </w:tcPr>
          <w:p w14:paraId="228F0053" w14:textId="77777777" w:rsidR="00362DEB" w:rsidRPr="00FC6195" w:rsidRDefault="00362DEB" w:rsidP="00362DEB">
            <w:pPr>
              <w:jc w:val="both"/>
              <w:rPr>
                <w:rFonts w:eastAsia="Times New Roman"/>
                <w:b/>
                <w:bCs/>
                <w:color w:val="000000"/>
                <w:sz w:val="17"/>
                <w:szCs w:val="17"/>
              </w:rPr>
            </w:pPr>
          </w:p>
        </w:tc>
        <w:tc>
          <w:tcPr>
            <w:tcW w:w="990" w:type="dxa"/>
            <w:tcBorders>
              <w:top w:val="nil"/>
              <w:left w:val="nil"/>
              <w:bottom w:val="double" w:sz="6" w:space="0" w:color="auto"/>
              <w:right w:val="single" w:sz="8" w:space="0" w:color="auto"/>
            </w:tcBorders>
            <w:shd w:val="clear" w:color="auto" w:fill="auto"/>
            <w:vAlign w:val="center"/>
          </w:tcPr>
          <w:p w14:paraId="630C4558" w14:textId="77777777" w:rsidR="00362DEB" w:rsidRPr="00FC6195" w:rsidRDefault="00362DEB" w:rsidP="00362DEB">
            <w:pPr>
              <w:jc w:val="both"/>
              <w:rPr>
                <w:rFonts w:eastAsia="Times New Roman"/>
                <w:b/>
                <w:bCs/>
                <w:color w:val="000000"/>
                <w:sz w:val="17"/>
                <w:szCs w:val="17"/>
              </w:rPr>
            </w:pPr>
          </w:p>
        </w:tc>
        <w:tc>
          <w:tcPr>
            <w:tcW w:w="990" w:type="dxa"/>
            <w:tcBorders>
              <w:top w:val="nil"/>
              <w:left w:val="nil"/>
              <w:bottom w:val="double" w:sz="6" w:space="0" w:color="auto"/>
              <w:right w:val="single" w:sz="8" w:space="0" w:color="auto"/>
            </w:tcBorders>
            <w:shd w:val="clear" w:color="auto" w:fill="auto"/>
            <w:noWrap/>
            <w:vAlign w:val="center"/>
          </w:tcPr>
          <w:p w14:paraId="68CD2EF6" w14:textId="77777777" w:rsidR="00362DEB" w:rsidRPr="00FC6195" w:rsidRDefault="00362DEB" w:rsidP="00362DEB">
            <w:pPr>
              <w:jc w:val="center"/>
              <w:rPr>
                <w:rFonts w:eastAsia="Times New Roman"/>
                <w:b/>
                <w:bCs/>
                <w:color w:val="000000"/>
                <w:sz w:val="17"/>
                <w:szCs w:val="17"/>
              </w:rPr>
            </w:pPr>
          </w:p>
        </w:tc>
        <w:tc>
          <w:tcPr>
            <w:tcW w:w="2070" w:type="dxa"/>
            <w:tcBorders>
              <w:top w:val="nil"/>
              <w:left w:val="nil"/>
              <w:bottom w:val="double" w:sz="6" w:space="0" w:color="auto"/>
              <w:right w:val="single" w:sz="8" w:space="0" w:color="auto"/>
            </w:tcBorders>
            <w:shd w:val="clear" w:color="auto" w:fill="92D050"/>
            <w:vAlign w:val="center"/>
          </w:tcPr>
          <w:p w14:paraId="228F8616" w14:textId="00931B37" w:rsidR="00362DEB" w:rsidRDefault="00362DEB" w:rsidP="00362DEB">
            <w:pPr>
              <w:rPr>
                <w:rFonts w:eastAsia="Times New Roman"/>
                <w:b/>
                <w:bCs/>
                <w:color w:val="000000"/>
                <w:sz w:val="17"/>
                <w:szCs w:val="17"/>
              </w:rPr>
            </w:pPr>
            <w:r>
              <w:rPr>
                <w:rFonts w:eastAsia="Times New Roman"/>
                <w:b/>
                <w:bCs/>
                <w:color w:val="000000"/>
                <w:sz w:val="17"/>
                <w:szCs w:val="17"/>
              </w:rPr>
              <w:t xml:space="preserve">GEF Total </w:t>
            </w:r>
          </w:p>
        </w:tc>
        <w:tc>
          <w:tcPr>
            <w:tcW w:w="810" w:type="dxa"/>
            <w:tcBorders>
              <w:top w:val="nil"/>
              <w:left w:val="nil"/>
              <w:bottom w:val="double" w:sz="6" w:space="0" w:color="auto"/>
              <w:right w:val="single" w:sz="8" w:space="0" w:color="auto"/>
            </w:tcBorders>
            <w:shd w:val="clear" w:color="auto" w:fill="92D050"/>
            <w:noWrap/>
            <w:vAlign w:val="center"/>
          </w:tcPr>
          <w:p w14:paraId="7717B0FD" w14:textId="0109059E" w:rsidR="00362DEB" w:rsidRDefault="00362DEB" w:rsidP="00362DEB">
            <w:pPr>
              <w:jc w:val="center"/>
              <w:rPr>
                <w:rFonts w:eastAsia="Times New Roman"/>
                <w:b/>
                <w:bCs/>
                <w:color w:val="000000"/>
                <w:sz w:val="17"/>
                <w:szCs w:val="17"/>
              </w:rPr>
            </w:pPr>
            <w:r>
              <w:rPr>
                <w:rFonts w:eastAsia="Times New Roman"/>
                <w:b/>
                <w:bCs/>
                <w:color w:val="000000"/>
                <w:sz w:val="17"/>
                <w:szCs w:val="17"/>
              </w:rPr>
              <w:t>258,500</w:t>
            </w:r>
          </w:p>
        </w:tc>
        <w:tc>
          <w:tcPr>
            <w:tcW w:w="1010" w:type="dxa"/>
            <w:tcBorders>
              <w:top w:val="nil"/>
              <w:left w:val="nil"/>
              <w:bottom w:val="double" w:sz="6" w:space="0" w:color="auto"/>
              <w:right w:val="single" w:sz="8" w:space="0" w:color="auto"/>
            </w:tcBorders>
            <w:shd w:val="clear" w:color="auto" w:fill="92D050"/>
            <w:noWrap/>
            <w:vAlign w:val="center"/>
          </w:tcPr>
          <w:p w14:paraId="62EDC02F" w14:textId="522934A5" w:rsidR="00362DEB" w:rsidRDefault="00362DEB" w:rsidP="00362DEB">
            <w:pPr>
              <w:jc w:val="center"/>
              <w:rPr>
                <w:rFonts w:eastAsia="Times New Roman"/>
                <w:b/>
                <w:bCs/>
                <w:color w:val="000000"/>
                <w:sz w:val="17"/>
                <w:szCs w:val="17"/>
              </w:rPr>
            </w:pPr>
            <w:r>
              <w:rPr>
                <w:rFonts w:eastAsia="Times New Roman"/>
                <w:b/>
                <w:bCs/>
                <w:color w:val="000000"/>
                <w:sz w:val="17"/>
                <w:szCs w:val="17"/>
              </w:rPr>
              <w:t>785,000</w:t>
            </w:r>
          </w:p>
        </w:tc>
        <w:tc>
          <w:tcPr>
            <w:tcW w:w="970" w:type="dxa"/>
            <w:tcBorders>
              <w:top w:val="nil"/>
              <w:left w:val="nil"/>
              <w:bottom w:val="double" w:sz="6" w:space="0" w:color="auto"/>
              <w:right w:val="single" w:sz="8" w:space="0" w:color="auto"/>
            </w:tcBorders>
            <w:shd w:val="clear" w:color="auto" w:fill="92D050"/>
            <w:noWrap/>
            <w:vAlign w:val="center"/>
          </w:tcPr>
          <w:p w14:paraId="55F2C907" w14:textId="11D58B44" w:rsidR="00362DEB" w:rsidRDefault="00362DEB" w:rsidP="00362DEB">
            <w:pPr>
              <w:jc w:val="center"/>
              <w:rPr>
                <w:rFonts w:eastAsia="Times New Roman"/>
                <w:b/>
                <w:bCs/>
                <w:color w:val="000000"/>
                <w:sz w:val="17"/>
                <w:szCs w:val="17"/>
              </w:rPr>
            </w:pPr>
            <w:r>
              <w:rPr>
                <w:rFonts w:eastAsia="Times New Roman"/>
                <w:b/>
                <w:bCs/>
                <w:color w:val="000000"/>
                <w:sz w:val="17"/>
                <w:szCs w:val="17"/>
              </w:rPr>
              <w:t>1,220,500</w:t>
            </w:r>
          </w:p>
        </w:tc>
        <w:tc>
          <w:tcPr>
            <w:tcW w:w="1080" w:type="dxa"/>
            <w:tcBorders>
              <w:top w:val="nil"/>
              <w:left w:val="nil"/>
              <w:bottom w:val="double" w:sz="6" w:space="0" w:color="auto"/>
              <w:right w:val="single" w:sz="8" w:space="0" w:color="auto"/>
            </w:tcBorders>
            <w:shd w:val="clear" w:color="auto" w:fill="92D050"/>
            <w:noWrap/>
            <w:vAlign w:val="center"/>
          </w:tcPr>
          <w:p w14:paraId="5E16F858" w14:textId="484C6F2B" w:rsidR="00362DEB" w:rsidRDefault="00362DEB" w:rsidP="00362DEB">
            <w:pPr>
              <w:jc w:val="center"/>
              <w:rPr>
                <w:rFonts w:eastAsia="Times New Roman"/>
                <w:b/>
                <w:bCs/>
                <w:color w:val="000000"/>
                <w:sz w:val="17"/>
                <w:szCs w:val="17"/>
              </w:rPr>
            </w:pPr>
            <w:r>
              <w:rPr>
                <w:rFonts w:eastAsia="Times New Roman"/>
                <w:b/>
                <w:bCs/>
                <w:color w:val="000000"/>
                <w:sz w:val="17"/>
                <w:szCs w:val="17"/>
              </w:rPr>
              <w:t>1,021,900</w:t>
            </w:r>
          </w:p>
        </w:tc>
        <w:tc>
          <w:tcPr>
            <w:tcW w:w="1170" w:type="dxa"/>
            <w:tcBorders>
              <w:top w:val="nil"/>
              <w:left w:val="nil"/>
              <w:bottom w:val="double" w:sz="6" w:space="0" w:color="auto"/>
              <w:right w:val="single" w:sz="8" w:space="0" w:color="auto"/>
            </w:tcBorders>
            <w:shd w:val="clear" w:color="auto" w:fill="92D050"/>
            <w:noWrap/>
            <w:vAlign w:val="center"/>
          </w:tcPr>
          <w:p w14:paraId="324229E7" w14:textId="375198B1" w:rsidR="00362DEB" w:rsidRDefault="00362DEB" w:rsidP="00362DEB">
            <w:pPr>
              <w:jc w:val="center"/>
              <w:rPr>
                <w:rFonts w:eastAsia="Times New Roman"/>
                <w:b/>
                <w:bCs/>
                <w:color w:val="000000"/>
                <w:sz w:val="17"/>
                <w:szCs w:val="17"/>
              </w:rPr>
            </w:pPr>
            <w:r>
              <w:rPr>
                <w:rFonts w:eastAsia="Times New Roman"/>
                <w:b/>
                <w:bCs/>
                <w:color w:val="000000"/>
                <w:sz w:val="17"/>
                <w:szCs w:val="17"/>
              </w:rPr>
              <w:t>1,224,100</w:t>
            </w:r>
          </w:p>
        </w:tc>
        <w:tc>
          <w:tcPr>
            <w:tcW w:w="1080" w:type="dxa"/>
            <w:tcBorders>
              <w:top w:val="nil"/>
              <w:left w:val="nil"/>
              <w:bottom w:val="double" w:sz="6" w:space="0" w:color="auto"/>
              <w:right w:val="single" w:sz="8" w:space="0" w:color="auto"/>
            </w:tcBorders>
            <w:shd w:val="clear" w:color="auto" w:fill="92D050"/>
            <w:noWrap/>
            <w:vAlign w:val="center"/>
          </w:tcPr>
          <w:p w14:paraId="2F4E45E8" w14:textId="3BE39530" w:rsidR="00362DEB" w:rsidRDefault="00362DEB" w:rsidP="00362DEB">
            <w:pPr>
              <w:jc w:val="center"/>
              <w:rPr>
                <w:rFonts w:eastAsia="Times New Roman"/>
                <w:b/>
                <w:bCs/>
                <w:color w:val="000000"/>
                <w:sz w:val="17"/>
                <w:szCs w:val="17"/>
              </w:rPr>
            </w:pPr>
            <w:r>
              <w:rPr>
                <w:rFonts w:eastAsia="Times New Roman"/>
                <w:b/>
                <w:bCs/>
                <w:color w:val="000000"/>
                <w:sz w:val="17"/>
                <w:szCs w:val="17"/>
              </w:rPr>
              <w:t>4,510,000</w:t>
            </w:r>
          </w:p>
        </w:tc>
        <w:tc>
          <w:tcPr>
            <w:tcW w:w="900" w:type="dxa"/>
            <w:tcBorders>
              <w:top w:val="nil"/>
              <w:left w:val="nil"/>
              <w:bottom w:val="double" w:sz="6" w:space="0" w:color="auto"/>
              <w:right w:val="single" w:sz="8" w:space="0" w:color="auto"/>
            </w:tcBorders>
            <w:shd w:val="clear" w:color="auto" w:fill="92D050"/>
            <w:vAlign w:val="center"/>
          </w:tcPr>
          <w:p w14:paraId="68DC9797" w14:textId="77777777" w:rsidR="00362DEB" w:rsidRPr="00FC6195" w:rsidRDefault="00362DEB" w:rsidP="00362DEB">
            <w:pPr>
              <w:jc w:val="center"/>
              <w:rPr>
                <w:rFonts w:eastAsia="Times New Roman"/>
                <w:color w:val="000000"/>
                <w:sz w:val="17"/>
                <w:szCs w:val="17"/>
              </w:rPr>
            </w:pPr>
          </w:p>
        </w:tc>
      </w:tr>
      <w:tr w:rsidR="00362DEB" w:rsidRPr="00FC6195" w14:paraId="456E74A3" w14:textId="77777777" w:rsidTr="006C2700">
        <w:trPr>
          <w:trHeight w:val="360"/>
        </w:trPr>
        <w:tc>
          <w:tcPr>
            <w:tcW w:w="1181" w:type="dxa"/>
            <w:tcBorders>
              <w:top w:val="double" w:sz="6" w:space="0" w:color="auto"/>
              <w:left w:val="single" w:sz="8" w:space="0" w:color="auto"/>
              <w:bottom w:val="double" w:sz="4" w:space="0" w:color="auto"/>
              <w:right w:val="nil"/>
            </w:tcBorders>
            <w:shd w:val="clear" w:color="auto" w:fill="auto"/>
            <w:noWrap/>
            <w:vAlign w:val="center"/>
            <w:hideMark/>
          </w:tcPr>
          <w:p w14:paraId="6FB042DA" w14:textId="77777777" w:rsidR="00362DEB" w:rsidRPr="00FC6195" w:rsidRDefault="00362DEB" w:rsidP="00362DEB">
            <w:pPr>
              <w:jc w:val="both"/>
              <w:rPr>
                <w:rFonts w:eastAsia="Times New Roman"/>
                <w:color w:val="000000"/>
                <w:sz w:val="17"/>
                <w:szCs w:val="17"/>
              </w:rPr>
            </w:pPr>
            <w:r w:rsidRPr="00FC6195">
              <w:rPr>
                <w:rFonts w:eastAsia="Times New Roman"/>
                <w:color w:val="000000"/>
                <w:sz w:val="17"/>
                <w:szCs w:val="17"/>
              </w:rPr>
              <w:t> </w:t>
            </w:r>
          </w:p>
        </w:tc>
        <w:tc>
          <w:tcPr>
            <w:tcW w:w="1149" w:type="dxa"/>
            <w:tcBorders>
              <w:top w:val="nil"/>
              <w:left w:val="nil"/>
              <w:bottom w:val="double" w:sz="6" w:space="0" w:color="auto"/>
              <w:right w:val="nil"/>
            </w:tcBorders>
            <w:shd w:val="clear" w:color="auto" w:fill="auto"/>
            <w:vAlign w:val="center"/>
            <w:hideMark/>
          </w:tcPr>
          <w:p w14:paraId="58019883" w14:textId="77777777" w:rsidR="00362DEB" w:rsidRPr="00FC6195" w:rsidRDefault="00362DEB" w:rsidP="00362DEB">
            <w:pPr>
              <w:jc w:val="both"/>
              <w:rPr>
                <w:rFonts w:eastAsia="Times New Roman"/>
                <w:b/>
                <w:bCs/>
                <w:color w:val="000000"/>
                <w:sz w:val="17"/>
                <w:szCs w:val="17"/>
              </w:rPr>
            </w:pPr>
            <w:r w:rsidRPr="00FC6195">
              <w:rPr>
                <w:rFonts w:eastAsia="Times New Roman"/>
                <w:b/>
                <w:bCs/>
                <w:color w:val="000000"/>
                <w:sz w:val="17"/>
                <w:szCs w:val="17"/>
              </w:rPr>
              <w:t> </w:t>
            </w:r>
          </w:p>
        </w:tc>
        <w:tc>
          <w:tcPr>
            <w:tcW w:w="810" w:type="dxa"/>
            <w:tcBorders>
              <w:top w:val="nil"/>
              <w:left w:val="nil"/>
              <w:bottom w:val="double" w:sz="6" w:space="0" w:color="auto"/>
              <w:right w:val="nil"/>
            </w:tcBorders>
            <w:shd w:val="clear" w:color="auto" w:fill="auto"/>
            <w:vAlign w:val="center"/>
            <w:hideMark/>
          </w:tcPr>
          <w:p w14:paraId="5044B8F9" w14:textId="77777777" w:rsidR="00362DEB" w:rsidRPr="00FC6195" w:rsidRDefault="00362DEB" w:rsidP="00362DEB">
            <w:pPr>
              <w:jc w:val="both"/>
              <w:rPr>
                <w:rFonts w:eastAsia="Times New Roman"/>
                <w:b/>
                <w:bCs/>
                <w:color w:val="000000"/>
                <w:sz w:val="17"/>
                <w:szCs w:val="17"/>
              </w:rPr>
            </w:pPr>
            <w:r w:rsidRPr="00FC6195">
              <w:rPr>
                <w:rFonts w:eastAsia="Times New Roman"/>
                <w:b/>
                <w:bCs/>
                <w:color w:val="000000"/>
                <w:sz w:val="17"/>
                <w:szCs w:val="17"/>
              </w:rPr>
              <w:t> </w:t>
            </w:r>
          </w:p>
        </w:tc>
        <w:tc>
          <w:tcPr>
            <w:tcW w:w="990" w:type="dxa"/>
            <w:tcBorders>
              <w:top w:val="nil"/>
              <w:left w:val="nil"/>
              <w:bottom w:val="double" w:sz="6" w:space="0" w:color="auto"/>
              <w:right w:val="nil"/>
            </w:tcBorders>
            <w:shd w:val="clear" w:color="auto" w:fill="auto"/>
            <w:vAlign w:val="center"/>
            <w:hideMark/>
          </w:tcPr>
          <w:p w14:paraId="77790B0F" w14:textId="77777777" w:rsidR="00362DEB" w:rsidRPr="00FC6195" w:rsidRDefault="00362DEB" w:rsidP="00362DEB">
            <w:pPr>
              <w:jc w:val="both"/>
              <w:rPr>
                <w:rFonts w:eastAsia="Times New Roman"/>
                <w:b/>
                <w:bCs/>
                <w:color w:val="000000"/>
                <w:sz w:val="17"/>
                <w:szCs w:val="17"/>
              </w:rPr>
            </w:pPr>
            <w:r w:rsidRPr="00FC6195">
              <w:rPr>
                <w:rFonts w:eastAsia="Times New Roman"/>
                <w:b/>
                <w:bCs/>
                <w:color w:val="000000"/>
                <w:sz w:val="17"/>
                <w:szCs w:val="17"/>
              </w:rPr>
              <w:t> </w:t>
            </w:r>
          </w:p>
        </w:tc>
        <w:tc>
          <w:tcPr>
            <w:tcW w:w="3060" w:type="dxa"/>
            <w:gridSpan w:val="2"/>
            <w:tcBorders>
              <w:top w:val="nil"/>
              <w:left w:val="nil"/>
              <w:bottom w:val="double" w:sz="6" w:space="0" w:color="auto"/>
              <w:right w:val="single" w:sz="8" w:space="0" w:color="000000"/>
            </w:tcBorders>
            <w:shd w:val="clear" w:color="auto" w:fill="FFC000"/>
            <w:noWrap/>
            <w:vAlign w:val="center"/>
            <w:hideMark/>
          </w:tcPr>
          <w:p w14:paraId="79AA4026" w14:textId="77777777" w:rsidR="00362DEB" w:rsidRPr="00FC6195" w:rsidRDefault="00362DEB" w:rsidP="00362DEB">
            <w:pPr>
              <w:rPr>
                <w:rFonts w:eastAsia="Times New Roman"/>
                <w:b/>
                <w:bCs/>
                <w:color w:val="000000"/>
                <w:sz w:val="17"/>
                <w:szCs w:val="17"/>
              </w:rPr>
            </w:pPr>
            <w:r w:rsidRPr="00FC6195">
              <w:rPr>
                <w:rFonts w:eastAsia="Times New Roman"/>
                <w:b/>
                <w:bCs/>
                <w:color w:val="000000"/>
                <w:sz w:val="17"/>
                <w:szCs w:val="17"/>
              </w:rPr>
              <w:t>PROJECT TOTAL</w:t>
            </w:r>
          </w:p>
        </w:tc>
        <w:tc>
          <w:tcPr>
            <w:tcW w:w="810" w:type="dxa"/>
            <w:tcBorders>
              <w:top w:val="nil"/>
              <w:left w:val="nil"/>
              <w:bottom w:val="double" w:sz="6" w:space="0" w:color="auto"/>
              <w:right w:val="single" w:sz="8" w:space="0" w:color="auto"/>
            </w:tcBorders>
            <w:shd w:val="clear" w:color="auto" w:fill="FFC000"/>
            <w:noWrap/>
            <w:vAlign w:val="center"/>
            <w:hideMark/>
          </w:tcPr>
          <w:p w14:paraId="136BDBD5" w14:textId="773DB713" w:rsidR="00362DEB" w:rsidRPr="00FC6195" w:rsidRDefault="00362DEB" w:rsidP="00362DEB">
            <w:pPr>
              <w:jc w:val="center"/>
              <w:rPr>
                <w:rFonts w:eastAsia="Times New Roman"/>
                <w:b/>
                <w:bCs/>
                <w:color w:val="000000"/>
                <w:sz w:val="17"/>
                <w:szCs w:val="17"/>
              </w:rPr>
            </w:pPr>
            <w:r w:rsidRPr="00FC6195">
              <w:rPr>
                <w:rFonts w:eastAsia="Times New Roman"/>
                <w:b/>
                <w:bCs/>
                <w:color w:val="000000"/>
                <w:sz w:val="17"/>
                <w:szCs w:val="17"/>
              </w:rPr>
              <w:t>2</w:t>
            </w:r>
            <w:r>
              <w:rPr>
                <w:rFonts w:eastAsia="Times New Roman"/>
                <w:b/>
                <w:bCs/>
                <w:color w:val="000000"/>
                <w:sz w:val="17"/>
                <w:szCs w:val="17"/>
              </w:rPr>
              <w:t>6</w:t>
            </w:r>
            <w:r w:rsidRPr="00FC6195">
              <w:rPr>
                <w:rFonts w:eastAsia="Times New Roman"/>
                <w:b/>
                <w:bCs/>
                <w:color w:val="000000"/>
                <w:sz w:val="17"/>
                <w:szCs w:val="17"/>
              </w:rPr>
              <w:t>8,500</w:t>
            </w:r>
          </w:p>
        </w:tc>
        <w:tc>
          <w:tcPr>
            <w:tcW w:w="1010" w:type="dxa"/>
            <w:tcBorders>
              <w:top w:val="nil"/>
              <w:left w:val="nil"/>
              <w:bottom w:val="double" w:sz="6" w:space="0" w:color="auto"/>
              <w:right w:val="single" w:sz="8" w:space="0" w:color="auto"/>
            </w:tcBorders>
            <w:shd w:val="clear" w:color="auto" w:fill="FFC000"/>
            <w:noWrap/>
            <w:vAlign w:val="center"/>
            <w:hideMark/>
          </w:tcPr>
          <w:p w14:paraId="2BDD2EC1" w14:textId="779BF2B2" w:rsidR="00362DEB" w:rsidRPr="00FC6195" w:rsidRDefault="00362DEB" w:rsidP="00362DEB">
            <w:pPr>
              <w:jc w:val="center"/>
              <w:rPr>
                <w:rFonts w:eastAsia="Times New Roman"/>
                <w:b/>
                <w:bCs/>
                <w:color w:val="000000"/>
                <w:sz w:val="17"/>
                <w:szCs w:val="17"/>
              </w:rPr>
            </w:pPr>
            <w:r>
              <w:rPr>
                <w:rFonts w:eastAsia="Times New Roman"/>
                <w:b/>
                <w:bCs/>
                <w:color w:val="000000"/>
                <w:sz w:val="17"/>
                <w:szCs w:val="17"/>
              </w:rPr>
              <w:t>811,600</w:t>
            </w:r>
          </w:p>
        </w:tc>
        <w:tc>
          <w:tcPr>
            <w:tcW w:w="970" w:type="dxa"/>
            <w:tcBorders>
              <w:top w:val="nil"/>
              <w:left w:val="nil"/>
              <w:bottom w:val="double" w:sz="6" w:space="0" w:color="auto"/>
              <w:right w:val="single" w:sz="8" w:space="0" w:color="auto"/>
            </w:tcBorders>
            <w:shd w:val="clear" w:color="auto" w:fill="FFC000"/>
            <w:noWrap/>
            <w:vAlign w:val="center"/>
            <w:hideMark/>
          </w:tcPr>
          <w:p w14:paraId="5F577AAD" w14:textId="69B15EBE" w:rsidR="00362DEB" w:rsidRPr="00FC6195" w:rsidRDefault="00362DEB" w:rsidP="00362DEB">
            <w:pPr>
              <w:jc w:val="center"/>
              <w:rPr>
                <w:rFonts w:eastAsia="Times New Roman"/>
                <w:b/>
                <w:bCs/>
                <w:color w:val="000000"/>
                <w:sz w:val="17"/>
                <w:szCs w:val="17"/>
              </w:rPr>
            </w:pPr>
            <w:r w:rsidRPr="00FC6195">
              <w:rPr>
                <w:rFonts w:eastAsia="Times New Roman"/>
                <w:b/>
                <w:bCs/>
                <w:color w:val="000000"/>
                <w:sz w:val="17"/>
                <w:szCs w:val="17"/>
              </w:rPr>
              <w:t>1,2</w:t>
            </w:r>
            <w:r>
              <w:rPr>
                <w:rFonts w:eastAsia="Times New Roman"/>
                <w:b/>
                <w:bCs/>
                <w:color w:val="000000"/>
                <w:sz w:val="17"/>
                <w:szCs w:val="17"/>
              </w:rPr>
              <w:t>47,1</w:t>
            </w:r>
            <w:r w:rsidRPr="00FC6195">
              <w:rPr>
                <w:rFonts w:eastAsia="Times New Roman"/>
                <w:b/>
                <w:bCs/>
                <w:color w:val="000000"/>
                <w:sz w:val="17"/>
                <w:szCs w:val="17"/>
              </w:rPr>
              <w:t>00</w:t>
            </w:r>
          </w:p>
        </w:tc>
        <w:tc>
          <w:tcPr>
            <w:tcW w:w="1080" w:type="dxa"/>
            <w:tcBorders>
              <w:top w:val="nil"/>
              <w:left w:val="nil"/>
              <w:bottom w:val="double" w:sz="6" w:space="0" w:color="auto"/>
              <w:right w:val="single" w:sz="8" w:space="0" w:color="auto"/>
            </w:tcBorders>
            <w:shd w:val="clear" w:color="auto" w:fill="FFC000"/>
            <w:noWrap/>
            <w:vAlign w:val="center"/>
            <w:hideMark/>
          </w:tcPr>
          <w:p w14:paraId="3A0A3383" w14:textId="3A025A38" w:rsidR="00362DEB" w:rsidRPr="00FC6195" w:rsidRDefault="00362DEB" w:rsidP="00362DEB">
            <w:pPr>
              <w:jc w:val="center"/>
              <w:rPr>
                <w:rFonts w:eastAsia="Times New Roman"/>
                <w:b/>
                <w:bCs/>
                <w:color w:val="000000"/>
                <w:sz w:val="17"/>
                <w:szCs w:val="17"/>
              </w:rPr>
            </w:pPr>
            <w:r w:rsidRPr="00FC6195">
              <w:rPr>
                <w:rFonts w:eastAsia="Times New Roman"/>
                <w:b/>
                <w:bCs/>
                <w:color w:val="000000"/>
                <w:sz w:val="17"/>
                <w:szCs w:val="17"/>
              </w:rPr>
              <w:t>1,0</w:t>
            </w:r>
            <w:r>
              <w:rPr>
                <w:rFonts w:eastAsia="Times New Roman"/>
                <w:b/>
                <w:bCs/>
                <w:color w:val="000000"/>
                <w:sz w:val="17"/>
                <w:szCs w:val="17"/>
              </w:rPr>
              <w:t>48,7</w:t>
            </w:r>
            <w:r w:rsidRPr="00FC6195">
              <w:rPr>
                <w:rFonts w:eastAsia="Times New Roman"/>
                <w:b/>
                <w:bCs/>
                <w:color w:val="000000"/>
                <w:sz w:val="17"/>
                <w:szCs w:val="17"/>
              </w:rPr>
              <w:t>00</w:t>
            </w:r>
          </w:p>
        </w:tc>
        <w:tc>
          <w:tcPr>
            <w:tcW w:w="1170" w:type="dxa"/>
            <w:tcBorders>
              <w:top w:val="nil"/>
              <w:left w:val="nil"/>
              <w:bottom w:val="double" w:sz="6" w:space="0" w:color="auto"/>
              <w:right w:val="single" w:sz="8" w:space="0" w:color="auto"/>
            </w:tcBorders>
            <w:shd w:val="clear" w:color="auto" w:fill="FFC000"/>
            <w:noWrap/>
            <w:vAlign w:val="center"/>
            <w:hideMark/>
          </w:tcPr>
          <w:p w14:paraId="3466FB50" w14:textId="5C98C8AA" w:rsidR="00362DEB" w:rsidRPr="00FC6195" w:rsidRDefault="00362DEB" w:rsidP="00362DEB">
            <w:pPr>
              <w:jc w:val="center"/>
              <w:rPr>
                <w:rFonts w:eastAsia="Times New Roman"/>
                <w:b/>
                <w:bCs/>
                <w:color w:val="000000"/>
                <w:sz w:val="17"/>
                <w:szCs w:val="17"/>
              </w:rPr>
            </w:pPr>
            <w:r>
              <w:rPr>
                <w:rFonts w:eastAsia="Times New Roman"/>
                <w:b/>
                <w:bCs/>
                <w:color w:val="000000"/>
                <w:sz w:val="17"/>
                <w:szCs w:val="17"/>
              </w:rPr>
              <w:t>1,23</w:t>
            </w:r>
            <w:r w:rsidRPr="00FC6195">
              <w:rPr>
                <w:rFonts w:eastAsia="Times New Roman"/>
                <w:b/>
                <w:bCs/>
                <w:color w:val="000000"/>
                <w:sz w:val="17"/>
                <w:szCs w:val="17"/>
              </w:rPr>
              <w:t>4,100</w:t>
            </w:r>
          </w:p>
        </w:tc>
        <w:tc>
          <w:tcPr>
            <w:tcW w:w="1080" w:type="dxa"/>
            <w:tcBorders>
              <w:top w:val="nil"/>
              <w:left w:val="nil"/>
              <w:bottom w:val="double" w:sz="6" w:space="0" w:color="auto"/>
              <w:right w:val="single" w:sz="8" w:space="0" w:color="auto"/>
            </w:tcBorders>
            <w:shd w:val="clear" w:color="auto" w:fill="FFC000"/>
            <w:noWrap/>
            <w:vAlign w:val="center"/>
            <w:hideMark/>
          </w:tcPr>
          <w:p w14:paraId="6DC3F3EB" w14:textId="18307F2D" w:rsidR="00362DEB" w:rsidRPr="00FC6195" w:rsidRDefault="00362DEB" w:rsidP="00362DEB">
            <w:pPr>
              <w:jc w:val="center"/>
              <w:rPr>
                <w:rFonts w:eastAsia="Times New Roman"/>
                <w:b/>
                <w:bCs/>
                <w:color w:val="000000"/>
                <w:sz w:val="17"/>
                <w:szCs w:val="17"/>
              </w:rPr>
            </w:pPr>
            <w:r>
              <w:rPr>
                <w:rFonts w:eastAsia="Times New Roman"/>
                <w:b/>
                <w:bCs/>
                <w:color w:val="000000"/>
                <w:sz w:val="17"/>
                <w:szCs w:val="17"/>
              </w:rPr>
              <w:t>4,6</w:t>
            </w:r>
            <w:r w:rsidRPr="00FC6195">
              <w:rPr>
                <w:rFonts w:eastAsia="Times New Roman"/>
                <w:b/>
                <w:bCs/>
                <w:color w:val="000000"/>
                <w:sz w:val="17"/>
                <w:szCs w:val="17"/>
              </w:rPr>
              <w:t>10,000</w:t>
            </w:r>
          </w:p>
        </w:tc>
        <w:tc>
          <w:tcPr>
            <w:tcW w:w="900" w:type="dxa"/>
            <w:tcBorders>
              <w:top w:val="nil"/>
              <w:left w:val="nil"/>
              <w:bottom w:val="double" w:sz="6" w:space="0" w:color="auto"/>
              <w:right w:val="single" w:sz="8" w:space="0" w:color="auto"/>
            </w:tcBorders>
            <w:shd w:val="clear" w:color="auto" w:fill="FFC000"/>
            <w:vAlign w:val="center"/>
            <w:hideMark/>
          </w:tcPr>
          <w:p w14:paraId="11715FA2" w14:textId="72B589E3" w:rsidR="00362DEB" w:rsidRPr="008149C0" w:rsidRDefault="008149C0" w:rsidP="00362DEB">
            <w:pPr>
              <w:jc w:val="center"/>
              <w:rPr>
                <w:rFonts w:eastAsia="Times New Roman"/>
                <w:color w:val="000000"/>
                <w:sz w:val="17"/>
                <w:szCs w:val="17"/>
                <w:lang w:val="ru-RU"/>
              </w:rPr>
            </w:pPr>
            <w:r>
              <w:rPr>
                <w:rFonts w:eastAsia="Times New Roman"/>
                <w:color w:val="000000"/>
                <w:sz w:val="17"/>
                <w:szCs w:val="17"/>
                <w:lang w:val="ru-RU"/>
              </w:rPr>
              <w:t>41</w:t>
            </w:r>
          </w:p>
        </w:tc>
      </w:tr>
    </w:tbl>
    <w:p w14:paraId="397D6031" w14:textId="77777777" w:rsidR="00C658DC" w:rsidRDefault="00C658DC" w:rsidP="00C658DC">
      <w:pPr>
        <w:rPr>
          <w:sz w:val="18"/>
          <w:szCs w:val="18"/>
        </w:rPr>
      </w:pPr>
    </w:p>
    <w:p w14:paraId="40E6F6B8" w14:textId="77777777" w:rsidR="003D062D" w:rsidRPr="00F879E1" w:rsidRDefault="003D062D" w:rsidP="003D062D">
      <w:pPr>
        <w:rPr>
          <w:b/>
          <w:sz w:val="20"/>
          <w:szCs w:val="20"/>
        </w:rPr>
      </w:pPr>
      <w:r w:rsidRPr="00F879E1">
        <w:rPr>
          <w:b/>
          <w:sz w:val="20"/>
          <w:szCs w:val="20"/>
        </w:rPr>
        <w:t>Budget notes:</w:t>
      </w:r>
    </w:p>
    <w:tbl>
      <w:tblPr>
        <w:tblW w:w="14130" w:type="dxa"/>
        <w:tblLayout w:type="fixed"/>
        <w:tblCellMar>
          <w:left w:w="115" w:type="dxa"/>
          <w:right w:w="115" w:type="dxa"/>
        </w:tblCellMar>
        <w:tblLook w:val="04A0" w:firstRow="1" w:lastRow="0" w:firstColumn="1" w:lastColumn="0" w:noHBand="0" w:noVBand="1"/>
      </w:tblPr>
      <w:tblGrid>
        <w:gridCol w:w="450"/>
        <w:gridCol w:w="13680"/>
      </w:tblGrid>
      <w:tr w:rsidR="003C1A58" w:rsidRPr="003C1A58" w14:paraId="00AE73B0" w14:textId="77777777" w:rsidTr="007132EE">
        <w:trPr>
          <w:trHeight w:val="1197"/>
        </w:trPr>
        <w:tc>
          <w:tcPr>
            <w:tcW w:w="450" w:type="dxa"/>
            <w:tcBorders>
              <w:top w:val="nil"/>
              <w:left w:val="nil"/>
              <w:bottom w:val="nil"/>
              <w:right w:val="nil"/>
            </w:tcBorders>
            <w:shd w:val="clear" w:color="auto" w:fill="auto"/>
            <w:noWrap/>
            <w:hideMark/>
          </w:tcPr>
          <w:p w14:paraId="7793D578" w14:textId="77777777" w:rsidR="003C1A58" w:rsidRPr="003C1A58" w:rsidRDefault="003C1A58" w:rsidP="007132EE">
            <w:pPr>
              <w:jc w:val="right"/>
              <w:rPr>
                <w:rFonts w:eastAsia="Times New Roman"/>
                <w:color w:val="000000"/>
                <w:sz w:val="20"/>
                <w:szCs w:val="18"/>
              </w:rPr>
            </w:pPr>
            <w:r w:rsidRPr="003C1A58">
              <w:rPr>
                <w:rFonts w:eastAsia="Times New Roman"/>
                <w:color w:val="000000"/>
                <w:sz w:val="20"/>
                <w:szCs w:val="18"/>
              </w:rPr>
              <w:t>1</w:t>
            </w:r>
          </w:p>
        </w:tc>
        <w:tc>
          <w:tcPr>
            <w:tcW w:w="13680" w:type="dxa"/>
            <w:tcBorders>
              <w:top w:val="nil"/>
              <w:left w:val="nil"/>
              <w:bottom w:val="nil"/>
              <w:right w:val="nil"/>
            </w:tcBorders>
            <w:shd w:val="clear" w:color="auto" w:fill="auto"/>
            <w:hideMark/>
          </w:tcPr>
          <w:p w14:paraId="7D715A9F" w14:textId="5BBA52FB" w:rsidR="003C1A58" w:rsidRPr="003C1A58" w:rsidRDefault="003C1A58" w:rsidP="007132EE">
            <w:pPr>
              <w:rPr>
                <w:rFonts w:eastAsia="Times New Roman"/>
                <w:color w:val="000000"/>
                <w:sz w:val="20"/>
                <w:szCs w:val="18"/>
              </w:rPr>
            </w:pPr>
            <w:r w:rsidRPr="003C1A58">
              <w:rPr>
                <w:rFonts w:eastAsia="Times New Roman"/>
                <w:color w:val="000000"/>
                <w:sz w:val="20"/>
                <w:szCs w:val="18"/>
              </w:rPr>
              <w:t>Costs of hiring international consultants to provide technical assistance for development of derisking measures for  large-scale renewable energy development issues: US$ 630 per day x 180 days in total for financial experts to develop measures addressing power market risk, counterparty risks, currency risks, US$ 630 per day x 30 days for technical experts to develop measures; addressing grid and transmission network, US$ 820 x 150 days for legal experts to develop measures addressing permitting risks, grid and transmission network risk, counterparty risks.   Pro rata (16%) costs of contracting the services of an international mid-term evaluation consultant. Pro rata (16%) costs of contracting the services of an international final evaluation consultant.</w:t>
            </w:r>
          </w:p>
        </w:tc>
      </w:tr>
      <w:tr w:rsidR="003C1A58" w:rsidRPr="003C1A58" w14:paraId="7A5DD54D" w14:textId="77777777" w:rsidTr="007132EE">
        <w:trPr>
          <w:trHeight w:val="549"/>
        </w:trPr>
        <w:tc>
          <w:tcPr>
            <w:tcW w:w="450" w:type="dxa"/>
            <w:tcBorders>
              <w:top w:val="nil"/>
              <w:left w:val="nil"/>
              <w:bottom w:val="nil"/>
              <w:right w:val="nil"/>
            </w:tcBorders>
            <w:shd w:val="clear" w:color="auto" w:fill="auto"/>
            <w:noWrap/>
            <w:hideMark/>
          </w:tcPr>
          <w:p w14:paraId="3F98C608" w14:textId="77777777" w:rsidR="003C1A58" w:rsidRPr="003C1A58" w:rsidRDefault="003C1A58" w:rsidP="007132EE">
            <w:pPr>
              <w:jc w:val="right"/>
              <w:rPr>
                <w:rFonts w:eastAsia="Times New Roman"/>
                <w:color w:val="000000"/>
                <w:sz w:val="20"/>
                <w:szCs w:val="18"/>
              </w:rPr>
            </w:pPr>
            <w:r w:rsidRPr="003C1A58">
              <w:rPr>
                <w:rFonts w:eastAsia="Times New Roman"/>
                <w:color w:val="000000"/>
                <w:sz w:val="20"/>
                <w:szCs w:val="18"/>
              </w:rPr>
              <w:t>2</w:t>
            </w:r>
          </w:p>
        </w:tc>
        <w:tc>
          <w:tcPr>
            <w:tcW w:w="13680" w:type="dxa"/>
            <w:tcBorders>
              <w:top w:val="nil"/>
              <w:left w:val="nil"/>
              <w:bottom w:val="nil"/>
              <w:right w:val="nil"/>
            </w:tcBorders>
            <w:shd w:val="clear" w:color="auto" w:fill="auto"/>
            <w:hideMark/>
          </w:tcPr>
          <w:p w14:paraId="62F2095B" w14:textId="160E4CF0" w:rsidR="003C1A58" w:rsidRPr="003C1A58" w:rsidRDefault="003C1A58" w:rsidP="007132EE">
            <w:pPr>
              <w:rPr>
                <w:rFonts w:eastAsia="Times New Roman"/>
                <w:color w:val="000000"/>
                <w:sz w:val="20"/>
                <w:szCs w:val="18"/>
              </w:rPr>
            </w:pPr>
            <w:r w:rsidRPr="003C1A58">
              <w:rPr>
                <w:rFonts w:eastAsia="Times New Roman"/>
                <w:color w:val="000000"/>
                <w:sz w:val="20"/>
                <w:szCs w:val="18"/>
              </w:rPr>
              <w:t>Costs of hiring local consultants to provide technical assistance for development of derisking measures for  large-scale renewable energy: US$ 300 per day x 200 days in total for financial experts to develop measures addressing power market risk, counterparty risks, currency risks, US$ 300 per day x 100 days for technical experts to develop measures addressing grid and transmission network, US$ 460 x 220 days for legal experts to develop measures addressing permitting risks, grid and transmission network risk, counterparty risks. Pro rata (16%) costs of contracting the services of a national mid-term evaluation consultant. Pro rata (16%) costs of contracting the services of a national final evaluation consultant.</w:t>
            </w:r>
          </w:p>
        </w:tc>
      </w:tr>
      <w:tr w:rsidR="003C1A58" w:rsidRPr="003C1A58" w14:paraId="6847B98D" w14:textId="77777777" w:rsidTr="007132EE">
        <w:trPr>
          <w:trHeight w:val="360"/>
        </w:trPr>
        <w:tc>
          <w:tcPr>
            <w:tcW w:w="450" w:type="dxa"/>
            <w:tcBorders>
              <w:top w:val="nil"/>
              <w:left w:val="nil"/>
              <w:bottom w:val="nil"/>
              <w:right w:val="nil"/>
            </w:tcBorders>
            <w:shd w:val="clear" w:color="auto" w:fill="auto"/>
            <w:noWrap/>
            <w:hideMark/>
          </w:tcPr>
          <w:p w14:paraId="7CCCE4BA" w14:textId="77777777" w:rsidR="003C1A58" w:rsidRPr="003C1A58" w:rsidRDefault="003C1A58" w:rsidP="007132EE">
            <w:pPr>
              <w:jc w:val="right"/>
              <w:rPr>
                <w:rFonts w:eastAsia="Times New Roman"/>
                <w:color w:val="000000"/>
                <w:sz w:val="20"/>
                <w:szCs w:val="18"/>
              </w:rPr>
            </w:pPr>
            <w:r w:rsidRPr="003C1A58">
              <w:rPr>
                <w:rFonts w:eastAsia="Times New Roman"/>
                <w:color w:val="000000"/>
                <w:sz w:val="20"/>
                <w:szCs w:val="18"/>
              </w:rPr>
              <w:t>3</w:t>
            </w:r>
          </w:p>
        </w:tc>
        <w:tc>
          <w:tcPr>
            <w:tcW w:w="13680" w:type="dxa"/>
            <w:tcBorders>
              <w:top w:val="nil"/>
              <w:left w:val="nil"/>
              <w:bottom w:val="nil"/>
              <w:right w:val="nil"/>
            </w:tcBorders>
            <w:shd w:val="clear" w:color="auto" w:fill="auto"/>
            <w:hideMark/>
          </w:tcPr>
          <w:p w14:paraId="5B6FBA37" w14:textId="77777777" w:rsidR="003C1A58" w:rsidRPr="003C1A58" w:rsidRDefault="003C1A58" w:rsidP="007132EE">
            <w:pPr>
              <w:rPr>
                <w:rFonts w:eastAsia="Times New Roman"/>
                <w:color w:val="000000"/>
                <w:sz w:val="20"/>
                <w:szCs w:val="18"/>
              </w:rPr>
            </w:pPr>
            <w:r w:rsidRPr="003C1A58">
              <w:rPr>
                <w:rFonts w:eastAsia="Times New Roman"/>
                <w:color w:val="000000"/>
                <w:sz w:val="20"/>
                <w:szCs w:val="18"/>
              </w:rPr>
              <w:t>Hiring a full-time Task Manager to provide expertise and technical assistance for large-scale renewable energy developments</w:t>
            </w:r>
          </w:p>
        </w:tc>
      </w:tr>
      <w:tr w:rsidR="003C1A58" w:rsidRPr="003C1A58" w14:paraId="60EF6748" w14:textId="77777777" w:rsidTr="007132EE">
        <w:trPr>
          <w:trHeight w:val="765"/>
        </w:trPr>
        <w:tc>
          <w:tcPr>
            <w:tcW w:w="450" w:type="dxa"/>
            <w:tcBorders>
              <w:top w:val="nil"/>
              <w:left w:val="nil"/>
              <w:bottom w:val="nil"/>
              <w:right w:val="nil"/>
            </w:tcBorders>
            <w:shd w:val="clear" w:color="auto" w:fill="auto"/>
            <w:noWrap/>
            <w:hideMark/>
          </w:tcPr>
          <w:p w14:paraId="22A653CE" w14:textId="77777777" w:rsidR="003C1A58" w:rsidRPr="003C1A58" w:rsidRDefault="003C1A58" w:rsidP="007132EE">
            <w:pPr>
              <w:jc w:val="right"/>
              <w:rPr>
                <w:rFonts w:eastAsia="Times New Roman"/>
                <w:color w:val="000000"/>
                <w:sz w:val="20"/>
                <w:szCs w:val="18"/>
              </w:rPr>
            </w:pPr>
            <w:r w:rsidRPr="003C1A58">
              <w:rPr>
                <w:rFonts w:eastAsia="Times New Roman"/>
                <w:color w:val="000000"/>
                <w:sz w:val="20"/>
                <w:szCs w:val="18"/>
              </w:rPr>
              <w:t>4</w:t>
            </w:r>
          </w:p>
        </w:tc>
        <w:tc>
          <w:tcPr>
            <w:tcW w:w="13680" w:type="dxa"/>
            <w:tcBorders>
              <w:top w:val="nil"/>
              <w:left w:val="nil"/>
              <w:bottom w:val="nil"/>
              <w:right w:val="nil"/>
            </w:tcBorders>
            <w:shd w:val="clear" w:color="auto" w:fill="auto"/>
            <w:hideMark/>
          </w:tcPr>
          <w:p w14:paraId="61E9C9CB" w14:textId="77777777" w:rsidR="003C1A58" w:rsidRPr="003C1A58" w:rsidRDefault="003C1A58" w:rsidP="007132EE">
            <w:pPr>
              <w:rPr>
                <w:rFonts w:eastAsia="Times New Roman"/>
                <w:color w:val="000000"/>
                <w:sz w:val="20"/>
                <w:szCs w:val="18"/>
              </w:rPr>
            </w:pPr>
            <w:r w:rsidRPr="003C1A58">
              <w:rPr>
                <w:rFonts w:eastAsia="Times New Roman"/>
                <w:color w:val="000000"/>
                <w:sz w:val="20"/>
                <w:szCs w:val="18"/>
              </w:rPr>
              <w:t>International and local travel to participate in the networking events, conferences and workshops related to large-scale renewables: Y1: 3 international trips (7 days each) US$ 2000 per trip per person, 8 local trips (5 days each) US$ 250 per trip, Y2-Y5: 4 international trips (7 days each) US$ 2000 per trip per person, 8 local trips (5 days each) US$ 250 per trip per year</w:t>
            </w:r>
          </w:p>
        </w:tc>
      </w:tr>
      <w:tr w:rsidR="003C1A58" w:rsidRPr="00E1767B" w14:paraId="1DECDE31" w14:textId="77777777" w:rsidTr="007132EE">
        <w:trPr>
          <w:trHeight w:val="340"/>
        </w:trPr>
        <w:tc>
          <w:tcPr>
            <w:tcW w:w="450" w:type="dxa"/>
            <w:tcBorders>
              <w:top w:val="nil"/>
              <w:left w:val="nil"/>
              <w:bottom w:val="nil"/>
              <w:right w:val="nil"/>
            </w:tcBorders>
            <w:shd w:val="clear" w:color="auto" w:fill="auto"/>
            <w:noWrap/>
            <w:hideMark/>
          </w:tcPr>
          <w:p w14:paraId="5B5A1CA2" w14:textId="77777777" w:rsidR="003C1A58" w:rsidRPr="00E1767B" w:rsidRDefault="003C1A58" w:rsidP="007132EE">
            <w:pPr>
              <w:jc w:val="right"/>
              <w:rPr>
                <w:rFonts w:eastAsia="Times New Roman"/>
                <w:color w:val="000000"/>
                <w:sz w:val="20"/>
                <w:szCs w:val="18"/>
              </w:rPr>
            </w:pPr>
            <w:r w:rsidRPr="00E1767B">
              <w:rPr>
                <w:rFonts w:eastAsia="Times New Roman"/>
                <w:color w:val="000000"/>
                <w:sz w:val="20"/>
                <w:szCs w:val="18"/>
              </w:rPr>
              <w:t>5</w:t>
            </w:r>
          </w:p>
        </w:tc>
        <w:tc>
          <w:tcPr>
            <w:tcW w:w="13680" w:type="dxa"/>
            <w:tcBorders>
              <w:top w:val="nil"/>
              <w:left w:val="nil"/>
              <w:bottom w:val="nil"/>
              <w:right w:val="nil"/>
            </w:tcBorders>
            <w:shd w:val="clear" w:color="auto" w:fill="auto"/>
            <w:hideMark/>
          </w:tcPr>
          <w:p w14:paraId="2B0946C6" w14:textId="4C3CCD33" w:rsidR="003C1A58" w:rsidRPr="003C1A58" w:rsidRDefault="003C1A58" w:rsidP="007132EE">
            <w:pPr>
              <w:rPr>
                <w:rFonts w:eastAsia="Times New Roman"/>
                <w:color w:val="000000"/>
                <w:sz w:val="20"/>
                <w:szCs w:val="18"/>
              </w:rPr>
            </w:pPr>
            <w:r w:rsidRPr="00E1767B">
              <w:rPr>
                <w:rFonts w:eastAsia="Times New Roman"/>
                <w:color w:val="000000"/>
                <w:sz w:val="20"/>
                <w:szCs w:val="18"/>
              </w:rPr>
              <w:t xml:space="preserve">Costs related to procurement of IT equipment for </w:t>
            </w:r>
            <w:r w:rsidR="00E1767B" w:rsidRPr="00E1767B">
              <w:rPr>
                <w:rFonts w:eastAsia="Times New Roman"/>
                <w:color w:val="000000"/>
                <w:sz w:val="20"/>
                <w:szCs w:val="18"/>
              </w:rPr>
              <w:t>technical, economic, financial and environmental analysis</w:t>
            </w:r>
          </w:p>
        </w:tc>
      </w:tr>
      <w:tr w:rsidR="003C1A58" w:rsidRPr="003C1A58" w14:paraId="7BC4AC0C" w14:textId="77777777" w:rsidTr="007132EE">
        <w:trPr>
          <w:trHeight w:val="369"/>
        </w:trPr>
        <w:tc>
          <w:tcPr>
            <w:tcW w:w="450" w:type="dxa"/>
            <w:tcBorders>
              <w:top w:val="nil"/>
              <w:left w:val="nil"/>
              <w:bottom w:val="nil"/>
              <w:right w:val="nil"/>
            </w:tcBorders>
            <w:shd w:val="clear" w:color="auto" w:fill="auto"/>
            <w:noWrap/>
            <w:hideMark/>
          </w:tcPr>
          <w:p w14:paraId="2314C37C" w14:textId="77777777" w:rsidR="003C1A58" w:rsidRPr="003C1A58" w:rsidRDefault="003C1A58" w:rsidP="007132EE">
            <w:pPr>
              <w:jc w:val="right"/>
              <w:rPr>
                <w:rFonts w:eastAsia="Times New Roman"/>
                <w:color w:val="000000"/>
                <w:sz w:val="20"/>
                <w:szCs w:val="18"/>
              </w:rPr>
            </w:pPr>
            <w:r w:rsidRPr="003C1A58">
              <w:rPr>
                <w:rFonts w:eastAsia="Times New Roman"/>
                <w:color w:val="000000"/>
                <w:sz w:val="20"/>
                <w:szCs w:val="18"/>
              </w:rPr>
              <w:t>6</w:t>
            </w:r>
          </w:p>
        </w:tc>
        <w:tc>
          <w:tcPr>
            <w:tcW w:w="13680" w:type="dxa"/>
            <w:tcBorders>
              <w:top w:val="nil"/>
              <w:left w:val="nil"/>
              <w:bottom w:val="nil"/>
              <w:right w:val="nil"/>
            </w:tcBorders>
            <w:shd w:val="clear" w:color="auto" w:fill="auto"/>
            <w:hideMark/>
          </w:tcPr>
          <w:p w14:paraId="6E9C4309" w14:textId="77777777" w:rsidR="003C1A58" w:rsidRPr="003C1A58" w:rsidRDefault="003C1A58" w:rsidP="007132EE">
            <w:pPr>
              <w:rPr>
                <w:rFonts w:eastAsia="Times New Roman"/>
                <w:color w:val="000000"/>
                <w:sz w:val="20"/>
                <w:szCs w:val="18"/>
              </w:rPr>
            </w:pPr>
            <w:r w:rsidRPr="003C1A58">
              <w:rPr>
                <w:rFonts w:eastAsia="Times New Roman"/>
                <w:color w:val="000000"/>
                <w:sz w:val="20"/>
                <w:szCs w:val="18"/>
              </w:rPr>
              <w:t>Provision of training to relevant stakeholders on various large-scale renewable energy: 1 training a year for 15 participants.</w:t>
            </w:r>
          </w:p>
        </w:tc>
      </w:tr>
      <w:tr w:rsidR="003C1A58" w:rsidRPr="003C1A58" w14:paraId="480A99DF" w14:textId="77777777" w:rsidTr="007132EE">
        <w:trPr>
          <w:trHeight w:val="360"/>
        </w:trPr>
        <w:tc>
          <w:tcPr>
            <w:tcW w:w="450" w:type="dxa"/>
            <w:tcBorders>
              <w:top w:val="nil"/>
              <w:left w:val="nil"/>
              <w:bottom w:val="nil"/>
              <w:right w:val="nil"/>
            </w:tcBorders>
            <w:shd w:val="clear" w:color="auto" w:fill="auto"/>
            <w:noWrap/>
            <w:hideMark/>
          </w:tcPr>
          <w:p w14:paraId="43094B42" w14:textId="77777777" w:rsidR="003C1A58" w:rsidRPr="003C1A58" w:rsidRDefault="003C1A58" w:rsidP="007132EE">
            <w:pPr>
              <w:jc w:val="right"/>
              <w:rPr>
                <w:rFonts w:eastAsia="Times New Roman"/>
                <w:color w:val="000000"/>
                <w:sz w:val="20"/>
                <w:szCs w:val="18"/>
              </w:rPr>
            </w:pPr>
            <w:r w:rsidRPr="003C1A58">
              <w:rPr>
                <w:rFonts w:eastAsia="Times New Roman"/>
                <w:color w:val="000000"/>
                <w:sz w:val="20"/>
                <w:szCs w:val="18"/>
              </w:rPr>
              <w:t>7</w:t>
            </w:r>
          </w:p>
        </w:tc>
        <w:tc>
          <w:tcPr>
            <w:tcW w:w="13680" w:type="dxa"/>
            <w:tcBorders>
              <w:top w:val="nil"/>
              <w:left w:val="nil"/>
              <w:bottom w:val="nil"/>
              <w:right w:val="nil"/>
            </w:tcBorders>
            <w:shd w:val="clear" w:color="auto" w:fill="auto"/>
            <w:hideMark/>
          </w:tcPr>
          <w:p w14:paraId="56990967" w14:textId="77777777" w:rsidR="003C1A58" w:rsidRPr="003C1A58" w:rsidRDefault="003C1A58" w:rsidP="007132EE">
            <w:pPr>
              <w:rPr>
                <w:rFonts w:eastAsia="Times New Roman"/>
                <w:color w:val="000000"/>
                <w:sz w:val="20"/>
                <w:szCs w:val="18"/>
              </w:rPr>
            </w:pPr>
            <w:r w:rsidRPr="003C1A58">
              <w:rPr>
                <w:rFonts w:eastAsia="Times New Roman"/>
                <w:color w:val="000000"/>
                <w:sz w:val="20"/>
                <w:szCs w:val="18"/>
              </w:rPr>
              <w:t>Miscellaneous costs related to Outcome 1</w:t>
            </w:r>
          </w:p>
        </w:tc>
      </w:tr>
      <w:tr w:rsidR="003C1A58" w:rsidRPr="003C1A58" w14:paraId="55202251" w14:textId="77777777" w:rsidTr="007132EE">
        <w:trPr>
          <w:trHeight w:val="1116"/>
        </w:trPr>
        <w:tc>
          <w:tcPr>
            <w:tcW w:w="450" w:type="dxa"/>
            <w:tcBorders>
              <w:top w:val="nil"/>
              <w:left w:val="nil"/>
              <w:bottom w:val="nil"/>
              <w:right w:val="nil"/>
            </w:tcBorders>
            <w:shd w:val="clear" w:color="auto" w:fill="auto"/>
            <w:noWrap/>
            <w:hideMark/>
          </w:tcPr>
          <w:p w14:paraId="59BDD79A" w14:textId="77777777" w:rsidR="003C1A58" w:rsidRPr="003C1A58" w:rsidRDefault="003C1A58" w:rsidP="007132EE">
            <w:pPr>
              <w:jc w:val="right"/>
              <w:rPr>
                <w:rFonts w:eastAsia="Times New Roman"/>
                <w:color w:val="000000"/>
                <w:sz w:val="20"/>
                <w:szCs w:val="18"/>
              </w:rPr>
            </w:pPr>
            <w:r w:rsidRPr="003C1A58">
              <w:rPr>
                <w:rFonts w:eastAsia="Times New Roman"/>
                <w:color w:val="000000"/>
                <w:sz w:val="20"/>
                <w:szCs w:val="18"/>
              </w:rPr>
              <w:t>8</w:t>
            </w:r>
          </w:p>
        </w:tc>
        <w:tc>
          <w:tcPr>
            <w:tcW w:w="13680" w:type="dxa"/>
            <w:tcBorders>
              <w:top w:val="nil"/>
              <w:left w:val="nil"/>
              <w:bottom w:val="nil"/>
              <w:right w:val="nil"/>
            </w:tcBorders>
            <w:shd w:val="clear" w:color="auto" w:fill="auto"/>
            <w:hideMark/>
          </w:tcPr>
          <w:p w14:paraId="630515BF" w14:textId="77777777" w:rsidR="003C1A58" w:rsidRPr="003C1A58" w:rsidRDefault="003C1A58" w:rsidP="007132EE">
            <w:pPr>
              <w:rPr>
                <w:rFonts w:eastAsia="Times New Roman"/>
                <w:color w:val="000000"/>
                <w:sz w:val="20"/>
                <w:szCs w:val="18"/>
              </w:rPr>
            </w:pPr>
            <w:r w:rsidRPr="003C1A58">
              <w:rPr>
                <w:rFonts w:eastAsia="Times New Roman"/>
                <w:color w:val="000000"/>
                <w:sz w:val="20"/>
                <w:szCs w:val="18"/>
              </w:rPr>
              <w:t>Costs of hiring international consultants to provide technical assistance for development of policy-derisking measure for small-scale renewable energy: US$ 625 per day x 100 days in total policy experts, US$ 625 per day x 100 days in total MRV experts, US$ 625 per day x 100 days in total quality control experts, US$ 625 per day x 50 days in total communication experts, US$ 831 per day x 50 days in total legal experts. Pro rata (26%) costs of contracting the services of an international mid-term evaluation consultant. Pro rata (26%) costs of contracting the services of an international final evaluation consultant.</w:t>
            </w:r>
          </w:p>
        </w:tc>
      </w:tr>
      <w:tr w:rsidR="003C1A58" w:rsidRPr="003C1A58" w14:paraId="4E4AE4A2" w14:textId="77777777" w:rsidTr="007132EE">
        <w:trPr>
          <w:trHeight w:val="1071"/>
        </w:trPr>
        <w:tc>
          <w:tcPr>
            <w:tcW w:w="450" w:type="dxa"/>
            <w:tcBorders>
              <w:top w:val="nil"/>
              <w:left w:val="nil"/>
              <w:bottom w:val="nil"/>
              <w:right w:val="nil"/>
            </w:tcBorders>
            <w:shd w:val="clear" w:color="auto" w:fill="auto"/>
            <w:noWrap/>
            <w:hideMark/>
          </w:tcPr>
          <w:p w14:paraId="4CD166C6" w14:textId="77777777" w:rsidR="003C1A58" w:rsidRPr="003C1A58" w:rsidRDefault="003C1A58" w:rsidP="007132EE">
            <w:pPr>
              <w:jc w:val="right"/>
              <w:rPr>
                <w:rFonts w:eastAsia="Times New Roman"/>
                <w:color w:val="000000"/>
                <w:sz w:val="20"/>
                <w:szCs w:val="18"/>
              </w:rPr>
            </w:pPr>
            <w:r w:rsidRPr="003C1A58">
              <w:rPr>
                <w:rFonts w:eastAsia="Times New Roman"/>
                <w:color w:val="000000"/>
                <w:sz w:val="20"/>
                <w:szCs w:val="18"/>
              </w:rPr>
              <w:t>9</w:t>
            </w:r>
          </w:p>
        </w:tc>
        <w:tc>
          <w:tcPr>
            <w:tcW w:w="13680" w:type="dxa"/>
            <w:tcBorders>
              <w:top w:val="nil"/>
              <w:left w:val="nil"/>
              <w:bottom w:val="nil"/>
              <w:right w:val="nil"/>
            </w:tcBorders>
            <w:shd w:val="clear" w:color="auto" w:fill="auto"/>
            <w:hideMark/>
          </w:tcPr>
          <w:p w14:paraId="1860A29B" w14:textId="77777777" w:rsidR="003C1A58" w:rsidRPr="003C1A58" w:rsidRDefault="003C1A58" w:rsidP="007132EE">
            <w:pPr>
              <w:rPr>
                <w:rFonts w:eastAsia="Times New Roman"/>
                <w:color w:val="000000"/>
                <w:sz w:val="20"/>
                <w:szCs w:val="18"/>
              </w:rPr>
            </w:pPr>
            <w:r w:rsidRPr="003C1A58">
              <w:rPr>
                <w:rFonts w:eastAsia="Times New Roman"/>
                <w:color w:val="000000"/>
                <w:sz w:val="20"/>
                <w:szCs w:val="18"/>
              </w:rPr>
              <w:t>Costs of hiring local consultants to provide technical assistance for development of</w:t>
            </w:r>
            <w:r w:rsidR="00C9656A">
              <w:rPr>
                <w:rFonts w:eastAsia="Times New Roman"/>
                <w:color w:val="000000"/>
                <w:sz w:val="20"/>
                <w:szCs w:val="18"/>
              </w:rPr>
              <w:t xml:space="preserve"> policy-derisking measures for </w:t>
            </w:r>
            <w:r w:rsidRPr="003C1A58">
              <w:rPr>
                <w:rFonts w:eastAsia="Times New Roman"/>
                <w:color w:val="000000"/>
                <w:sz w:val="20"/>
                <w:szCs w:val="18"/>
              </w:rPr>
              <w:t>small-scale renewable energy: US$ 300 per day x 100 days in total policy experts, US$ 300 per day x 100 days in total MRV experts, US$ 300 per day x 100 days in total quality control experts, US$ 300 per day x 50 days in total communication experts, US$ 460 per day x 50 days in total legal experts. Pro rata (26%) costs of contracting the services of a national mid-term evaluation consultant. Pro rata (26%) costs of contracting the services of a national final evaluation consultant.</w:t>
            </w:r>
          </w:p>
        </w:tc>
      </w:tr>
      <w:tr w:rsidR="003C1A58" w:rsidRPr="003C1A58" w14:paraId="5627C897" w14:textId="77777777" w:rsidTr="007132EE">
        <w:trPr>
          <w:trHeight w:val="585"/>
        </w:trPr>
        <w:tc>
          <w:tcPr>
            <w:tcW w:w="450" w:type="dxa"/>
            <w:tcBorders>
              <w:top w:val="nil"/>
              <w:left w:val="nil"/>
              <w:bottom w:val="nil"/>
              <w:right w:val="nil"/>
            </w:tcBorders>
            <w:shd w:val="clear" w:color="auto" w:fill="auto"/>
            <w:noWrap/>
            <w:hideMark/>
          </w:tcPr>
          <w:p w14:paraId="2A31E9E7" w14:textId="77777777" w:rsidR="003C1A58" w:rsidRPr="003C1A58" w:rsidRDefault="003C1A58" w:rsidP="007132EE">
            <w:pPr>
              <w:jc w:val="right"/>
              <w:rPr>
                <w:rFonts w:eastAsia="Times New Roman"/>
                <w:color w:val="000000"/>
                <w:sz w:val="20"/>
                <w:szCs w:val="18"/>
              </w:rPr>
            </w:pPr>
            <w:r w:rsidRPr="003C1A58">
              <w:rPr>
                <w:rFonts w:eastAsia="Times New Roman"/>
                <w:color w:val="000000"/>
                <w:sz w:val="20"/>
                <w:szCs w:val="18"/>
              </w:rPr>
              <w:t>10</w:t>
            </w:r>
          </w:p>
        </w:tc>
        <w:tc>
          <w:tcPr>
            <w:tcW w:w="13680" w:type="dxa"/>
            <w:tcBorders>
              <w:top w:val="nil"/>
              <w:left w:val="nil"/>
              <w:bottom w:val="nil"/>
              <w:right w:val="nil"/>
            </w:tcBorders>
            <w:shd w:val="clear" w:color="auto" w:fill="auto"/>
            <w:hideMark/>
          </w:tcPr>
          <w:p w14:paraId="57E70E98" w14:textId="77777777" w:rsidR="003C1A58" w:rsidRPr="003C1A58" w:rsidRDefault="003C1A58" w:rsidP="007132EE">
            <w:pPr>
              <w:rPr>
                <w:rFonts w:eastAsia="Times New Roman"/>
                <w:color w:val="000000"/>
                <w:sz w:val="20"/>
                <w:szCs w:val="18"/>
              </w:rPr>
            </w:pPr>
            <w:r w:rsidRPr="003C1A58">
              <w:rPr>
                <w:rFonts w:eastAsia="Times New Roman"/>
                <w:color w:val="000000"/>
                <w:sz w:val="20"/>
                <w:szCs w:val="18"/>
              </w:rPr>
              <w:t>Hiring a full-time Task Manager to provide expertise and technical assistance for small-scale renewable energy developments; Hiring full-time analyst for small-scale renewables (Y1-Y2)</w:t>
            </w:r>
          </w:p>
        </w:tc>
      </w:tr>
      <w:tr w:rsidR="003C1A58" w:rsidRPr="003C1A58" w14:paraId="2515D658" w14:textId="77777777" w:rsidTr="007132EE">
        <w:trPr>
          <w:trHeight w:val="648"/>
        </w:trPr>
        <w:tc>
          <w:tcPr>
            <w:tcW w:w="450" w:type="dxa"/>
            <w:tcBorders>
              <w:top w:val="nil"/>
              <w:left w:val="nil"/>
              <w:bottom w:val="nil"/>
              <w:right w:val="nil"/>
            </w:tcBorders>
            <w:shd w:val="clear" w:color="auto" w:fill="auto"/>
            <w:noWrap/>
            <w:hideMark/>
          </w:tcPr>
          <w:p w14:paraId="4F472DDC" w14:textId="77777777" w:rsidR="003C1A58" w:rsidRPr="003C1A58" w:rsidRDefault="003C1A58" w:rsidP="007132EE">
            <w:pPr>
              <w:jc w:val="right"/>
              <w:rPr>
                <w:rFonts w:eastAsia="Times New Roman"/>
                <w:color w:val="000000"/>
                <w:sz w:val="20"/>
                <w:szCs w:val="18"/>
              </w:rPr>
            </w:pPr>
            <w:r w:rsidRPr="003C1A58">
              <w:rPr>
                <w:rFonts w:eastAsia="Times New Roman"/>
                <w:color w:val="000000"/>
                <w:sz w:val="20"/>
                <w:szCs w:val="18"/>
              </w:rPr>
              <w:t>11</w:t>
            </w:r>
          </w:p>
        </w:tc>
        <w:tc>
          <w:tcPr>
            <w:tcW w:w="13680" w:type="dxa"/>
            <w:tcBorders>
              <w:top w:val="nil"/>
              <w:left w:val="nil"/>
              <w:bottom w:val="nil"/>
              <w:right w:val="nil"/>
            </w:tcBorders>
            <w:shd w:val="clear" w:color="auto" w:fill="auto"/>
            <w:hideMark/>
          </w:tcPr>
          <w:p w14:paraId="78B72510" w14:textId="77777777" w:rsidR="003C1A58" w:rsidRPr="003C1A58" w:rsidRDefault="003C1A58" w:rsidP="007132EE">
            <w:pPr>
              <w:rPr>
                <w:rFonts w:eastAsia="Times New Roman"/>
                <w:color w:val="000000"/>
                <w:sz w:val="20"/>
                <w:szCs w:val="18"/>
              </w:rPr>
            </w:pPr>
            <w:r w:rsidRPr="003C1A58">
              <w:rPr>
                <w:rFonts w:eastAsia="Times New Roman"/>
                <w:color w:val="000000"/>
                <w:sz w:val="20"/>
                <w:szCs w:val="18"/>
              </w:rPr>
              <w:t xml:space="preserve">International and local travel to participate in the networking events. conferences and workshops related to small-scale renewables, 4 international trips US$ 2000 per trip per person, 8 local trips (5 days each) US$ 250 per trip per year </w:t>
            </w:r>
          </w:p>
        </w:tc>
      </w:tr>
      <w:tr w:rsidR="003C1A58" w:rsidRPr="003C1A58" w14:paraId="46BF90A2" w14:textId="77777777" w:rsidTr="007132EE">
        <w:trPr>
          <w:trHeight w:val="558"/>
        </w:trPr>
        <w:tc>
          <w:tcPr>
            <w:tcW w:w="450" w:type="dxa"/>
            <w:tcBorders>
              <w:top w:val="nil"/>
              <w:left w:val="nil"/>
              <w:bottom w:val="nil"/>
              <w:right w:val="nil"/>
            </w:tcBorders>
            <w:shd w:val="clear" w:color="auto" w:fill="auto"/>
            <w:noWrap/>
            <w:hideMark/>
          </w:tcPr>
          <w:p w14:paraId="51CCA770" w14:textId="77777777" w:rsidR="003C1A58" w:rsidRPr="003C1A58" w:rsidRDefault="003C1A58" w:rsidP="007132EE">
            <w:pPr>
              <w:jc w:val="right"/>
              <w:rPr>
                <w:rFonts w:eastAsia="Times New Roman"/>
                <w:color w:val="000000"/>
                <w:sz w:val="20"/>
                <w:szCs w:val="18"/>
              </w:rPr>
            </w:pPr>
            <w:r w:rsidRPr="003C1A58">
              <w:rPr>
                <w:rFonts w:eastAsia="Times New Roman"/>
                <w:color w:val="000000"/>
                <w:sz w:val="20"/>
                <w:szCs w:val="18"/>
              </w:rPr>
              <w:t>12</w:t>
            </w:r>
          </w:p>
        </w:tc>
        <w:tc>
          <w:tcPr>
            <w:tcW w:w="13680" w:type="dxa"/>
            <w:tcBorders>
              <w:top w:val="nil"/>
              <w:left w:val="nil"/>
              <w:bottom w:val="nil"/>
              <w:right w:val="nil"/>
            </w:tcBorders>
            <w:shd w:val="clear" w:color="auto" w:fill="auto"/>
            <w:hideMark/>
          </w:tcPr>
          <w:p w14:paraId="334059BE" w14:textId="2FC69245" w:rsidR="003C1A58" w:rsidRPr="003C1A58" w:rsidRDefault="003C1A58" w:rsidP="007132EE">
            <w:pPr>
              <w:rPr>
                <w:rFonts w:eastAsia="Times New Roman"/>
                <w:color w:val="000000"/>
                <w:sz w:val="20"/>
                <w:szCs w:val="18"/>
              </w:rPr>
            </w:pPr>
            <w:r w:rsidRPr="003C1A58">
              <w:rPr>
                <w:rFonts w:eastAsia="Times New Roman"/>
                <w:color w:val="000000"/>
                <w:sz w:val="20"/>
                <w:szCs w:val="18"/>
              </w:rPr>
              <w:t xml:space="preserve">Costs of contracting companies to implement MRV design and maintenance of MRV system; Costs of contracting </w:t>
            </w:r>
            <w:r w:rsidR="00C9656A" w:rsidRPr="003C1A58">
              <w:rPr>
                <w:rFonts w:eastAsia="Times New Roman"/>
                <w:color w:val="000000"/>
                <w:sz w:val="20"/>
                <w:szCs w:val="18"/>
              </w:rPr>
              <w:t>companies for</w:t>
            </w:r>
            <w:r w:rsidRPr="003C1A58">
              <w:rPr>
                <w:rFonts w:eastAsia="Times New Roman"/>
                <w:color w:val="000000"/>
                <w:sz w:val="20"/>
                <w:szCs w:val="18"/>
              </w:rPr>
              <w:t xml:space="preserve"> Implementation of the media campaign activities; Costs of contracting companies for establishment and maintenance of </w:t>
            </w:r>
            <w:r w:rsidR="001C6ADD">
              <w:rPr>
                <w:rFonts w:eastAsia="Times New Roman"/>
                <w:color w:val="000000"/>
                <w:sz w:val="20"/>
                <w:szCs w:val="18"/>
              </w:rPr>
              <w:t xml:space="preserve">the </w:t>
            </w:r>
            <w:r w:rsidRPr="003C1A58">
              <w:rPr>
                <w:rFonts w:eastAsia="Times New Roman"/>
                <w:color w:val="000000"/>
                <w:sz w:val="20"/>
                <w:szCs w:val="18"/>
              </w:rPr>
              <w:t>technology platform</w:t>
            </w:r>
          </w:p>
        </w:tc>
      </w:tr>
      <w:tr w:rsidR="007132EE" w:rsidRPr="003C1A58" w14:paraId="2BCE0C0F" w14:textId="77777777" w:rsidTr="007132EE">
        <w:trPr>
          <w:trHeight w:val="324"/>
        </w:trPr>
        <w:tc>
          <w:tcPr>
            <w:tcW w:w="450" w:type="dxa"/>
            <w:tcBorders>
              <w:top w:val="nil"/>
              <w:left w:val="nil"/>
              <w:bottom w:val="nil"/>
              <w:right w:val="nil"/>
            </w:tcBorders>
            <w:shd w:val="clear" w:color="auto" w:fill="auto"/>
            <w:noWrap/>
            <w:hideMark/>
          </w:tcPr>
          <w:p w14:paraId="3E1C830C" w14:textId="77777777" w:rsidR="003C1A58" w:rsidRPr="003C1A58" w:rsidRDefault="003C1A58" w:rsidP="007132EE">
            <w:pPr>
              <w:jc w:val="right"/>
              <w:rPr>
                <w:rFonts w:eastAsia="Times New Roman"/>
                <w:color w:val="000000"/>
                <w:sz w:val="20"/>
                <w:szCs w:val="18"/>
              </w:rPr>
            </w:pPr>
            <w:r w:rsidRPr="003C1A58">
              <w:rPr>
                <w:rFonts w:eastAsia="Times New Roman"/>
                <w:color w:val="000000"/>
                <w:sz w:val="20"/>
                <w:szCs w:val="18"/>
              </w:rPr>
              <w:t>13</w:t>
            </w:r>
          </w:p>
        </w:tc>
        <w:tc>
          <w:tcPr>
            <w:tcW w:w="13680" w:type="dxa"/>
            <w:tcBorders>
              <w:top w:val="nil"/>
              <w:left w:val="nil"/>
              <w:bottom w:val="nil"/>
              <w:right w:val="nil"/>
            </w:tcBorders>
            <w:shd w:val="clear" w:color="auto" w:fill="auto"/>
            <w:hideMark/>
          </w:tcPr>
          <w:p w14:paraId="66DC4849" w14:textId="77777777" w:rsidR="003C1A58" w:rsidRPr="003C1A58" w:rsidRDefault="003C1A58" w:rsidP="007132EE">
            <w:pPr>
              <w:rPr>
                <w:rFonts w:eastAsia="Times New Roman"/>
                <w:color w:val="000000"/>
                <w:sz w:val="20"/>
                <w:szCs w:val="18"/>
              </w:rPr>
            </w:pPr>
            <w:r w:rsidRPr="003C1A58">
              <w:rPr>
                <w:rFonts w:eastAsia="Times New Roman"/>
                <w:color w:val="000000"/>
                <w:sz w:val="20"/>
                <w:szCs w:val="18"/>
              </w:rPr>
              <w:t xml:space="preserve">Costs related to organization of training on MRV, training for local policy-making, training to enforce quality control system: 1 training a year for 20 participants each. </w:t>
            </w:r>
          </w:p>
        </w:tc>
      </w:tr>
      <w:tr w:rsidR="003C1A58" w:rsidRPr="003C1A58" w14:paraId="139E4CF3" w14:textId="77777777" w:rsidTr="007132EE">
        <w:trPr>
          <w:trHeight w:val="340"/>
        </w:trPr>
        <w:tc>
          <w:tcPr>
            <w:tcW w:w="450" w:type="dxa"/>
            <w:tcBorders>
              <w:top w:val="nil"/>
              <w:left w:val="nil"/>
              <w:bottom w:val="nil"/>
              <w:right w:val="nil"/>
            </w:tcBorders>
            <w:shd w:val="clear" w:color="auto" w:fill="auto"/>
            <w:noWrap/>
            <w:hideMark/>
          </w:tcPr>
          <w:p w14:paraId="1AB178BD" w14:textId="77777777" w:rsidR="003C1A58" w:rsidRPr="003C1A58" w:rsidRDefault="003C1A58" w:rsidP="007132EE">
            <w:pPr>
              <w:jc w:val="right"/>
              <w:rPr>
                <w:rFonts w:eastAsia="Times New Roman"/>
                <w:color w:val="000000"/>
                <w:sz w:val="20"/>
                <w:szCs w:val="18"/>
              </w:rPr>
            </w:pPr>
            <w:r w:rsidRPr="003C1A58">
              <w:rPr>
                <w:rFonts w:eastAsia="Times New Roman"/>
                <w:color w:val="000000"/>
                <w:sz w:val="20"/>
                <w:szCs w:val="18"/>
              </w:rPr>
              <w:t>14</w:t>
            </w:r>
          </w:p>
        </w:tc>
        <w:tc>
          <w:tcPr>
            <w:tcW w:w="13680" w:type="dxa"/>
            <w:tcBorders>
              <w:top w:val="nil"/>
              <w:left w:val="nil"/>
              <w:bottom w:val="nil"/>
              <w:right w:val="nil"/>
            </w:tcBorders>
            <w:shd w:val="clear" w:color="auto" w:fill="auto"/>
            <w:hideMark/>
          </w:tcPr>
          <w:p w14:paraId="2571A39C" w14:textId="77777777" w:rsidR="003C1A58" w:rsidRPr="003C1A58" w:rsidRDefault="003C1A58" w:rsidP="007132EE">
            <w:pPr>
              <w:rPr>
                <w:rFonts w:eastAsia="Times New Roman"/>
                <w:color w:val="000000"/>
                <w:sz w:val="20"/>
                <w:szCs w:val="18"/>
              </w:rPr>
            </w:pPr>
            <w:r w:rsidRPr="003C1A58">
              <w:rPr>
                <w:rFonts w:eastAsia="Times New Roman"/>
                <w:color w:val="000000"/>
                <w:sz w:val="20"/>
                <w:szCs w:val="18"/>
              </w:rPr>
              <w:t>Miscellaneous costs related to Outcome 2</w:t>
            </w:r>
          </w:p>
        </w:tc>
      </w:tr>
      <w:tr w:rsidR="003C1A58" w:rsidRPr="003C1A58" w14:paraId="6A73E835" w14:textId="77777777" w:rsidTr="007132EE">
        <w:trPr>
          <w:trHeight w:val="1116"/>
        </w:trPr>
        <w:tc>
          <w:tcPr>
            <w:tcW w:w="450" w:type="dxa"/>
            <w:tcBorders>
              <w:top w:val="nil"/>
              <w:left w:val="nil"/>
              <w:bottom w:val="nil"/>
              <w:right w:val="nil"/>
            </w:tcBorders>
            <w:shd w:val="clear" w:color="auto" w:fill="auto"/>
            <w:noWrap/>
            <w:hideMark/>
          </w:tcPr>
          <w:p w14:paraId="3AFABF60" w14:textId="77777777" w:rsidR="003C1A58" w:rsidRPr="003C1A58" w:rsidRDefault="003C1A58" w:rsidP="007132EE">
            <w:pPr>
              <w:jc w:val="right"/>
              <w:rPr>
                <w:rFonts w:eastAsia="Times New Roman"/>
                <w:color w:val="000000"/>
                <w:sz w:val="20"/>
                <w:szCs w:val="18"/>
              </w:rPr>
            </w:pPr>
            <w:r w:rsidRPr="003C1A58">
              <w:rPr>
                <w:rFonts w:eastAsia="Times New Roman"/>
                <w:color w:val="000000"/>
                <w:sz w:val="20"/>
                <w:szCs w:val="18"/>
              </w:rPr>
              <w:t>15</w:t>
            </w:r>
          </w:p>
        </w:tc>
        <w:tc>
          <w:tcPr>
            <w:tcW w:w="13680" w:type="dxa"/>
            <w:tcBorders>
              <w:top w:val="nil"/>
              <w:left w:val="nil"/>
              <w:bottom w:val="nil"/>
              <w:right w:val="nil"/>
            </w:tcBorders>
            <w:shd w:val="clear" w:color="auto" w:fill="auto"/>
            <w:hideMark/>
          </w:tcPr>
          <w:p w14:paraId="408C8916" w14:textId="77777777" w:rsidR="003C1A58" w:rsidRPr="003C1A58" w:rsidRDefault="003C1A58" w:rsidP="007132EE">
            <w:pPr>
              <w:rPr>
                <w:rFonts w:eastAsia="Times New Roman"/>
                <w:color w:val="000000"/>
                <w:sz w:val="20"/>
                <w:szCs w:val="18"/>
              </w:rPr>
            </w:pPr>
            <w:r w:rsidRPr="003C1A58">
              <w:rPr>
                <w:rFonts w:eastAsia="Times New Roman"/>
                <w:color w:val="000000"/>
                <w:sz w:val="20"/>
                <w:szCs w:val="18"/>
              </w:rPr>
              <w:t>Cost of the contract for hiring an international consultant to develop business models and financial mechanisms for support of small-scale renewables: US$ 625 per day x 200 days in total financial and business experts and consultants designing and administrating the grant, US$ 860 per day x 50 days in total legal experts. Pro rata (58%) costs of contracting the services of an international mid-term evaluation consultant. Pro rata (58%) costs of contracting the services of an international final evaluation consultant.</w:t>
            </w:r>
          </w:p>
        </w:tc>
      </w:tr>
      <w:tr w:rsidR="003C1A58" w:rsidRPr="003C1A58" w14:paraId="100742D1" w14:textId="77777777" w:rsidTr="007132EE">
        <w:trPr>
          <w:trHeight w:val="1017"/>
        </w:trPr>
        <w:tc>
          <w:tcPr>
            <w:tcW w:w="450" w:type="dxa"/>
            <w:tcBorders>
              <w:top w:val="nil"/>
              <w:left w:val="nil"/>
              <w:bottom w:val="nil"/>
              <w:right w:val="nil"/>
            </w:tcBorders>
            <w:shd w:val="clear" w:color="auto" w:fill="auto"/>
            <w:noWrap/>
            <w:hideMark/>
          </w:tcPr>
          <w:p w14:paraId="7BA02393" w14:textId="77777777" w:rsidR="003C1A58" w:rsidRPr="003C1A58" w:rsidRDefault="003C1A58" w:rsidP="007132EE">
            <w:pPr>
              <w:jc w:val="right"/>
              <w:rPr>
                <w:rFonts w:eastAsia="Times New Roman"/>
                <w:color w:val="000000"/>
                <w:sz w:val="20"/>
                <w:szCs w:val="18"/>
              </w:rPr>
            </w:pPr>
            <w:r w:rsidRPr="003C1A58">
              <w:rPr>
                <w:rFonts w:eastAsia="Times New Roman"/>
                <w:color w:val="000000"/>
                <w:sz w:val="20"/>
                <w:szCs w:val="18"/>
              </w:rPr>
              <w:t>16</w:t>
            </w:r>
          </w:p>
        </w:tc>
        <w:tc>
          <w:tcPr>
            <w:tcW w:w="13680" w:type="dxa"/>
            <w:tcBorders>
              <w:top w:val="nil"/>
              <w:left w:val="nil"/>
              <w:bottom w:val="nil"/>
              <w:right w:val="nil"/>
            </w:tcBorders>
            <w:shd w:val="clear" w:color="auto" w:fill="auto"/>
            <w:hideMark/>
          </w:tcPr>
          <w:p w14:paraId="4981B4F0" w14:textId="77777777" w:rsidR="003C1A58" w:rsidRPr="003C1A58" w:rsidRDefault="003C1A58" w:rsidP="007132EE">
            <w:pPr>
              <w:rPr>
                <w:rFonts w:eastAsia="Times New Roman"/>
                <w:color w:val="000000"/>
                <w:sz w:val="20"/>
                <w:szCs w:val="18"/>
              </w:rPr>
            </w:pPr>
            <w:r w:rsidRPr="003C1A58">
              <w:rPr>
                <w:rFonts w:eastAsia="Times New Roman"/>
                <w:color w:val="000000"/>
                <w:sz w:val="20"/>
                <w:szCs w:val="18"/>
              </w:rPr>
              <w:t>Cost of the contract for hiring a local consultant to develop business models and financial mechanisms for support of small-scale renewables: US$ 315 per day x 220 days in total for financial and business experts and consultants designing and administrating the grant, US$ 479 per day x 50 days in total legal experts. Pro rata (58%) costs of contracting the services of a national mid-term evaluation consultant. Pro rata (58%) costs of contracting the services of a national final evaluation consultant.</w:t>
            </w:r>
          </w:p>
        </w:tc>
      </w:tr>
      <w:tr w:rsidR="003C1A58" w:rsidRPr="003C1A58" w14:paraId="2F5D620C" w14:textId="77777777" w:rsidTr="007132EE">
        <w:trPr>
          <w:trHeight w:val="340"/>
        </w:trPr>
        <w:tc>
          <w:tcPr>
            <w:tcW w:w="450" w:type="dxa"/>
            <w:tcBorders>
              <w:top w:val="nil"/>
              <w:left w:val="nil"/>
              <w:bottom w:val="nil"/>
              <w:right w:val="nil"/>
            </w:tcBorders>
            <w:shd w:val="clear" w:color="auto" w:fill="auto"/>
            <w:noWrap/>
            <w:hideMark/>
          </w:tcPr>
          <w:p w14:paraId="019B076C" w14:textId="77777777" w:rsidR="003C1A58" w:rsidRPr="003C1A58" w:rsidRDefault="003C1A58" w:rsidP="007132EE">
            <w:pPr>
              <w:jc w:val="right"/>
              <w:rPr>
                <w:rFonts w:eastAsia="Times New Roman"/>
                <w:color w:val="000000"/>
                <w:sz w:val="20"/>
                <w:szCs w:val="18"/>
              </w:rPr>
            </w:pPr>
            <w:r w:rsidRPr="003C1A58">
              <w:rPr>
                <w:rFonts w:eastAsia="Times New Roman"/>
                <w:color w:val="000000"/>
                <w:sz w:val="20"/>
                <w:szCs w:val="18"/>
              </w:rPr>
              <w:t>17</w:t>
            </w:r>
          </w:p>
        </w:tc>
        <w:tc>
          <w:tcPr>
            <w:tcW w:w="13680" w:type="dxa"/>
            <w:tcBorders>
              <w:top w:val="nil"/>
              <w:left w:val="nil"/>
              <w:bottom w:val="nil"/>
              <w:right w:val="nil"/>
            </w:tcBorders>
            <w:shd w:val="clear" w:color="auto" w:fill="auto"/>
            <w:hideMark/>
          </w:tcPr>
          <w:p w14:paraId="33787641" w14:textId="77777777" w:rsidR="003C1A58" w:rsidRPr="003C1A58" w:rsidRDefault="003C1A58" w:rsidP="007132EE">
            <w:pPr>
              <w:rPr>
                <w:rFonts w:eastAsia="Times New Roman"/>
                <w:color w:val="000000"/>
                <w:sz w:val="20"/>
                <w:szCs w:val="18"/>
              </w:rPr>
            </w:pPr>
            <w:r w:rsidRPr="003C1A58">
              <w:rPr>
                <w:rFonts w:eastAsia="Times New Roman"/>
                <w:color w:val="000000"/>
                <w:sz w:val="20"/>
                <w:szCs w:val="18"/>
              </w:rPr>
              <w:t>Project Manager salary; Hiring full-time analyst for small-scale renewables (Y3-Y5)</w:t>
            </w:r>
          </w:p>
        </w:tc>
      </w:tr>
      <w:tr w:rsidR="003C1A58" w:rsidRPr="003C1A58" w14:paraId="4E628091" w14:textId="77777777" w:rsidTr="007132EE">
        <w:trPr>
          <w:trHeight w:val="783"/>
        </w:trPr>
        <w:tc>
          <w:tcPr>
            <w:tcW w:w="450" w:type="dxa"/>
            <w:tcBorders>
              <w:top w:val="nil"/>
              <w:left w:val="nil"/>
              <w:bottom w:val="nil"/>
              <w:right w:val="nil"/>
            </w:tcBorders>
            <w:shd w:val="clear" w:color="auto" w:fill="auto"/>
            <w:noWrap/>
            <w:hideMark/>
          </w:tcPr>
          <w:p w14:paraId="2C8741D0" w14:textId="77777777" w:rsidR="003C1A58" w:rsidRPr="003C1A58" w:rsidRDefault="003C1A58" w:rsidP="007132EE">
            <w:pPr>
              <w:jc w:val="right"/>
              <w:rPr>
                <w:rFonts w:eastAsia="Times New Roman"/>
                <w:color w:val="000000"/>
                <w:sz w:val="20"/>
                <w:szCs w:val="18"/>
              </w:rPr>
            </w:pPr>
            <w:r w:rsidRPr="003C1A58">
              <w:rPr>
                <w:rFonts w:eastAsia="Times New Roman"/>
                <w:color w:val="000000"/>
                <w:sz w:val="20"/>
                <w:szCs w:val="18"/>
              </w:rPr>
              <w:t>18</w:t>
            </w:r>
          </w:p>
        </w:tc>
        <w:tc>
          <w:tcPr>
            <w:tcW w:w="13680" w:type="dxa"/>
            <w:tcBorders>
              <w:top w:val="nil"/>
              <w:left w:val="nil"/>
              <w:bottom w:val="nil"/>
              <w:right w:val="nil"/>
            </w:tcBorders>
            <w:shd w:val="clear" w:color="auto" w:fill="auto"/>
            <w:hideMark/>
          </w:tcPr>
          <w:p w14:paraId="5BF4836B" w14:textId="77777777" w:rsidR="003C1A58" w:rsidRPr="003C1A58" w:rsidRDefault="003C1A58" w:rsidP="007132EE">
            <w:pPr>
              <w:rPr>
                <w:rFonts w:eastAsia="Times New Roman"/>
                <w:color w:val="000000"/>
                <w:sz w:val="20"/>
                <w:szCs w:val="18"/>
              </w:rPr>
            </w:pPr>
            <w:r w:rsidRPr="003C1A58">
              <w:rPr>
                <w:rFonts w:eastAsia="Times New Roman"/>
                <w:color w:val="000000"/>
                <w:sz w:val="20"/>
                <w:szCs w:val="18"/>
              </w:rPr>
              <w:t>International and local travel to participate in the networking events, conferences and workshops related to financing small-scale renewables: Y1-Y4 3 international trips (7 days each) US$ 2000 per trip per person, 8 local trips (5 days each) US$ 250 per trip per year; Y5: 9 local trips (5 days each) US$ 250 per trip per year, 3 international trips (5 days each) US$ 1600 per trip.</w:t>
            </w:r>
          </w:p>
        </w:tc>
      </w:tr>
      <w:tr w:rsidR="003C1A58" w:rsidRPr="003C1A58" w14:paraId="4B1BABA7" w14:textId="77777777" w:rsidTr="007132EE">
        <w:trPr>
          <w:trHeight w:val="342"/>
        </w:trPr>
        <w:tc>
          <w:tcPr>
            <w:tcW w:w="450" w:type="dxa"/>
            <w:tcBorders>
              <w:top w:val="nil"/>
              <w:left w:val="nil"/>
              <w:bottom w:val="nil"/>
              <w:right w:val="nil"/>
            </w:tcBorders>
            <w:shd w:val="clear" w:color="auto" w:fill="auto"/>
            <w:noWrap/>
            <w:hideMark/>
          </w:tcPr>
          <w:p w14:paraId="33EB10FF" w14:textId="77777777" w:rsidR="003C1A58" w:rsidRPr="003C1A58" w:rsidRDefault="003C1A58" w:rsidP="007132EE">
            <w:pPr>
              <w:jc w:val="right"/>
              <w:rPr>
                <w:rFonts w:eastAsia="Times New Roman"/>
                <w:color w:val="000000"/>
                <w:sz w:val="20"/>
                <w:szCs w:val="18"/>
              </w:rPr>
            </w:pPr>
            <w:r w:rsidRPr="003C1A58">
              <w:rPr>
                <w:rFonts w:eastAsia="Times New Roman"/>
                <w:color w:val="000000"/>
                <w:sz w:val="20"/>
                <w:szCs w:val="18"/>
              </w:rPr>
              <w:t>19</w:t>
            </w:r>
          </w:p>
        </w:tc>
        <w:tc>
          <w:tcPr>
            <w:tcW w:w="13680" w:type="dxa"/>
            <w:tcBorders>
              <w:top w:val="nil"/>
              <w:left w:val="nil"/>
              <w:bottom w:val="nil"/>
              <w:right w:val="nil"/>
            </w:tcBorders>
            <w:shd w:val="clear" w:color="auto" w:fill="auto"/>
            <w:hideMark/>
          </w:tcPr>
          <w:p w14:paraId="5BF7C3B4" w14:textId="6FE61DAE" w:rsidR="003C1A58" w:rsidRPr="003C1A58" w:rsidRDefault="00E1767B" w:rsidP="007132EE">
            <w:pPr>
              <w:rPr>
                <w:rFonts w:eastAsia="Times New Roman"/>
                <w:color w:val="000000"/>
                <w:sz w:val="20"/>
                <w:szCs w:val="18"/>
              </w:rPr>
            </w:pPr>
            <w:r>
              <w:rPr>
                <w:rFonts w:eastAsia="Times New Roman"/>
                <w:color w:val="000000"/>
                <w:sz w:val="20"/>
                <w:szCs w:val="18"/>
              </w:rPr>
              <w:t>Financial instrument to address incremental costs</w:t>
            </w:r>
            <w:r w:rsidRPr="003C1A58">
              <w:rPr>
                <w:rFonts w:eastAsia="Times New Roman"/>
                <w:color w:val="000000"/>
                <w:sz w:val="20"/>
                <w:szCs w:val="18"/>
              </w:rPr>
              <w:t xml:space="preserve"> </w:t>
            </w:r>
            <w:r w:rsidR="003C1A58" w:rsidRPr="003C1A58">
              <w:rPr>
                <w:rFonts w:eastAsia="Times New Roman"/>
                <w:color w:val="000000"/>
                <w:sz w:val="20"/>
                <w:szCs w:val="18"/>
              </w:rPr>
              <w:t>for small-scale renewable energy developments</w:t>
            </w:r>
            <w:r w:rsidR="003F6BD5">
              <w:rPr>
                <w:rFonts w:eastAsia="Times New Roman"/>
                <w:color w:val="000000"/>
                <w:sz w:val="20"/>
                <w:szCs w:val="18"/>
              </w:rPr>
              <w:t>. The financial mechanism is to be determined based on Output 3.2</w:t>
            </w:r>
            <w:r>
              <w:rPr>
                <w:rFonts w:eastAsia="Times New Roman"/>
                <w:color w:val="000000"/>
                <w:sz w:val="20"/>
                <w:szCs w:val="18"/>
              </w:rPr>
              <w:t xml:space="preserve"> during Years 1 and 2 of implementation. The design </w:t>
            </w:r>
            <w:r w:rsidR="003F6BD5">
              <w:rPr>
                <w:rFonts w:eastAsia="Times New Roman"/>
                <w:color w:val="000000"/>
                <w:sz w:val="20"/>
                <w:szCs w:val="18"/>
              </w:rPr>
              <w:t xml:space="preserve">will be fully compliant </w:t>
            </w:r>
            <w:r>
              <w:rPr>
                <w:rFonts w:eastAsia="Times New Roman"/>
                <w:color w:val="000000"/>
                <w:sz w:val="20"/>
                <w:szCs w:val="18"/>
              </w:rPr>
              <w:t>with UNDP rules and procedures; this financial mechanism will be deployed under Output 3.4.</w:t>
            </w:r>
          </w:p>
        </w:tc>
      </w:tr>
      <w:tr w:rsidR="007132EE" w:rsidRPr="003C1A58" w14:paraId="47208DE5" w14:textId="77777777" w:rsidTr="007132EE">
        <w:trPr>
          <w:trHeight w:val="405"/>
        </w:trPr>
        <w:tc>
          <w:tcPr>
            <w:tcW w:w="450" w:type="dxa"/>
            <w:tcBorders>
              <w:top w:val="nil"/>
              <w:left w:val="nil"/>
              <w:bottom w:val="nil"/>
              <w:right w:val="nil"/>
            </w:tcBorders>
            <w:shd w:val="clear" w:color="auto" w:fill="auto"/>
            <w:noWrap/>
          </w:tcPr>
          <w:p w14:paraId="0D448D24" w14:textId="23F7AA28" w:rsidR="00C05B71" w:rsidRPr="003C1A58" w:rsidRDefault="00C05B71" w:rsidP="007132EE">
            <w:pPr>
              <w:jc w:val="right"/>
              <w:rPr>
                <w:rFonts w:eastAsia="Times New Roman"/>
                <w:color w:val="000000"/>
                <w:sz w:val="20"/>
                <w:szCs w:val="18"/>
              </w:rPr>
            </w:pPr>
            <w:r>
              <w:rPr>
                <w:rFonts w:eastAsia="Times New Roman"/>
                <w:color w:val="000000"/>
                <w:sz w:val="20"/>
                <w:szCs w:val="18"/>
              </w:rPr>
              <w:t>20</w:t>
            </w:r>
          </w:p>
        </w:tc>
        <w:tc>
          <w:tcPr>
            <w:tcW w:w="13680" w:type="dxa"/>
            <w:tcBorders>
              <w:top w:val="nil"/>
              <w:left w:val="nil"/>
              <w:bottom w:val="nil"/>
              <w:right w:val="nil"/>
            </w:tcBorders>
            <w:shd w:val="clear" w:color="auto" w:fill="auto"/>
          </w:tcPr>
          <w:p w14:paraId="19E76018" w14:textId="0066D61C" w:rsidR="00C05B71" w:rsidRPr="003C1A58" w:rsidRDefault="00C05B71" w:rsidP="007132EE">
            <w:pPr>
              <w:rPr>
                <w:rFonts w:eastAsia="Times New Roman"/>
                <w:color w:val="000000"/>
                <w:sz w:val="20"/>
                <w:szCs w:val="18"/>
              </w:rPr>
            </w:pPr>
            <w:r w:rsidRPr="003C1A58">
              <w:rPr>
                <w:rFonts w:eastAsia="Times New Roman"/>
                <w:color w:val="000000"/>
                <w:sz w:val="20"/>
                <w:szCs w:val="18"/>
              </w:rPr>
              <w:t>Costs related to communications</w:t>
            </w:r>
          </w:p>
        </w:tc>
      </w:tr>
      <w:tr w:rsidR="007132EE" w:rsidRPr="003C1A58" w14:paraId="1145566D" w14:textId="77777777" w:rsidTr="007132EE">
        <w:trPr>
          <w:trHeight w:val="405"/>
        </w:trPr>
        <w:tc>
          <w:tcPr>
            <w:tcW w:w="450" w:type="dxa"/>
            <w:tcBorders>
              <w:top w:val="nil"/>
              <w:left w:val="nil"/>
              <w:bottom w:val="nil"/>
              <w:right w:val="nil"/>
            </w:tcBorders>
            <w:shd w:val="clear" w:color="auto" w:fill="auto"/>
            <w:noWrap/>
          </w:tcPr>
          <w:p w14:paraId="7928BFA7" w14:textId="6F478AB5" w:rsidR="00C05B71" w:rsidRPr="003C1A58" w:rsidRDefault="00C05B71" w:rsidP="007132EE">
            <w:pPr>
              <w:jc w:val="right"/>
              <w:rPr>
                <w:rFonts w:eastAsia="Times New Roman"/>
                <w:color w:val="000000"/>
                <w:sz w:val="20"/>
                <w:szCs w:val="18"/>
              </w:rPr>
            </w:pPr>
            <w:r>
              <w:rPr>
                <w:rFonts w:eastAsia="Times New Roman"/>
                <w:color w:val="000000"/>
                <w:sz w:val="20"/>
                <w:szCs w:val="18"/>
              </w:rPr>
              <w:t>21</w:t>
            </w:r>
          </w:p>
        </w:tc>
        <w:tc>
          <w:tcPr>
            <w:tcW w:w="13680" w:type="dxa"/>
            <w:tcBorders>
              <w:top w:val="nil"/>
              <w:left w:val="nil"/>
              <w:bottom w:val="nil"/>
              <w:right w:val="nil"/>
            </w:tcBorders>
            <w:shd w:val="clear" w:color="auto" w:fill="auto"/>
          </w:tcPr>
          <w:p w14:paraId="2B4D580A" w14:textId="68D3A837" w:rsidR="00C05B71" w:rsidRPr="003C1A58" w:rsidRDefault="00C05B71" w:rsidP="007132EE">
            <w:pPr>
              <w:rPr>
                <w:rFonts w:eastAsia="Times New Roman"/>
                <w:color w:val="000000"/>
                <w:sz w:val="20"/>
                <w:szCs w:val="18"/>
              </w:rPr>
            </w:pPr>
            <w:r w:rsidRPr="003C1A58">
              <w:rPr>
                <w:rFonts w:eastAsia="Times New Roman"/>
                <w:color w:val="000000"/>
                <w:sz w:val="20"/>
                <w:szCs w:val="18"/>
              </w:rPr>
              <w:t>Office supplies</w:t>
            </w:r>
          </w:p>
        </w:tc>
      </w:tr>
      <w:tr w:rsidR="007132EE" w:rsidRPr="003C1A58" w14:paraId="2ACAF913" w14:textId="77777777" w:rsidTr="007132EE">
        <w:trPr>
          <w:trHeight w:val="405"/>
        </w:trPr>
        <w:tc>
          <w:tcPr>
            <w:tcW w:w="450" w:type="dxa"/>
            <w:tcBorders>
              <w:top w:val="nil"/>
              <w:left w:val="nil"/>
              <w:bottom w:val="nil"/>
              <w:right w:val="nil"/>
            </w:tcBorders>
            <w:shd w:val="clear" w:color="auto" w:fill="auto"/>
            <w:noWrap/>
          </w:tcPr>
          <w:p w14:paraId="607528CE" w14:textId="26A13B37" w:rsidR="00C05B71" w:rsidRPr="003C1A58" w:rsidRDefault="00C05B71" w:rsidP="007132EE">
            <w:pPr>
              <w:jc w:val="right"/>
              <w:rPr>
                <w:rFonts w:eastAsia="Times New Roman"/>
                <w:color w:val="000000"/>
                <w:sz w:val="20"/>
                <w:szCs w:val="18"/>
              </w:rPr>
            </w:pPr>
            <w:r>
              <w:rPr>
                <w:rFonts w:eastAsia="Times New Roman"/>
                <w:color w:val="000000"/>
                <w:sz w:val="20"/>
                <w:szCs w:val="18"/>
              </w:rPr>
              <w:t>22</w:t>
            </w:r>
          </w:p>
        </w:tc>
        <w:tc>
          <w:tcPr>
            <w:tcW w:w="13680" w:type="dxa"/>
            <w:tcBorders>
              <w:top w:val="nil"/>
              <w:left w:val="nil"/>
              <w:bottom w:val="nil"/>
              <w:right w:val="nil"/>
            </w:tcBorders>
            <w:shd w:val="clear" w:color="auto" w:fill="auto"/>
          </w:tcPr>
          <w:p w14:paraId="09AB4BFE" w14:textId="2D9C0588" w:rsidR="00C05B71" w:rsidRPr="003C1A58" w:rsidRDefault="00D50AE8" w:rsidP="007132EE">
            <w:pPr>
              <w:rPr>
                <w:rFonts w:eastAsia="Times New Roman"/>
                <w:color w:val="000000"/>
                <w:sz w:val="20"/>
                <w:szCs w:val="18"/>
              </w:rPr>
            </w:pPr>
            <w:r w:rsidRPr="003C1A58">
              <w:rPr>
                <w:rFonts w:eastAsia="Times New Roman"/>
                <w:color w:val="000000"/>
                <w:sz w:val="20"/>
                <w:szCs w:val="18"/>
              </w:rPr>
              <w:t>Print production costs</w:t>
            </w:r>
          </w:p>
        </w:tc>
      </w:tr>
      <w:tr w:rsidR="007132EE" w:rsidRPr="003C1A58" w14:paraId="1307DB05" w14:textId="77777777" w:rsidTr="007132EE">
        <w:trPr>
          <w:trHeight w:val="340"/>
        </w:trPr>
        <w:tc>
          <w:tcPr>
            <w:tcW w:w="450" w:type="dxa"/>
            <w:tcBorders>
              <w:top w:val="nil"/>
              <w:left w:val="nil"/>
              <w:bottom w:val="nil"/>
              <w:right w:val="nil"/>
            </w:tcBorders>
            <w:shd w:val="clear" w:color="auto" w:fill="auto"/>
            <w:noWrap/>
            <w:hideMark/>
          </w:tcPr>
          <w:p w14:paraId="7E3801E0" w14:textId="6A0D9A63" w:rsidR="003C1A58" w:rsidRPr="003C1A58" w:rsidRDefault="00D50AE8" w:rsidP="007132EE">
            <w:pPr>
              <w:jc w:val="right"/>
              <w:rPr>
                <w:rFonts w:eastAsia="Times New Roman"/>
                <w:color w:val="000000"/>
                <w:sz w:val="20"/>
                <w:szCs w:val="18"/>
              </w:rPr>
            </w:pPr>
            <w:r w:rsidRPr="003C1A58">
              <w:rPr>
                <w:rFonts w:eastAsia="Times New Roman"/>
                <w:color w:val="000000"/>
                <w:sz w:val="20"/>
                <w:szCs w:val="18"/>
              </w:rPr>
              <w:t>2</w:t>
            </w:r>
            <w:r>
              <w:rPr>
                <w:rFonts w:eastAsia="Times New Roman"/>
                <w:color w:val="000000"/>
                <w:sz w:val="20"/>
                <w:szCs w:val="18"/>
              </w:rPr>
              <w:t>3</w:t>
            </w:r>
          </w:p>
        </w:tc>
        <w:tc>
          <w:tcPr>
            <w:tcW w:w="13680" w:type="dxa"/>
            <w:tcBorders>
              <w:top w:val="nil"/>
              <w:left w:val="nil"/>
              <w:bottom w:val="nil"/>
              <w:right w:val="nil"/>
            </w:tcBorders>
            <w:shd w:val="clear" w:color="auto" w:fill="auto"/>
            <w:hideMark/>
          </w:tcPr>
          <w:p w14:paraId="45ACD8D9" w14:textId="14F5A433" w:rsidR="003C1A58" w:rsidRPr="003C1A58" w:rsidRDefault="003C1A58" w:rsidP="007132EE">
            <w:pPr>
              <w:rPr>
                <w:rFonts w:eastAsia="Times New Roman"/>
                <w:color w:val="000000"/>
                <w:sz w:val="20"/>
                <w:szCs w:val="18"/>
              </w:rPr>
            </w:pPr>
            <w:r w:rsidRPr="003C1A58">
              <w:rPr>
                <w:rFonts w:eastAsia="Times New Roman"/>
                <w:color w:val="000000"/>
                <w:sz w:val="20"/>
                <w:szCs w:val="18"/>
              </w:rPr>
              <w:t xml:space="preserve">Costs for training </w:t>
            </w:r>
            <w:r w:rsidR="009321C5">
              <w:rPr>
                <w:rFonts w:eastAsia="Times New Roman"/>
                <w:color w:val="000000"/>
                <w:sz w:val="20"/>
                <w:szCs w:val="18"/>
              </w:rPr>
              <w:t xml:space="preserve">of </w:t>
            </w:r>
            <w:r w:rsidRPr="003C1A58">
              <w:rPr>
                <w:rFonts w:eastAsia="Times New Roman"/>
                <w:color w:val="000000"/>
                <w:sz w:val="20"/>
                <w:szCs w:val="18"/>
              </w:rPr>
              <w:t>local financial institutions</w:t>
            </w:r>
            <w:r w:rsidR="009321C5">
              <w:rPr>
                <w:rFonts w:eastAsia="Times New Roman"/>
                <w:color w:val="000000"/>
                <w:sz w:val="20"/>
                <w:szCs w:val="18"/>
              </w:rPr>
              <w:t xml:space="preserve"> (3 FIs, </w:t>
            </w:r>
            <w:r w:rsidR="009321C5" w:rsidRPr="003C1A58">
              <w:rPr>
                <w:rFonts w:eastAsia="Times New Roman"/>
                <w:color w:val="000000"/>
                <w:sz w:val="20"/>
                <w:szCs w:val="18"/>
              </w:rPr>
              <w:t>1 training</w:t>
            </w:r>
            <w:r w:rsidR="007132EE">
              <w:rPr>
                <w:rFonts w:eastAsia="Times New Roman"/>
                <w:color w:val="000000"/>
                <w:sz w:val="20"/>
                <w:szCs w:val="18"/>
              </w:rPr>
              <w:t xml:space="preserve"> event</w:t>
            </w:r>
            <w:r w:rsidR="009321C5">
              <w:rPr>
                <w:rFonts w:eastAsia="Times New Roman"/>
                <w:color w:val="000000"/>
                <w:sz w:val="20"/>
                <w:szCs w:val="18"/>
              </w:rPr>
              <w:t xml:space="preserve">) and ongoing </w:t>
            </w:r>
            <w:r w:rsidR="007132EE">
              <w:rPr>
                <w:rFonts w:eastAsia="Times New Roman"/>
                <w:color w:val="000000"/>
                <w:sz w:val="20"/>
                <w:szCs w:val="18"/>
              </w:rPr>
              <w:t>capacity building</w:t>
            </w:r>
            <w:r w:rsidR="009321C5">
              <w:rPr>
                <w:rFonts w:eastAsia="Times New Roman"/>
                <w:color w:val="000000"/>
                <w:sz w:val="20"/>
                <w:szCs w:val="18"/>
              </w:rPr>
              <w:t xml:space="preserve"> support through workshops related to deployment of financing mechanism</w:t>
            </w:r>
          </w:p>
        </w:tc>
      </w:tr>
      <w:tr w:rsidR="007132EE" w:rsidRPr="003C1A58" w14:paraId="1418F8B9" w14:textId="77777777" w:rsidTr="007132EE">
        <w:trPr>
          <w:trHeight w:val="340"/>
        </w:trPr>
        <w:tc>
          <w:tcPr>
            <w:tcW w:w="450" w:type="dxa"/>
            <w:tcBorders>
              <w:top w:val="nil"/>
              <w:left w:val="nil"/>
              <w:bottom w:val="nil"/>
              <w:right w:val="nil"/>
            </w:tcBorders>
            <w:shd w:val="clear" w:color="auto" w:fill="auto"/>
            <w:noWrap/>
            <w:hideMark/>
          </w:tcPr>
          <w:p w14:paraId="2F6A0EA8" w14:textId="2EA8F046" w:rsidR="003C1A58" w:rsidRPr="003C1A58" w:rsidRDefault="009321C5" w:rsidP="007132EE">
            <w:pPr>
              <w:jc w:val="right"/>
              <w:rPr>
                <w:rFonts w:eastAsia="Times New Roman"/>
                <w:color w:val="000000"/>
                <w:sz w:val="20"/>
                <w:szCs w:val="18"/>
              </w:rPr>
            </w:pPr>
            <w:r w:rsidRPr="003C1A58">
              <w:rPr>
                <w:rFonts w:eastAsia="Times New Roman"/>
                <w:color w:val="000000"/>
                <w:sz w:val="20"/>
                <w:szCs w:val="18"/>
              </w:rPr>
              <w:t>2</w:t>
            </w:r>
            <w:r w:rsidR="00D50AE8">
              <w:rPr>
                <w:rFonts w:eastAsia="Times New Roman"/>
                <w:color w:val="000000"/>
                <w:sz w:val="20"/>
                <w:szCs w:val="18"/>
              </w:rPr>
              <w:t>4</w:t>
            </w:r>
          </w:p>
        </w:tc>
        <w:tc>
          <w:tcPr>
            <w:tcW w:w="13680" w:type="dxa"/>
            <w:tcBorders>
              <w:top w:val="nil"/>
              <w:left w:val="nil"/>
              <w:bottom w:val="nil"/>
              <w:right w:val="nil"/>
            </w:tcBorders>
            <w:shd w:val="clear" w:color="auto" w:fill="auto"/>
            <w:hideMark/>
          </w:tcPr>
          <w:p w14:paraId="12C11395" w14:textId="77777777" w:rsidR="003C1A58" w:rsidRPr="003C1A58" w:rsidRDefault="003C1A58" w:rsidP="007132EE">
            <w:pPr>
              <w:rPr>
                <w:rFonts w:eastAsia="Times New Roman"/>
                <w:color w:val="000000"/>
                <w:sz w:val="20"/>
                <w:szCs w:val="18"/>
              </w:rPr>
            </w:pPr>
            <w:r w:rsidRPr="003C1A58">
              <w:rPr>
                <w:rFonts w:eastAsia="Times New Roman"/>
                <w:color w:val="000000"/>
                <w:sz w:val="20"/>
                <w:szCs w:val="18"/>
              </w:rPr>
              <w:t>Miscellaneous costs related to Outcome 3</w:t>
            </w:r>
          </w:p>
        </w:tc>
      </w:tr>
      <w:tr w:rsidR="003C1A58" w:rsidRPr="003C1A58" w14:paraId="60124800" w14:textId="77777777" w:rsidTr="007132EE">
        <w:trPr>
          <w:trHeight w:val="340"/>
        </w:trPr>
        <w:tc>
          <w:tcPr>
            <w:tcW w:w="450" w:type="dxa"/>
            <w:tcBorders>
              <w:top w:val="nil"/>
              <w:left w:val="nil"/>
              <w:bottom w:val="nil"/>
              <w:right w:val="nil"/>
            </w:tcBorders>
            <w:shd w:val="clear" w:color="auto" w:fill="auto"/>
            <w:noWrap/>
            <w:hideMark/>
          </w:tcPr>
          <w:p w14:paraId="1D0A9086" w14:textId="22168CAA" w:rsidR="003C1A58" w:rsidRPr="003C1A58" w:rsidRDefault="003C1A58" w:rsidP="007132EE">
            <w:pPr>
              <w:jc w:val="right"/>
              <w:rPr>
                <w:rFonts w:eastAsia="Times New Roman"/>
                <w:color w:val="000000"/>
                <w:sz w:val="20"/>
                <w:szCs w:val="18"/>
              </w:rPr>
            </w:pPr>
            <w:r w:rsidRPr="003C1A58">
              <w:rPr>
                <w:rFonts w:eastAsia="Times New Roman"/>
                <w:color w:val="000000"/>
                <w:sz w:val="20"/>
                <w:szCs w:val="18"/>
              </w:rPr>
              <w:t>2</w:t>
            </w:r>
            <w:r w:rsidR="007132EE">
              <w:rPr>
                <w:rFonts w:eastAsia="Times New Roman"/>
                <w:color w:val="000000"/>
                <w:sz w:val="20"/>
                <w:szCs w:val="18"/>
              </w:rPr>
              <w:t>5</w:t>
            </w:r>
          </w:p>
        </w:tc>
        <w:tc>
          <w:tcPr>
            <w:tcW w:w="13680" w:type="dxa"/>
            <w:tcBorders>
              <w:top w:val="nil"/>
              <w:left w:val="nil"/>
              <w:bottom w:val="nil"/>
              <w:right w:val="nil"/>
            </w:tcBorders>
            <w:shd w:val="clear" w:color="auto" w:fill="auto"/>
            <w:hideMark/>
          </w:tcPr>
          <w:p w14:paraId="39572AD0" w14:textId="77777777" w:rsidR="003C1A58" w:rsidRPr="003C1A58" w:rsidRDefault="003C1A58" w:rsidP="007132EE">
            <w:pPr>
              <w:rPr>
                <w:rFonts w:eastAsia="Times New Roman"/>
                <w:color w:val="000000"/>
                <w:sz w:val="20"/>
                <w:szCs w:val="18"/>
              </w:rPr>
            </w:pPr>
            <w:r w:rsidRPr="003C1A58">
              <w:rPr>
                <w:rFonts w:eastAsia="Times New Roman"/>
                <w:color w:val="000000"/>
                <w:sz w:val="20"/>
                <w:szCs w:val="18"/>
              </w:rPr>
              <w:t>Project assistant salary</w:t>
            </w:r>
          </w:p>
        </w:tc>
      </w:tr>
      <w:tr w:rsidR="003C1A58" w:rsidRPr="003C1A58" w14:paraId="46989A3C" w14:textId="77777777" w:rsidTr="007132EE">
        <w:trPr>
          <w:trHeight w:val="340"/>
        </w:trPr>
        <w:tc>
          <w:tcPr>
            <w:tcW w:w="450" w:type="dxa"/>
            <w:tcBorders>
              <w:top w:val="nil"/>
              <w:left w:val="nil"/>
              <w:bottom w:val="nil"/>
              <w:right w:val="nil"/>
            </w:tcBorders>
            <w:shd w:val="clear" w:color="auto" w:fill="auto"/>
            <w:noWrap/>
            <w:hideMark/>
          </w:tcPr>
          <w:p w14:paraId="38610B0E" w14:textId="561F2A6D" w:rsidR="003C1A58" w:rsidRPr="003C1A58" w:rsidRDefault="003C1A58" w:rsidP="007132EE">
            <w:pPr>
              <w:jc w:val="right"/>
              <w:rPr>
                <w:rFonts w:eastAsia="Times New Roman"/>
                <w:color w:val="000000"/>
                <w:sz w:val="20"/>
                <w:szCs w:val="18"/>
              </w:rPr>
            </w:pPr>
            <w:r w:rsidRPr="003C1A58">
              <w:rPr>
                <w:rFonts w:eastAsia="Times New Roman"/>
                <w:color w:val="000000"/>
                <w:sz w:val="20"/>
                <w:szCs w:val="18"/>
              </w:rPr>
              <w:t>2</w:t>
            </w:r>
            <w:r w:rsidR="007132EE">
              <w:rPr>
                <w:rFonts w:eastAsia="Times New Roman"/>
                <w:color w:val="000000"/>
                <w:sz w:val="20"/>
                <w:szCs w:val="18"/>
              </w:rPr>
              <w:t>6</w:t>
            </w:r>
          </w:p>
        </w:tc>
        <w:tc>
          <w:tcPr>
            <w:tcW w:w="13680" w:type="dxa"/>
            <w:tcBorders>
              <w:top w:val="nil"/>
              <w:left w:val="nil"/>
              <w:bottom w:val="nil"/>
              <w:right w:val="nil"/>
            </w:tcBorders>
            <w:shd w:val="clear" w:color="auto" w:fill="auto"/>
            <w:hideMark/>
          </w:tcPr>
          <w:p w14:paraId="7DF1F6DE" w14:textId="77777777" w:rsidR="003C1A58" w:rsidRPr="003C1A58" w:rsidRDefault="003C1A58" w:rsidP="007132EE">
            <w:pPr>
              <w:rPr>
                <w:rFonts w:eastAsia="Times New Roman"/>
                <w:color w:val="000000"/>
                <w:sz w:val="20"/>
                <w:szCs w:val="18"/>
              </w:rPr>
            </w:pPr>
            <w:r w:rsidRPr="003C1A58">
              <w:rPr>
                <w:rFonts w:eastAsia="Times New Roman"/>
                <w:color w:val="000000"/>
                <w:sz w:val="20"/>
                <w:szCs w:val="18"/>
              </w:rPr>
              <w:t>Travel (field and monitoring visits):  1 international trips (7 days each) US$ 2000 per trip per person, 4 local trips (5 days each) US$ 250 per trip per year</w:t>
            </w:r>
          </w:p>
        </w:tc>
      </w:tr>
      <w:tr w:rsidR="003C1A58" w:rsidRPr="003C1A58" w14:paraId="6CC8B28A" w14:textId="77777777" w:rsidTr="007132EE">
        <w:trPr>
          <w:trHeight w:val="340"/>
        </w:trPr>
        <w:tc>
          <w:tcPr>
            <w:tcW w:w="450" w:type="dxa"/>
            <w:tcBorders>
              <w:top w:val="nil"/>
              <w:left w:val="nil"/>
              <w:bottom w:val="nil"/>
              <w:right w:val="nil"/>
            </w:tcBorders>
            <w:shd w:val="clear" w:color="auto" w:fill="auto"/>
            <w:noWrap/>
            <w:hideMark/>
          </w:tcPr>
          <w:p w14:paraId="6761C5BD" w14:textId="04AB7B2E" w:rsidR="003C1A58" w:rsidRPr="003C1A58" w:rsidRDefault="003C1A58" w:rsidP="007132EE">
            <w:pPr>
              <w:jc w:val="right"/>
              <w:rPr>
                <w:rFonts w:eastAsia="Times New Roman"/>
                <w:color w:val="000000"/>
                <w:sz w:val="20"/>
                <w:szCs w:val="18"/>
              </w:rPr>
            </w:pPr>
            <w:r w:rsidRPr="003C1A58">
              <w:rPr>
                <w:rFonts w:eastAsia="Times New Roman"/>
                <w:color w:val="000000"/>
                <w:sz w:val="20"/>
                <w:szCs w:val="18"/>
              </w:rPr>
              <w:t>2</w:t>
            </w:r>
            <w:r w:rsidR="007132EE">
              <w:rPr>
                <w:rFonts w:eastAsia="Times New Roman"/>
                <w:color w:val="000000"/>
                <w:sz w:val="20"/>
                <w:szCs w:val="18"/>
              </w:rPr>
              <w:t>7</w:t>
            </w:r>
          </w:p>
        </w:tc>
        <w:tc>
          <w:tcPr>
            <w:tcW w:w="13680" w:type="dxa"/>
            <w:tcBorders>
              <w:top w:val="nil"/>
              <w:left w:val="nil"/>
              <w:bottom w:val="nil"/>
              <w:right w:val="nil"/>
            </w:tcBorders>
            <w:shd w:val="clear" w:color="auto" w:fill="auto"/>
            <w:hideMark/>
          </w:tcPr>
          <w:p w14:paraId="2CEBCA9D" w14:textId="443AFEFE" w:rsidR="003C1A58" w:rsidRPr="003C1A58" w:rsidRDefault="003C1A58" w:rsidP="007132EE">
            <w:pPr>
              <w:rPr>
                <w:rFonts w:eastAsia="Times New Roman"/>
                <w:color w:val="000000"/>
                <w:sz w:val="20"/>
                <w:szCs w:val="18"/>
              </w:rPr>
            </w:pPr>
            <w:r w:rsidRPr="003C1A58">
              <w:rPr>
                <w:rFonts w:eastAsia="Times New Roman"/>
                <w:color w:val="000000"/>
                <w:sz w:val="20"/>
                <w:szCs w:val="18"/>
              </w:rPr>
              <w:t>Costs related to project annual audit (external)</w:t>
            </w:r>
            <w:r w:rsidR="00B26944">
              <w:rPr>
                <w:rFonts w:eastAsia="Times New Roman"/>
                <w:color w:val="000000"/>
                <w:sz w:val="20"/>
                <w:szCs w:val="18"/>
              </w:rPr>
              <w:t xml:space="preserve">. </w:t>
            </w:r>
            <w:r w:rsidR="00B26944" w:rsidRPr="00B26944">
              <w:rPr>
                <w:rFonts w:eastAsia="Times New Roman"/>
                <w:color w:val="000000"/>
                <w:sz w:val="20"/>
                <w:szCs w:val="18"/>
              </w:rPr>
              <w:t xml:space="preserve">This line includes the cost of the mandatory annual financial audit.  This item is included in the M&amp;E table in Section VII of this Project Document.  In this budget table, the financial audit line is included under Project Management, not under components, in order to reflect the character of this audit work as a management activity.  See Note </w:t>
            </w:r>
            <w:r w:rsidR="00B26944">
              <w:rPr>
                <w:rFonts w:eastAsia="Times New Roman"/>
                <w:color w:val="000000"/>
                <w:sz w:val="20"/>
                <w:szCs w:val="18"/>
              </w:rPr>
              <w:t>35</w:t>
            </w:r>
            <w:r w:rsidR="00B26944" w:rsidRPr="00B26944">
              <w:rPr>
                <w:rFonts w:eastAsia="Times New Roman"/>
                <w:color w:val="000000"/>
                <w:sz w:val="20"/>
                <w:szCs w:val="18"/>
              </w:rPr>
              <w:t xml:space="preserve"> below</w:t>
            </w:r>
            <w:r w:rsidR="00B26944">
              <w:rPr>
                <w:rFonts w:eastAsia="Times New Roman"/>
                <w:color w:val="000000"/>
                <w:sz w:val="20"/>
                <w:szCs w:val="18"/>
              </w:rPr>
              <w:t>.</w:t>
            </w:r>
          </w:p>
        </w:tc>
      </w:tr>
      <w:tr w:rsidR="003C1A58" w:rsidRPr="003C1A58" w14:paraId="1DFBBDC6" w14:textId="77777777" w:rsidTr="007132EE">
        <w:trPr>
          <w:trHeight w:val="340"/>
        </w:trPr>
        <w:tc>
          <w:tcPr>
            <w:tcW w:w="450" w:type="dxa"/>
            <w:tcBorders>
              <w:top w:val="nil"/>
              <w:left w:val="nil"/>
              <w:bottom w:val="nil"/>
              <w:right w:val="nil"/>
            </w:tcBorders>
            <w:shd w:val="clear" w:color="auto" w:fill="auto"/>
            <w:noWrap/>
            <w:hideMark/>
          </w:tcPr>
          <w:p w14:paraId="6A76393D" w14:textId="41A1568C" w:rsidR="003C1A58" w:rsidRPr="003C1A58" w:rsidRDefault="003C1A58" w:rsidP="007132EE">
            <w:pPr>
              <w:jc w:val="right"/>
              <w:rPr>
                <w:rFonts w:eastAsia="Times New Roman"/>
                <w:color w:val="000000"/>
                <w:sz w:val="20"/>
                <w:szCs w:val="18"/>
              </w:rPr>
            </w:pPr>
            <w:r w:rsidRPr="003C1A58">
              <w:rPr>
                <w:rFonts w:eastAsia="Times New Roman"/>
                <w:color w:val="000000"/>
                <w:sz w:val="20"/>
                <w:szCs w:val="18"/>
              </w:rPr>
              <w:t>2</w:t>
            </w:r>
            <w:r w:rsidR="007132EE">
              <w:rPr>
                <w:rFonts w:eastAsia="Times New Roman"/>
                <w:color w:val="000000"/>
                <w:sz w:val="20"/>
                <w:szCs w:val="18"/>
              </w:rPr>
              <w:t>8</w:t>
            </w:r>
          </w:p>
        </w:tc>
        <w:tc>
          <w:tcPr>
            <w:tcW w:w="13680" w:type="dxa"/>
            <w:tcBorders>
              <w:top w:val="nil"/>
              <w:left w:val="nil"/>
              <w:bottom w:val="nil"/>
              <w:right w:val="nil"/>
            </w:tcBorders>
            <w:shd w:val="clear" w:color="auto" w:fill="auto"/>
            <w:hideMark/>
          </w:tcPr>
          <w:p w14:paraId="547EC295" w14:textId="77777777" w:rsidR="003C1A58" w:rsidRPr="003C1A58" w:rsidRDefault="003C1A58" w:rsidP="007132EE">
            <w:pPr>
              <w:rPr>
                <w:rFonts w:eastAsia="Times New Roman"/>
                <w:color w:val="000000"/>
                <w:sz w:val="20"/>
                <w:szCs w:val="18"/>
              </w:rPr>
            </w:pPr>
            <w:r w:rsidRPr="003C1A58">
              <w:rPr>
                <w:rFonts w:eastAsia="Times New Roman"/>
                <w:color w:val="000000"/>
                <w:sz w:val="20"/>
                <w:szCs w:val="18"/>
              </w:rPr>
              <w:t>Cost related to procurement of office furniture for project team</w:t>
            </w:r>
          </w:p>
        </w:tc>
      </w:tr>
      <w:tr w:rsidR="003C1A58" w:rsidRPr="003C1A58" w14:paraId="58786E73" w14:textId="77777777" w:rsidTr="007132EE">
        <w:trPr>
          <w:trHeight w:val="340"/>
        </w:trPr>
        <w:tc>
          <w:tcPr>
            <w:tcW w:w="450" w:type="dxa"/>
            <w:tcBorders>
              <w:top w:val="nil"/>
              <w:left w:val="nil"/>
              <w:bottom w:val="nil"/>
              <w:right w:val="nil"/>
            </w:tcBorders>
            <w:shd w:val="clear" w:color="auto" w:fill="auto"/>
            <w:noWrap/>
            <w:hideMark/>
          </w:tcPr>
          <w:p w14:paraId="5DAC2121" w14:textId="65821398" w:rsidR="003C1A58" w:rsidRPr="003C1A58" w:rsidRDefault="003C1A58" w:rsidP="007132EE">
            <w:pPr>
              <w:jc w:val="right"/>
              <w:rPr>
                <w:rFonts w:eastAsia="Times New Roman"/>
                <w:color w:val="000000"/>
                <w:sz w:val="20"/>
                <w:szCs w:val="18"/>
              </w:rPr>
            </w:pPr>
            <w:r w:rsidRPr="003C1A58">
              <w:rPr>
                <w:rFonts w:eastAsia="Times New Roman"/>
                <w:color w:val="000000"/>
                <w:sz w:val="20"/>
                <w:szCs w:val="18"/>
              </w:rPr>
              <w:t>2</w:t>
            </w:r>
            <w:r w:rsidR="007132EE">
              <w:rPr>
                <w:rFonts w:eastAsia="Times New Roman"/>
                <w:color w:val="000000"/>
                <w:sz w:val="20"/>
                <w:szCs w:val="18"/>
              </w:rPr>
              <w:t>9</w:t>
            </w:r>
          </w:p>
        </w:tc>
        <w:tc>
          <w:tcPr>
            <w:tcW w:w="13680" w:type="dxa"/>
            <w:tcBorders>
              <w:top w:val="nil"/>
              <w:left w:val="nil"/>
              <w:bottom w:val="nil"/>
              <w:right w:val="nil"/>
            </w:tcBorders>
            <w:shd w:val="clear" w:color="auto" w:fill="auto"/>
            <w:hideMark/>
          </w:tcPr>
          <w:p w14:paraId="2F7FE4C7" w14:textId="77777777" w:rsidR="003C1A58" w:rsidRPr="003C1A58" w:rsidRDefault="003C1A58" w:rsidP="007132EE">
            <w:pPr>
              <w:rPr>
                <w:rFonts w:eastAsia="Times New Roman"/>
                <w:color w:val="000000"/>
                <w:sz w:val="20"/>
                <w:szCs w:val="18"/>
              </w:rPr>
            </w:pPr>
            <w:r w:rsidRPr="003C1A58">
              <w:rPr>
                <w:rFonts w:eastAsia="Times New Roman"/>
                <w:color w:val="000000"/>
                <w:sz w:val="20"/>
                <w:szCs w:val="18"/>
              </w:rPr>
              <w:t>Costs related to project communications (land phones, Internet)</w:t>
            </w:r>
          </w:p>
        </w:tc>
      </w:tr>
      <w:tr w:rsidR="003C1A58" w:rsidRPr="003C1A58" w14:paraId="5E4E5C69" w14:textId="77777777" w:rsidTr="007132EE">
        <w:trPr>
          <w:trHeight w:val="340"/>
        </w:trPr>
        <w:tc>
          <w:tcPr>
            <w:tcW w:w="450" w:type="dxa"/>
            <w:tcBorders>
              <w:top w:val="nil"/>
              <w:left w:val="nil"/>
              <w:bottom w:val="nil"/>
              <w:right w:val="nil"/>
            </w:tcBorders>
            <w:shd w:val="clear" w:color="auto" w:fill="auto"/>
            <w:noWrap/>
            <w:hideMark/>
          </w:tcPr>
          <w:p w14:paraId="1F32088C" w14:textId="4A36AD26" w:rsidR="003C1A58" w:rsidRPr="003C1A58" w:rsidRDefault="007132EE" w:rsidP="007132EE">
            <w:pPr>
              <w:jc w:val="right"/>
              <w:rPr>
                <w:rFonts w:eastAsia="Times New Roman"/>
                <w:color w:val="000000"/>
                <w:sz w:val="20"/>
                <w:szCs w:val="18"/>
              </w:rPr>
            </w:pPr>
            <w:r>
              <w:rPr>
                <w:rFonts w:eastAsia="Times New Roman"/>
                <w:color w:val="000000"/>
                <w:sz w:val="20"/>
                <w:szCs w:val="18"/>
              </w:rPr>
              <w:t>30</w:t>
            </w:r>
          </w:p>
        </w:tc>
        <w:tc>
          <w:tcPr>
            <w:tcW w:w="13680" w:type="dxa"/>
            <w:tcBorders>
              <w:top w:val="nil"/>
              <w:left w:val="nil"/>
              <w:bottom w:val="nil"/>
              <w:right w:val="nil"/>
            </w:tcBorders>
            <w:shd w:val="clear" w:color="auto" w:fill="auto"/>
            <w:hideMark/>
          </w:tcPr>
          <w:p w14:paraId="5D7EA35F" w14:textId="77777777" w:rsidR="003C1A58" w:rsidRPr="003C1A58" w:rsidRDefault="003C1A58" w:rsidP="007132EE">
            <w:pPr>
              <w:rPr>
                <w:rFonts w:eastAsia="Times New Roman"/>
                <w:color w:val="000000"/>
                <w:sz w:val="20"/>
                <w:szCs w:val="18"/>
              </w:rPr>
            </w:pPr>
            <w:r w:rsidRPr="003C1A58">
              <w:rPr>
                <w:rFonts w:eastAsia="Times New Roman"/>
                <w:color w:val="000000"/>
                <w:sz w:val="20"/>
                <w:szCs w:val="18"/>
              </w:rPr>
              <w:t xml:space="preserve">Office supplies for project team </w:t>
            </w:r>
          </w:p>
        </w:tc>
      </w:tr>
      <w:tr w:rsidR="007132EE" w:rsidRPr="003C1A58" w14:paraId="49C94E72" w14:textId="77777777" w:rsidTr="007132EE">
        <w:trPr>
          <w:trHeight w:val="340"/>
        </w:trPr>
        <w:tc>
          <w:tcPr>
            <w:tcW w:w="450" w:type="dxa"/>
            <w:tcBorders>
              <w:top w:val="nil"/>
              <w:left w:val="nil"/>
              <w:bottom w:val="nil"/>
              <w:right w:val="nil"/>
            </w:tcBorders>
            <w:shd w:val="clear" w:color="auto" w:fill="auto"/>
            <w:noWrap/>
            <w:hideMark/>
          </w:tcPr>
          <w:p w14:paraId="4B43F06F" w14:textId="2F11187B" w:rsidR="00824C89" w:rsidRPr="003C1A58" w:rsidRDefault="007132EE" w:rsidP="007132EE">
            <w:pPr>
              <w:jc w:val="right"/>
              <w:rPr>
                <w:rFonts w:eastAsia="Times New Roman"/>
                <w:color w:val="000000"/>
                <w:sz w:val="20"/>
                <w:szCs w:val="18"/>
              </w:rPr>
            </w:pPr>
            <w:r>
              <w:rPr>
                <w:rFonts w:eastAsia="Times New Roman"/>
                <w:color w:val="000000"/>
                <w:sz w:val="20"/>
                <w:szCs w:val="18"/>
              </w:rPr>
              <w:t>31</w:t>
            </w:r>
          </w:p>
        </w:tc>
        <w:tc>
          <w:tcPr>
            <w:tcW w:w="13680" w:type="dxa"/>
            <w:tcBorders>
              <w:top w:val="nil"/>
              <w:left w:val="nil"/>
              <w:bottom w:val="nil"/>
              <w:right w:val="nil"/>
            </w:tcBorders>
            <w:shd w:val="clear" w:color="auto" w:fill="auto"/>
            <w:hideMark/>
          </w:tcPr>
          <w:p w14:paraId="086BAC51" w14:textId="77777777" w:rsidR="00824C89" w:rsidRPr="003C1A58" w:rsidRDefault="00824C89" w:rsidP="007132EE">
            <w:pPr>
              <w:rPr>
                <w:rFonts w:eastAsia="Times New Roman"/>
                <w:color w:val="000000"/>
                <w:sz w:val="20"/>
                <w:szCs w:val="18"/>
              </w:rPr>
            </w:pPr>
            <w:r w:rsidRPr="003C1A58">
              <w:rPr>
                <w:rFonts w:eastAsia="Times New Roman"/>
                <w:color w:val="000000"/>
                <w:sz w:val="20"/>
                <w:szCs w:val="18"/>
              </w:rPr>
              <w:t xml:space="preserve">Cost related to common premises (office rental) </w:t>
            </w:r>
          </w:p>
        </w:tc>
      </w:tr>
      <w:tr w:rsidR="003C1A58" w:rsidRPr="003C1A58" w14:paraId="6A3C0743" w14:textId="77777777" w:rsidTr="007132EE">
        <w:trPr>
          <w:trHeight w:val="340"/>
        </w:trPr>
        <w:tc>
          <w:tcPr>
            <w:tcW w:w="450" w:type="dxa"/>
            <w:tcBorders>
              <w:top w:val="nil"/>
              <w:left w:val="nil"/>
              <w:bottom w:val="nil"/>
              <w:right w:val="nil"/>
            </w:tcBorders>
            <w:shd w:val="clear" w:color="auto" w:fill="auto"/>
            <w:noWrap/>
            <w:hideMark/>
          </w:tcPr>
          <w:p w14:paraId="7F3C0D5E" w14:textId="2E9D591B" w:rsidR="003C1A58" w:rsidRPr="003C1A58" w:rsidRDefault="00314517" w:rsidP="007132EE">
            <w:pPr>
              <w:jc w:val="right"/>
              <w:rPr>
                <w:rFonts w:eastAsia="Times New Roman"/>
                <w:color w:val="000000"/>
                <w:sz w:val="20"/>
                <w:szCs w:val="18"/>
              </w:rPr>
            </w:pPr>
            <w:r>
              <w:rPr>
                <w:rFonts w:eastAsia="Times New Roman"/>
                <w:color w:val="000000"/>
                <w:sz w:val="20"/>
                <w:szCs w:val="18"/>
              </w:rPr>
              <w:t>3</w:t>
            </w:r>
            <w:r w:rsidR="007132EE">
              <w:rPr>
                <w:rFonts w:eastAsia="Times New Roman"/>
                <w:color w:val="000000"/>
                <w:sz w:val="20"/>
                <w:szCs w:val="18"/>
              </w:rPr>
              <w:t>2</w:t>
            </w:r>
          </w:p>
        </w:tc>
        <w:tc>
          <w:tcPr>
            <w:tcW w:w="13680" w:type="dxa"/>
            <w:tcBorders>
              <w:top w:val="nil"/>
              <w:left w:val="nil"/>
              <w:bottom w:val="nil"/>
              <w:right w:val="nil"/>
            </w:tcBorders>
            <w:shd w:val="clear" w:color="auto" w:fill="auto"/>
            <w:hideMark/>
          </w:tcPr>
          <w:p w14:paraId="3DD9DE90" w14:textId="4E365806" w:rsidR="003C1A58" w:rsidRPr="003C1A58" w:rsidRDefault="003C1A58" w:rsidP="007132EE">
            <w:pPr>
              <w:rPr>
                <w:rFonts w:eastAsia="Times New Roman"/>
                <w:color w:val="000000"/>
                <w:sz w:val="20"/>
                <w:szCs w:val="18"/>
              </w:rPr>
            </w:pPr>
            <w:r w:rsidRPr="003C1A58">
              <w:rPr>
                <w:rFonts w:eastAsia="Times New Roman"/>
                <w:color w:val="000000"/>
                <w:sz w:val="20"/>
                <w:szCs w:val="18"/>
              </w:rPr>
              <w:t>Print production costs</w:t>
            </w:r>
            <w:r w:rsidR="00824C89">
              <w:rPr>
                <w:rFonts w:eastAsia="Times New Roman"/>
                <w:color w:val="000000"/>
                <w:sz w:val="20"/>
                <w:szCs w:val="18"/>
              </w:rPr>
              <w:t xml:space="preserve"> related to project management documents</w:t>
            </w:r>
          </w:p>
        </w:tc>
      </w:tr>
      <w:tr w:rsidR="003C1A58" w:rsidRPr="003C1A58" w14:paraId="11F7357D" w14:textId="77777777" w:rsidTr="007132EE">
        <w:trPr>
          <w:trHeight w:val="340"/>
        </w:trPr>
        <w:tc>
          <w:tcPr>
            <w:tcW w:w="450" w:type="dxa"/>
            <w:tcBorders>
              <w:top w:val="nil"/>
              <w:left w:val="nil"/>
              <w:bottom w:val="nil"/>
              <w:right w:val="nil"/>
            </w:tcBorders>
            <w:shd w:val="clear" w:color="auto" w:fill="auto"/>
            <w:noWrap/>
            <w:hideMark/>
          </w:tcPr>
          <w:p w14:paraId="1BEF8416" w14:textId="65703387" w:rsidR="003C1A58" w:rsidRPr="003C1A58" w:rsidRDefault="003C1A58" w:rsidP="007132EE">
            <w:pPr>
              <w:jc w:val="right"/>
              <w:rPr>
                <w:rFonts w:eastAsia="Times New Roman"/>
                <w:color w:val="000000"/>
                <w:sz w:val="20"/>
                <w:szCs w:val="18"/>
              </w:rPr>
            </w:pPr>
            <w:r w:rsidRPr="003C1A58">
              <w:rPr>
                <w:rFonts w:eastAsia="Times New Roman"/>
                <w:color w:val="000000"/>
                <w:sz w:val="20"/>
                <w:szCs w:val="18"/>
              </w:rPr>
              <w:t>3</w:t>
            </w:r>
            <w:r w:rsidR="007132EE">
              <w:rPr>
                <w:rFonts w:eastAsia="Times New Roman"/>
                <w:color w:val="000000"/>
                <w:sz w:val="20"/>
                <w:szCs w:val="18"/>
              </w:rPr>
              <w:t>3</w:t>
            </w:r>
          </w:p>
        </w:tc>
        <w:tc>
          <w:tcPr>
            <w:tcW w:w="13680" w:type="dxa"/>
            <w:tcBorders>
              <w:top w:val="nil"/>
              <w:left w:val="nil"/>
              <w:bottom w:val="nil"/>
              <w:right w:val="nil"/>
            </w:tcBorders>
            <w:shd w:val="clear" w:color="auto" w:fill="auto"/>
            <w:hideMark/>
          </w:tcPr>
          <w:p w14:paraId="4EAB054D" w14:textId="27902771" w:rsidR="003C1A58" w:rsidRPr="003C1A58" w:rsidRDefault="003C1A58" w:rsidP="007132EE">
            <w:pPr>
              <w:rPr>
                <w:rFonts w:eastAsia="Times New Roman"/>
                <w:color w:val="000000"/>
                <w:sz w:val="20"/>
                <w:szCs w:val="18"/>
              </w:rPr>
            </w:pPr>
            <w:r w:rsidRPr="003C1A58">
              <w:rPr>
                <w:rFonts w:eastAsia="Times New Roman"/>
                <w:color w:val="000000"/>
                <w:sz w:val="20"/>
                <w:szCs w:val="18"/>
              </w:rPr>
              <w:t xml:space="preserve">Miscellaneous costs related to </w:t>
            </w:r>
            <w:r w:rsidR="007132EE">
              <w:rPr>
                <w:rFonts w:eastAsia="Times New Roman"/>
                <w:color w:val="000000"/>
                <w:sz w:val="20"/>
                <w:szCs w:val="18"/>
              </w:rPr>
              <w:t>p</w:t>
            </w:r>
            <w:r w:rsidRPr="003C1A58">
              <w:rPr>
                <w:rFonts w:eastAsia="Times New Roman"/>
                <w:color w:val="000000"/>
                <w:sz w:val="20"/>
                <w:szCs w:val="18"/>
              </w:rPr>
              <w:t xml:space="preserve">roject </w:t>
            </w:r>
            <w:r w:rsidR="008149C0">
              <w:rPr>
                <w:rFonts w:eastAsia="Times New Roman"/>
                <w:color w:val="000000"/>
                <w:sz w:val="20"/>
                <w:szCs w:val="18"/>
              </w:rPr>
              <w:t>m</w:t>
            </w:r>
            <w:r w:rsidRPr="003C1A58">
              <w:rPr>
                <w:rFonts w:eastAsia="Times New Roman"/>
                <w:color w:val="000000"/>
                <w:sz w:val="20"/>
                <w:szCs w:val="18"/>
              </w:rPr>
              <w:t xml:space="preserve">anagement </w:t>
            </w:r>
          </w:p>
        </w:tc>
      </w:tr>
      <w:tr w:rsidR="003C1A58" w:rsidRPr="003C1A58" w14:paraId="3662957D" w14:textId="77777777" w:rsidTr="007132EE">
        <w:trPr>
          <w:trHeight w:val="340"/>
        </w:trPr>
        <w:tc>
          <w:tcPr>
            <w:tcW w:w="450" w:type="dxa"/>
            <w:tcBorders>
              <w:top w:val="nil"/>
              <w:left w:val="nil"/>
              <w:bottom w:val="nil"/>
              <w:right w:val="nil"/>
            </w:tcBorders>
            <w:shd w:val="clear" w:color="auto" w:fill="auto"/>
            <w:noWrap/>
            <w:hideMark/>
          </w:tcPr>
          <w:p w14:paraId="38C4EC17" w14:textId="77777777" w:rsidR="003C1A58" w:rsidRDefault="003C1A58" w:rsidP="007132EE">
            <w:pPr>
              <w:jc w:val="right"/>
              <w:rPr>
                <w:rFonts w:eastAsia="Times New Roman"/>
                <w:color w:val="000000"/>
                <w:sz w:val="20"/>
                <w:szCs w:val="18"/>
              </w:rPr>
            </w:pPr>
            <w:r w:rsidRPr="003C1A58">
              <w:rPr>
                <w:rFonts w:eastAsia="Times New Roman"/>
                <w:color w:val="000000"/>
                <w:sz w:val="20"/>
                <w:szCs w:val="18"/>
              </w:rPr>
              <w:t>3</w:t>
            </w:r>
            <w:r w:rsidR="007132EE">
              <w:rPr>
                <w:rFonts w:eastAsia="Times New Roman"/>
                <w:color w:val="000000"/>
                <w:sz w:val="20"/>
                <w:szCs w:val="18"/>
              </w:rPr>
              <w:t>4</w:t>
            </w:r>
          </w:p>
          <w:p w14:paraId="28A4C39B" w14:textId="77777777" w:rsidR="008149C0" w:rsidRDefault="008149C0" w:rsidP="007132EE">
            <w:pPr>
              <w:jc w:val="right"/>
              <w:rPr>
                <w:rFonts w:eastAsia="Times New Roman"/>
                <w:color w:val="000000"/>
                <w:sz w:val="20"/>
                <w:szCs w:val="18"/>
              </w:rPr>
            </w:pPr>
          </w:p>
          <w:p w14:paraId="70E6A022" w14:textId="77777777" w:rsidR="008149C0" w:rsidRDefault="008149C0" w:rsidP="007132EE">
            <w:pPr>
              <w:jc w:val="right"/>
              <w:rPr>
                <w:rFonts w:eastAsia="Times New Roman"/>
                <w:color w:val="000000"/>
                <w:sz w:val="20"/>
                <w:szCs w:val="18"/>
              </w:rPr>
            </w:pPr>
            <w:r>
              <w:rPr>
                <w:rFonts w:eastAsia="Times New Roman"/>
                <w:color w:val="000000"/>
                <w:sz w:val="20"/>
                <w:szCs w:val="18"/>
              </w:rPr>
              <w:t>35</w:t>
            </w:r>
          </w:p>
          <w:p w14:paraId="4DAD95FC" w14:textId="77777777" w:rsidR="008149C0" w:rsidRDefault="008149C0" w:rsidP="007132EE">
            <w:pPr>
              <w:jc w:val="right"/>
              <w:rPr>
                <w:rFonts w:eastAsia="Times New Roman"/>
                <w:color w:val="000000"/>
                <w:sz w:val="20"/>
                <w:szCs w:val="18"/>
              </w:rPr>
            </w:pPr>
            <w:r>
              <w:rPr>
                <w:rFonts w:eastAsia="Times New Roman"/>
                <w:color w:val="000000"/>
                <w:sz w:val="20"/>
                <w:szCs w:val="18"/>
              </w:rPr>
              <w:t>36</w:t>
            </w:r>
          </w:p>
          <w:p w14:paraId="576F9F0A" w14:textId="77777777" w:rsidR="008149C0" w:rsidRDefault="008149C0" w:rsidP="007132EE">
            <w:pPr>
              <w:jc w:val="right"/>
              <w:rPr>
                <w:rFonts w:eastAsia="Times New Roman"/>
                <w:color w:val="000000"/>
                <w:sz w:val="20"/>
                <w:szCs w:val="18"/>
              </w:rPr>
            </w:pPr>
            <w:r>
              <w:rPr>
                <w:rFonts w:eastAsia="Times New Roman"/>
                <w:color w:val="000000"/>
                <w:sz w:val="20"/>
                <w:szCs w:val="18"/>
              </w:rPr>
              <w:t>37</w:t>
            </w:r>
          </w:p>
          <w:p w14:paraId="3FFDDC3F" w14:textId="77777777" w:rsidR="008149C0" w:rsidRDefault="008149C0" w:rsidP="007132EE">
            <w:pPr>
              <w:jc w:val="right"/>
              <w:rPr>
                <w:rFonts w:eastAsia="Times New Roman"/>
                <w:color w:val="000000"/>
                <w:sz w:val="20"/>
                <w:szCs w:val="18"/>
              </w:rPr>
            </w:pPr>
            <w:r>
              <w:rPr>
                <w:rFonts w:eastAsia="Times New Roman"/>
                <w:color w:val="000000"/>
                <w:sz w:val="20"/>
                <w:szCs w:val="18"/>
              </w:rPr>
              <w:t>38</w:t>
            </w:r>
          </w:p>
          <w:p w14:paraId="7A5B9E66" w14:textId="77777777" w:rsidR="008149C0" w:rsidRDefault="008149C0" w:rsidP="007132EE">
            <w:pPr>
              <w:jc w:val="right"/>
              <w:rPr>
                <w:rFonts w:eastAsia="Times New Roman"/>
                <w:color w:val="000000"/>
                <w:sz w:val="20"/>
                <w:szCs w:val="18"/>
              </w:rPr>
            </w:pPr>
            <w:r>
              <w:rPr>
                <w:rFonts w:eastAsia="Times New Roman"/>
                <w:color w:val="000000"/>
                <w:sz w:val="20"/>
                <w:szCs w:val="18"/>
              </w:rPr>
              <w:t>39</w:t>
            </w:r>
          </w:p>
          <w:p w14:paraId="53CBC012" w14:textId="06867A3F" w:rsidR="008149C0" w:rsidRPr="003C1A58" w:rsidRDefault="008149C0" w:rsidP="007132EE">
            <w:pPr>
              <w:jc w:val="right"/>
              <w:rPr>
                <w:rFonts w:eastAsia="Times New Roman"/>
                <w:color w:val="000000"/>
                <w:sz w:val="20"/>
                <w:szCs w:val="18"/>
              </w:rPr>
            </w:pPr>
            <w:r>
              <w:rPr>
                <w:rFonts w:eastAsia="Times New Roman"/>
                <w:color w:val="000000"/>
                <w:sz w:val="20"/>
                <w:szCs w:val="18"/>
              </w:rPr>
              <w:t xml:space="preserve">40 </w:t>
            </w:r>
          </w:p>
        </w:tc>
        <w:tc>
          <w:tcPr>
            <w:tcW w:w="13680" w:type="dxa"/>
            <w:tcBorders>
              <w:top w:val="nil"/>
              <w:left w:val="nil"/>
              <w:bottom w:val="nil"/>
              <w:right w:val="nil"/>
            </w:tcBorders>
            <w:shd w:val="clear" w:color="auto" w:fill="auto"/>
            <w:hideMark/>
          </w:tcPr>
          <w:p w14:paraId="2F96E7F8" w14:textId="024696EE" w:rsidR="008149C0" w:rsidRPr="009C5892" w:rsidRDefault="003C1A58" w:rsidP="007132EE">
            <w:pPr>
              <w:rPr>
                <w:rFonts w:eastAsia="Times New Roman"/>
                <w:color w:val="000000"/>
                <w:sz w:val="20"/>
                <w:szCs w:val="18"/>
              </w:rPr>
            </w:pPr>
            <w:r w:rsidRPr="009C5892">
              <w:rPr>
                <w:rFonts w:eastAsia="Times New Roman"/>
                <w:color w:val="000000"/>
                <w:sz w:val="20"/>
                <w:szCs w:val="18"/>
              </w:rPr>
              <w:t xml:space="preserve">Direct project costs; refer to DPC letter </w:t>
            </w:r>
            <w:r w:rsidR="00C9656A" w:rsidRPr="009C5892">
              <w:rPr>
                <w:rFonts w:eastAsia="Times New Roman"/>
                <w:color w:val="000000"/>
                <w:sz w:val="20"/>
                <w:szCs w:val="18"/>
              </w:rPr>
              <w:t xml:space="preserve">Annex K </w:t>
            </w:r>
            <w:r w:rsidRPr="009C5892">
              <w:rPr>
                <w:rFonts w:eastAsia="Times New Roman"/>
                <w:color w:val="000000"/>
                <w:sz w:val="20"/>
                <w:szCs w:val="18"/>
              </w:rPr>
              <w:t>for detailed breakdown</w:t>
            </w:r>
          </w:p>
          <w:p w14:paraId="6918E633" w14:textId="1782CDAB" w:rsidR="008149C0" w:rsidRPr="009C5892" w:rsidRDefault="008149C0" w:rsidP="007132EE">
            <w:pPr>
              <w:rPr>
                <w:rFonts w:eastAsia="Times New Roman"/>
                <w:color w:val="000000"/>
                <w:sz w:val="20"/>
                <w:szCs w:val="18"/>
              </w:rPr>
            </w:pPr>
          </w:p>
          <w:p w14:paraId="23C2C251" w14:textId="77777777" w:rsidR="008149C0" w:rsidRPr="009C5892" w:rsidRDefault="008149C0" w:rsidP="008149C0">
            <w:pPr>
              <w:rPr>
                <w:rFonts w:eastAsia="Times New Roman"/>
                <w:color w:val="000000"/>
                <w:sz w:val="20"/>
                <w:szCs w:val="18"/>
              </w:rPr>
            </w:pPr>
            <w:r w:rsidRPr="009C5892">
              <w:rPr>
                <w:rFonts w:eastAsia="Times New Roman"/>
                <w:color w:val="000000"/>
                <w:sz w:val="20"/>
                <w:szCs w:val="18"/>
              </w:rPr>
              <w:t xml:space="preserve">Costs related to project annual audit (external). This line includes the cost of the mandatory annual financial audit.  </w:t>
            </w:r>
          </w:p>
          <w:p w14:paraId="7929B230" w14:textId="77777777" w:rsidR="008149C0" w:rsidRPr="009C5892" w:rsidRDefault="008149C0" w:rsidP="008149C0">
            <w:pPr>
              <w:rPr>
                <w:rFonts w:eastAsia="Times New Roman"/>
                <w:color w:val="000000"/>
                <w:sz w:val="20"/>
                <w:szCs w:val="18"/>
              </w:rPr>
            </w:pPr>
            <w:r w:rsidRPr="009C5892">
              <w:rPr>
                <w:rFonts w:eastAsia="Times New Roman"/>
                <w:color w:val="000000"/>
                <w:sz w:val="20"/>
                <w:szCs w:val="18"/>
              </w:rPr>
              <w:t>Travel (field and monitoring visits) by UNDP CO (management and program staff)</w:t>
            </w:r>
          </w:p>
          <w:p w14:paraId="3A70A91F" w14:textId="77777777" w:rsidR="008149C0" w:rsidRPr="009C5892" w:rsidRDefault="008149C0" w:rsidP="008149C0">
            <w:pPr>
              <w:rPr>
                <w:rFonts w:eastAsia="Times New Roman"/>
                <w:color w:val="000000"/>
                <w:sz w:val="20"/>
                <w:szCs w:val="18"/>
              </w:rPr>
            </w:pPr>
            <w:r w:rsidRPr="009C5892">
              <w:rPr>
                <w:rFonts w:eastAsia="Times New Roman"/>
                <w:color w:val="000000"/>
                <w:sz w:val="20"/>
                <w:szCs w:val="18"/>
              </w:rPr>
              <w:t>Cost related to procurement of office furniture for project team</w:t>
            </w:r>
          </w:p>
          <w:p w14:paraId="759F0F8F" w14:textId="77777777" w:rsidR="008149C0" w:rsidRPr="009C5892" w:rsidRDefault="008149C0" w:rsidP="008149C0">
            <w:pPr>
              <w:rPr>
                <w:rFonts w:eastAsia="Times New Roman"/>
                <w:color w:val="000000"/>
                <w:sz w:val="20"/>
                <w:szCs w:val="18"/>
              </w:rPr>
            </w:pPr>
            <w:r w:rsidRPr="009C5892">
              <w:rPr>
                <w:rFonts w:eastAsia="Times New Roman"/>
                <w:color w:val="000000"/>
                <w:sz w:val="20"/>
                <w:szCs w:val="18"/>
              </w:rPr>
              <w:t>Costs related to project communications (land phones, Internet)</w:t>
            </w:r>
          </w:p>
          <w:p w14:paraId="0F063436" w14:textId="77777777" w:rsidR="008149C0" w:rsidRPr="009C5892" w:rsidRDefault="008149C0" w:rsidP="008149C0">
            <w:pPr>
              <w:rPr>
                <w:rFonts w:eastAsia="Times New Roman"/>
                <w:color w:val="000000"/>
                <w:sz w:val="20"/>
                <w:szCs w:val="18"/>
              </w:rPr>
            </w:pPr>
            <w:r w:rsidRPr="009C5892">
              <w:rPr>
                <w:rFonts w:eastAsia="Times New Roman"/>
                <w:color w:val="000000"/>
                <w:sz w:val="20"/>
                <w:szCs w:val="18"/>
              </w:rPr>
              <w:t>Print production costs related to project management documents</w:t>
            </w:r>
          </w:p>
          <w:p w14:paraId="4A944D34" w14:textId="69E6064E" w:rsidR="008149C0" w:rsidRPr="009C5892" w:rsidRDefault="008149C0" w:rsidP="008149C0">
            <w:pPr>
              <w:rPr>
                <w:rFonts w:eastAsia="Times New Roman"/>
                <w:color w:val="000000"/>
                <w:sz w:val="20"/>
                <w:szCs w:val="18"/>
              </w:rPr>
            </w:pPr>
            <w:r w:rsidRPr="009C5892">
              <w:rPr>
                <w:rFonts w:eastAsia="Times New Roman"/>
                <w:color w:val="000000"/>
                <w:sz w:val="20"/>
                <w:szCs w:val="18"/>
              </w:rPr>
              <w:t>Miscellaneous costs related to project management</w:t>
            </w:r>
          </w:p>
        </w:tc>
      </w:tr>
      <w:tr w:rsidR="007132EE" w:rsidRPr="003C1A58" w14:paraId="3E11E29F" w14:textId="77777777" w:rsidTr="007132EE">
        <w:trPr>
          <w:trHeight w:val="936"/>
        </w:trPr>
        <w:tc>
          <w:tcPr>
            <w:tcW w:w="450" w:type="dxa"/>
            <w:tcBorders>
              <w:top w:val="nil"/>
              <w:left w:val="nil"/>
              <w:bottom w:val="nil"/>
              <w:right w:val="nil"/>
            </w:tcBorders>
            <w:shd w:val="clear" w:color="auto" w:fill="auto"/>
            <w:noWrap/>
          </w:tcPr>
          <w:p w14:paraId="628C4500" w14:textId="0D42BDF9" w:rsidR="00824C89" w:rsidRPr="008149C0" w:rsidRDefault="008149C0" w:rsidP="007132EE">
            <w:pPr>
              <w:jc w:val="right"/>
              <w:rPr>
                <w:rFonts w:eastAsia="Times New Roman"/>
                <w:color w:val="000000"/>
                <w:sz w:val="20"/>
                <w:szCs w:val="18"/>
                <w:lang w:val="ru-RU"/>
              </w:rPr>
            </w:pPr>
            <w:r>
              <w:rPr>
                <w:rFonts w:eastAsia="Times New Roman"/>
                <w:color w:val="000000"/>
                <w:sz w:val="20"/>
                <w:szCs w:val="18"/>
                <w:lang w:val="ru-RU"/>
              </w:rPr>
              <w:t>41</w:t>
            </w:r>
          </w:p>
        </w:tc>
        <w:tc>
          <w:tcPr>
            <w:tcW w:w="13680" w:type="dxa"/>
            <w:tcBorders>
              <w:top w:val="nil"/>
              <w:left w:val="nil"/>
              <w:bottom w:val="nil"/>
              <w:right w:val="nil"/>
            </w:tcBorders>
            <w:shd w:val="clear" w:color="auto" w:fill="auto"/>
          </w:tcPr>
          <w:p w14:paraId="3A3FEB97" w14:textId="5877F299" w:rsidR="00824C89" w:rsidRPr="003C1A58" w:rsidRDefault="00824C89" w:rsidP="007132EE">
            <w:pPr>
              <w:rPr>
                <w:rFonts w:eastAsia="Times New Roman"/>
                <w:color w:val="000000"/>
                <w:sz w:val="20"/>
                <w:szCs w:val="18"/>
              </w:rPr>
            </w:pPr>
            <w:r w:rsidRPr="00824C89">
              <w:rPr>
                <w:rFonts w:eastAsia="Times New Roman"/>
                <w:color w:val="000000"/>
                <w:sz w:val="20"/>
                <w:szCs w:val="18"/>
              </w:rPr>
              <w:t>The budget for M&amp;E and knowledge-sharing is presented separately in Section VII</w:t>
            </w:r>
            <w:r>
              <w:rPr>
                <w:rFonts w:eastAsia="Times New Roman"/>
                <w:color w:val="000000"/>
                <w:sz w:val="20"/>
                <w:szCs w:val="18"/>
              </w:rPr>
              <w:t xml:space="preserve"> of the Project Document</w:t>
            </w:r>
            <w:r w:rsidR="00F01AE3">
              <w:rPr>
                <w:rFonts w:eastAsia="Times New Roman"/>
                <w:color w:val="000000"/>
                <w:sz w:val="20"/>
                <w:szCs w:val="18"/>
              </w:rPr>
              <w:t xml:space="preserve">. However, </w:t>
            </w:r>
            <w:r>
              <w:rPr>
                <w:rFonts w:eastAsia="Times New Roman"/>
                <w:color w:val="000000"/>
                <w:sz w:val="20"/>
                <w:szCs w:val="18"/>
              </w:rPr>
              <w:t xml:space="preserve">in this </w:t>
            </w:r>
            <w:r w:rsidR="00F01AE3">
              <w:rPr>
                <w:rFonts w:eastAsia="Times New Roman"/>
                <w:color w:val="000000"/>
                <w:sz w:val="20"/>
                <w:szCs w:val="18"/>
              </w:rPr>
              <w:t>budget,</w:t>
            </w:r>
            <w:r w:rsidRPr="00824C89">
              <w:rPr>
                <w:rFonts w:eastAsia="Times New Roman"/>
                <w:color w:val="000000"/>
                <w:sz w:val="20"/>
                <w:szCs w:val="18"/>
              </w:rPr>
              <w:t xml:space="preserve"> all M&amp;E and knowledge-sharing activities are contained wi</w:t>
            </w:r>
            <w:r>
              <w:rPr>
                <w:rFonts w:eastAsia="Times New Roman"/>
                <w:color w:val="000000"/>
                <w:sz w:val="20"/>
                <w:szCs w:val="18"/>
              </w:rPr>
              <w:t xml:space="preserve">thin the individual components </w:t>
            </w:r>
            <w:r w:rsidRPr="00824C89">
              <w:rPr>
                <w:rFonts w:eastAsia="Times New Roman"/>
                <w:color w:val="000000"/>
                <w:sz w:val="20"/>
                <w:szCs w:val="18"/>
              </w:rPr>
              <w:t xml:space="preserve">for consistency with the original format of the budget in the approved Project Framework Document.  Financial audit, which is also a required M&amp;E activity, is listed under Project Management (see </w:t>
            </w:r>
            <w:r>
              <w:rPr>
                <w:rFonts w:eastAsia="Times New Roman"/>
                <w:color w:val="000000"/>
                <w:sz w:val="20"/>
                <w:szCs w:val="18"/>
              </w:rPr>
              <w:t>Budget Note 25</w:t>
            </w:r>
            <w:r w:rsidRPr="00824C89">
              <w:rPr>
                <w:rFonts w:eastAsia="Times New Roman"/>
                <w:color w:val="000000"/>
                <w:sz w:val="20"/>
                <w:szCs w:val="18"/>
              </w:rPr>
              <w:t>).</w:t>
            </w:r>
          </w:p>
        </w:tc>
      </w:tr>
    </w:tbl>
    <w:p w14:paraId="7813A6A5" w14:textId="77777777" w:rsidR="003D062D" w:rsidRDefault="003D062D" w:rsidP="00C658DC">
      <w:pPr>
        <w:rPr>
          <w:sz w:val="18"/>
          <w:szCs w:val="18"/>
        </w:rPr>
      </w:pPr>
    </w:p>
    <w:p w14:paraId="32251ECC" w14:textId="77777777" w:rsidR="0077541B" w:rsidRDefault="0077541B" w:rsidP="00565388">
      <w:pPr>
        <w:pageBreakBefore/>
        <w:rPr>
          <w:b/>
          <w:sz w:val="21"/>
          <w:szCs w:val="18"/>
        </w:rPr>
      </w:pPr>
      <w:r w:rsidRPr="00565388">
        <w:rPr>
          <w:b/>
          <w:sz w:val="21"/>
          <w:szCs w:val="18"/>
        </w:rPr>
        <w:t>Summary of Funds</w:t>
      </w:r>
      <w:r w:rsidR="00565388">
        <w:rPr>
          <w:b/>
          <w:sz w:val="21"/>
          <w:szCs w:val="18"/>
        </w:rPr>
        <w:t xml:space="preserve"> ($)</w:t>
      </w:r>
    </w:p>
    <w:p w14:paraId="551B3C71" w14:textId="77777777" w:rsidR="00565388" w:rsidRPr="00565388" w:rsidRDefault="00565388" w:rsidP="00C658DC">
      <w:pPr>
        <w:rPr>
          <w:b/>
          <w:sz w:val="21"/>
          <w:szCs w:val="18"/>
        </w:rPr>
      </w:pPr>
    </w:p>
    <w:tbl>
      <w:tblPr>
        <w:tblW w:w="0" w:type="auto"/>
        <w:tblLook w:val="04A0" w:firstRow="1" w:lastRow="0" w:firstColumn="1" w:lastColumn="0" w:noHBand="0" w:noVBand="1"/>
      </w:tblPr>
      <w:tblGrid>
        <w:gridCol w:w="2779"/>
        <w:gridCol w:w="1071"/>
        <w:gridCol w:w="1077"/>
        <w:gridCol w:w="1077"/>
        <w:gridCol w:w="1077"/>
        <w:gridCol w:w="1077"/>
        <w:gridCol w:w="1172"/>
      </w:tblGrid>
      <w:tr w:rsidR="0077541B" w:rsidRPr="00565388" w14:paraId="1BB97604" w14:textId="77777777" w:rsidTr="00565388">
        <w:trPr>
          <w:trHeight w:val="320"/>
        </w:trPr>
        <w:tc>
          <w:tcPr>
            <w:tcW w:w="0" w:type="auto"/>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0EAAE12" w14:textId="77777777" w:rsidR="0077541B" w:rsidRPr="00565388" w:rsidRDefault="00565388">
            <w:pPr>
              <w:jc w:val="center"/>
              <w:rPr>
                <w:rFonts w:eastAsia="Times New Roman"/>
                <w:b/>
                <w:color w:val="000000"/>
                <w:sz w:val="20"/>
                <w:szCs w:val="20"/>
              </w:rPr>
            </w:pPr>
            <w:r w:rsidRPr="00565388">
              <w:rPr>
                <w:rFonts w:eastAsia="Times New Roman"/>
                <w:b/>
                <w:color w:val="000000"/>
                <w:sz w:val="20"/>
                <w:szCs w:val="20"/>
              </w:rPr>
              <w:t>Source of Funds</w:t>
            </w:r>
          </w:p>
        </w:tc>
        <w:tc>
          <w:tcPr>
            <w:tcW w:w="0" w:type="auto"/>
            <w:tcBorders>
              <w:top w:val="single" w:sz="8" w:space="0" w:color="auto"/>
              <w:left w:val="nil"/>
              <w:bottom w:val="nil"/>
              <w:right w:val="nil"/>
            </w:tcBorders>
            <w:shd w:val="clear" w:color="auto" w:fill="auto"/>
            <w:noWrap/>
            <w:vAlign w:val="center"/>
            <w:hideMark/>
          </w:tcPr>
          <w:p w14:paraId="1624950D" w14:textId="77777777" w:rsidR="0077541B" w:rsidRPr="00565388" w:rsidRDefault="0077541B">
            <w:pPr>
              <w:jc w:val="center"/>
              <w:rPr>
                <w:rFonts w:eastAsia="Times New Roman"/>
                <w:b/>
                <w:color w:val="000000"/>
                <w:sz w:val="20"/>
                <w:szCs w:val="20"/>
              </w:rPr>
            </w:pPr>
            <w:r w:rsidRPr="00565388">
              <w:rPr>
                <w:rFonts w:eastAsia="Times New Roman"/>
                <w:b/>
                <w:color w:val="000000"/>
                <w:sz w:val="20"/>
                <w:szCs w:val="20"/>
              </w:rPr>
              <w:t>Amount</w:t>
            </w:r>
          </w:p>
        </w:tc>
        <w:tc>
          <w:tcPr>
            <w:tcW w:w="0" w:type="auto"/>
            <w:tcBorders>
              <w:top w:val="single" w:sz="8" w:space="0" w:color="auto"/>
              <w:left w:val="single" w:sz="8" w:space="0" w:color="auto"/>
              <w:bottom w:val="nil"/>
              <w:right w:val="nil"/>
            </w:tcBorders>
            <w:shd w:val="clear" w:color="auto" w:fill="auto"/>
            <w:noWrap/>
            <w:vAlign w:val="center"/>
            <w:hideMark/>
          </w:tcPr>
          <w:p w14:paraId="1476C328" w14:textId="77777777" w:rsidR="0077541B" w:rsidRPr="00565388" w:rsidRDefault="0077541B">
            <w:pPr>
              <w:jc w:val="center"/>
              <w:rPr>
                <w:rFonts w:eastAsia="Times New Roman"/>
                <w:b/>
                <w:color w:val="000000"/>
                <w:sz w:val="20"/>
                <w:szCs w:val="20"/>
              </w:rPr>
            </w:pPr>
            <w:r w:rsidRPr="00565388">
              <w:rPr>
                <w:rFonts w:eastAsia="Times New Roman"/>
                <w:b/>
                <w:color w:val="000000"/>
                <w:sz w:val="20"/>
                <w:szCs w:val="20"/>
              </w:rPr>
              <w:t>Amount</w:t>
            </w:r>
          </w:p>
        </w:tc>
        <w:tc>
          <w:tcPr>
            <w:tcW w:w="0" w:type="auto"/>
            <w:tcBorders>
              <w:top w:val="single" w:sz="8" w:space="0" w:color="auto"/>
              <w:left w:val="single" w:sz="8" w:space="0" w:color="auto"/>
              <w:bottom w:val="nil"/>
              <w:right w:val="nil"/>
            </w:tcBorders>
            <w:shd w:val="clear" w:color="auto" w:fill="auto"/>
            <w:noWrap/>
            <w:vAlign w:val="center"/>
            <w:hideMark/>
          </w:tcPr>
          <w:p w14:paraId="2B29882F" w14:textId="77777777" w:rsidR="0077541B" w:rsidRPr="00565388" w:rsidRDefault="0077541B">
            <w:pPr>
              <w:jc w:val="center"/>
              <w:rPr>
                <w:rFonts w:eastAsia="Times New Roman"/>
                <w:b/>
                <w:color w:val="000000"/>
                <w:sz w:val="20"/>
                <w:szCs w:val="20"/>
              </w:rPr>
            </w:pPr>
            <w:r w:rsidRPr="00565388">
              <w:rPr>
                <w:rFonts w:eastAsia="Times New Roman"/>
                <w:b/>
                <w:color w:val="000000"/>
                <w:sz w:val="20"/>
                <w:szCs w:val="20"/>
              </w:rPr>
              <w:t>Amount</w:t>
            </w:r>
          </w:p>
        </w:tc>
        <w:tc>
          <w:tcPr>
            <w:tcW w:w="0" w:type="auto"/>
            <w:tcBorders>
              <w:top w:val="single" w:sz="8" w:space="0" w:color="auto"/>
              <w:left w:val="single" w:sz="8" w:space="0" w:color="auto"/>
              <w:bottom w:val="nil"/>
              <w:right w:val="nil"/>
            </w:tcBorders>
            <w:shd w:val="clear" w:color="auto" w:fill="auto"/>
            <w:noWrap/>
            <w:vAlign w:val="center"/>
            <w:hideMark/>
          </w:tcPr>
          <w:p w14:paraId="735A44D1" w14:textId="77777777" w:rsidR="0077541B" w:rsidRPr="00565388" w:rsidRDefault="0077541B">
            <w:pPr>
              <w:jc w:val="center"/>
              <w:rPr>
                <w:rFonts w:eastAsia="Times New Roman"/>
                <w:b/>
                <w:color w:val="000000"/>
                <w:sz w:val="20"/>
                <w:szCs w:val="20"/>
              </w:rPr>
            </w:pPr>
            <w:r w:rsidRPr="00565388">
              <w:rPr>
                <w:rFonts w:eastAsia="Times New Roman"/>
                <w:b/>
                <w:color w:val="000000"/>
                <w:sz w:val="20"/>
                <w:szCs w:val="20"/>
              </w:rPr>
              <w:t>Amount</w:t>
            </w:r>
          </w:p>
        </w:tc>
        <w:tc>
          <w:tcPr>
            <w:tcW w:w="0" w:type="auto"/>
            <w:tcBorders>
              <w:top w:val="single" w:sz="8" w:space="0" w:color="auto"/>
              <w:left w:val="single" w:sz="8" w:space="0" w:color="auto"/>
              <w:bottom w:val="nil"/>
              <w:right w:val="nil"/>
            </w:tcBorders>
            <w:shd w:val="clear" w:color="auto" w:fill="auto"/>
            <w:noWrap/>
            <w:vAlign w:val="center"/>
            <w:hideMark/>
          </w:tcPr>
          <w:p w14:paraId="690F0CA5" w14:textId="77777777" w:rsidR="0077541B" w:rsidRPr="00565388" w:rsidRDefault="0077541B">
            <w:pPr>
              <w:jc w:val="center"/>
              <w:rPr>
                <w:rFonts w:eastAsia="Times New Roman"/>
                <w:b/>
                <w:color w:val="000000"/>
                <w:sz w:val="20"/>
                <w:szCs w:val="20"/>
              </w:rPr>
            </w:pPr>
            <w:r w:rsidRPr="00565388">
              <w:rPr>
                <w:rFonts w:eastAsia="Times New Roman"/>
                <w:b/>
                <w:color w:val="000000"/>
                <w:sz w:val="20"/>
                <w:szCs w:val="20"/>
              </w:rPr>
              <w:t>Amount</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1650690" w14:textId="77777777" w:rsidR="0077541B" w:rsidRPr="00565388" w:rsidRDefault="0077541B">
            <w:pPr>
              <w:jc w:val="center"/>
              <w:rPr>
                <w:rFonts w:eastAsia="Times New Roman"/>
                <w:b/>
                <w:color w:val="000000"/>
                <w:sz w:val="20"/>
                <w:szCs w:val="20"/>
              </w:rPr>
            </w:pPr>
            <w:r w:rsidRPr="00565388">
              <w:rPr>
                <w:rFonts w:eastAsia="Times New Roman"/>
                <w:b/>
                <w:color w:val="000000"/>
                <w:sz w:val="20"/>
                <w:szCs w:val="20"/>
              </w:rPr>
              <w:t>Total</w:t>
            </w:r>
          </w:p>
        </w:tc>
      </w:tr>
      <w:tr w:rsidR="0077541B" w:rsidRPr="00565388" w14:paraId="16AC0978" w14:textId="77777777" w:rsidTr="00565388">
        <w:trPr>
          <w:trHeight w:val="340"/>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34F137AB" w14:textId="77777777" w:rsidR="0077541B" w:rsidRPr="00565388" w:rsidRDefault="0077541B">
            <w:pPr>
              <w:rPr>
                <w:rFonts w:eastAsia="Times New Roman"/>
                <w:b/>
                <w:color w:val="000000"/>
                <w:sz w:val="20"/>
                <w:szCs w:val="20"/>
              </w:rPr>
            </w:pPr>
          </w:p>
        </w:tc>
        <w:tc>
          <w:tcPr>
            <w:tcW w:w="0" w:type="auto"/>
            <w:tcBorders>
              <w:top w:val="nil"/>
              <w:left w:val="nil"/>
              <w:bottom w:val="single" w:sz="8" w:space="0" w:color="auto"/>
              <w:right w:val="nil"/>
            </w:tcBorders>
            <w:shd w:val="clear" w:color="auto" w:fill="auto"/>
            <w:noWrap/>
            <w:vAlign w:val="center"/>
            <w:hideMark/>
          </w:tcPr>
          <w:p w14:paraId="24F173A7" w14:textId="77777777" w:rsidR="0077541B" w:rsidRPr="00565388" w:rsidRDefault="0077541B">
            <w:pPr>
              <w:jc w:val="center"/>
              <w:rPr>
                <w:rFonts w:eastAsia="Times New Roman"/>
                <w:b/>
                <w:color w:val="000000"/>
                <w:sz w:val="20"/>
                <w:szCs w:val="20"/>
              </w:rPr>
            </w:pPr>
            <w:r w:rsidRPr="00565388">
              <w:rPr>
                <w:rFonts w:eastAsia="Times New Roman"/>
                <w:b/>
                <w:color w:val="000000"/>
                <w:sz w:val="20"/>
                <w:szCs w:val="20"/>
              </w:rPr>
              <w:t>Year1</w:t>
            </w:r>
          </w:p>
        </w:tc>
        <w:tc>
          <w:tcPr>
            <w:tcW w:w="0" w:type="auto"/>
            <w:tcBorders>
              <w:top w:val="nil"/>
              <w:left w:val="single" w:sz="8" w:space="0" w:color="auto"/>
              <w:bottom w:val="single" w:sz="8" w:space="0" w:color="auto"/>
              <w:right w:val="nil"/>
            </w:tcBorders>
            <w:shd w:val="clear" w:color="auto" w:fill="auto"/>
            <w:noWrap/>
            <w:vAlign w:val="center"/>
            <w:hideMark/>
          </w:tcPr>
          <w:p w14:paraId="5DEE854D" w14:textId="77777777" w:rsidR="0077541B" w:rsidRPr="00565388" w:rsidRDefault="0077541B">
            <w:pPr>
              <w:jc w:val="center"/>
              <w:rPr>
                <w:rFonts w:eastAsia="Times New Roman"/>
                <w:b/>
                <w:color w:val="000000"/>
                <w:sz w:val="20"/>
                <w:szCs w:val="20"/>
              </w:rPr>
            </w:pPr>
            <w:r w:rsidRPr="00565388">
              <w:rPr>
                <w:rFonts w:eastAsia="Times New Roman"/>
                <w:b/>
                <w:color w:val="000000"/>
                <w:sz w:val="20"/>
                <w:szCs w:val="20"/>
              </w:rPr>
              <w:t>Year 2</w:t>
            </w:r>
          </w:p>
        </w:tc>
        <w:tc>
          <w:tcPr>
            <w:tcW w:w="0" w:type="auto"/>
            <w:tcBorders>
              <w:top w:val="nil"/>
              <w:left w:val="single" w:sz="8" w:space="0" w:color="auto"/>
              <w:bottom w:val="single" w:sz="8" w:space="0" w:color="auto"/>
              <w:right w:val="nil"/>
            </w:tcBorders>
            <w:shd w:val="clear" w:color="auto" w:fill="auto"/>
            <w:noWrap/>
            <w:vAlign w:val="center"/>
            <w:hideMark/>
          </w:tcPr>
          <w:p w14:paraId="227CC2F0" w14:textId="77777777" w:rsidR="0077541B" w:rsidRPr="00565388" w:rsidRDefault="0077541B">
            <w:pPr>
              <w:jc w:val="center"/>
              <w:rPr>
                <w:rFonts w:eastAsia="Times New Roman"/>
                <w:b/>
                <w:color w:val="000000"/>
                <w:sz w:val="20"/>
                <w:szCs w:val="20"/>
              </w:rPr>
            </w:pPr>
            <w:r w:rsidRPr="00565388">
              <w:rPr>
                <w:rFonts w:eastAsia="Times New Roman"/>
                <w:b/>
                <w:color w:val="000000"/>
                <w:sz w:val="20"/>
                <w:szCs w:val="20"/>
              </w:rPr>
              <w:t>Year 3</w:t>
            </w:r>
          </w:p>
        </w:tc>
        <w:tc>
          <w:tcPr>
            <w:tcW w:w="0" w:type="auto"/>
            <w:tcBorders>
              <w:top w:val="nil"/>
              <w:left w:val="single" w:sz="8" w:space="0" w:color="auto"/>
              <w:bottom w:val="single" w:sz="8" w:space="0" w:color="auto"/>
              <w:right w:val="nil"/>
            </w:tcBorders>
            <w:shd w:val="clear" w:color="auto" w:fill="auto"/>
            <w:noWrap/>
            <w:vAlign w:val="center"/>
            <w:hideMark/>
          </w:tcPr>
          <w:p w14:paraId="274F38D2" w14:textId="77777777" w:rsidR="0077541B" w:rsidRPr="00565388" w:rsidRDefault="0077541B">
            <w:pPr>
              <w:jc w:val="center"/>
              <w:rPr>
                <w:rFonts w:eastAsia="Times New Roman"/>
                <w:b/>
                <w:color w:val="000000"/>
                <w:sz w:val="20"/>
                <w:szCs w:val="20"/>
              </w:rPr>
            </w:pPr>
            <w:r w:rsidRPr="00565388">
              <w:rPr>
                <w:rFonts w:eastAsia="Times New Roman"/>
                <w:b/>
                <w:color w:val="000000"/>
                <w:sz w:val="20"/>
                <w:szCs w:val="20"/>
              </w:rPr>
              <w:t>Year 4</w:t>
            </w:r>
          </w:p>
        </w:tc>
        <w:tc>
          <w:tcPr>
            <w:tcW w:w="0" w:type="auto"/>
            <w:tcBorders>
              <w:top w:val="nil"/>
              <w:left w:val="single" w:sz="8" w:space="0" w:color="auto"/>
              <w:bottom w:val="single" w:sz="8" w:space="0" w:color="auto"/>
              <w:right w:val="nil"/>
            </w:tcBorders>
            <w:shd w:val="clear" w:color="auto" w:fill="auto"/>
            <w:noWrap/>
            <w:vAlign w:val="center"/>
            <w:hideMark/>
          </w:tcPr>
          <w:p w14:paraId="25439CA5" w14:textId="77777777" w:rsidR="0077541B" w:rsidRPr="00565388" w:rsidRDefault="0077541B">
            <w:pPr>
              <w:jc w:val="center"/>
              <w:rPr>
                <w:rFonts w:eastAsia="Times New Roman"/>
                <w:b/>
                <w:color w:val="000000"/>
                <w:sz w:val="20"/>
                <w:szCs w:val="20"/>
              </w:rPr>
            </w:pPr>
            <w:r w:rsidRPr="00565388">
              <w:rPr>
                <w:rFonts w:eastAsia="Times New Roman"/>
                <w:b/>
                <w:color w:val="000000"/>
                <w:sz w:val="20"/>
                <w:szCs w:val="20"/>
              </w:rPr>
              <w:t>Year 5</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DDD1CF1" w14:textId="77777777" w:rsidR="0077541B" w:rsidRPr="00565388" w:rsidRDefault="0077541B">
            <w:pPr>
              <w:rPr>
                <w:rFonts w:eastAsia="Times New Roman"/>
                <w:b/>
                <w:color w:val="000000"/>
                <w:sz w:val="20"/>
                <w:szCs w:val="20"/>
              </w:rPr>
            </w:pPr>
          </w:p>
        </w:tc>
      </w:tr>
      <w:tr w:rsidR="00C40593" w:rsidRPr="00565388" w14:paraId="6A5ED06A" w14:textId="77777777" w:rsidTr="00565388">
        <w:trPr>
          <w:trHeight w:val="340"/>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F3F1BF" w14:textId="77777777" w:rsidR="00C40593" w:rsidRPr="00565388" w:rsidRDefault="00C40593" w:rsidP="00565388">
            <w:pPr>
              <w:rPr>
                <w:rFonts w:eastAsia="Times New Roman"/>
                <w:bCs/>
                <w:color w:val="000000"/>
                <w:sz w:val="20"/>
                <w:szCs w:val="20"/>
              </w:rPr>
            </w:pPr>
            <w:r w:rsidRPr="00565388">
              <w:rPr>
                <w:rFonts w:eastAsia="Times New Roman"/>
                <w:bCs/>
                <w:color w:val="000000"/>
                <w:sz w:val="20"/>
                <w:szCs w:val="20"/>
              </w:rPr>
              <w:t xml:space="preserve">GEF </w:t>
            </w:r>
          </w:p>
        </w:tc>
        <w:tc>
          <w:tcPr>
            <w:tcW w:w="0" w:type="auto"/>
            <w:tcBorders>
              <w:top w:val="nil"/>
              <w:left w:val="nil"/>
              <w:bottom w:val="single" w:sz="8" w:space="0" w:color="auto"/>
              <w:right w:val="nil"/>
            </w:tcBorders>
            <w:shd w:val="clear" w:color="auto" w:fill="auto"/>
            <w:noWrap/>
            <w:vAlign w:val="center"/>
            <w:hideMark/>
          </w:tcPr>
          <w:p w14:paraId="098E0C39" w14:textId="77777777" w:rsidR="00C40593" w:rsidRPr="00565388" w:rsidRDefault="00C40593">
            <w:pPr>
              <w:jc w:val="center"/>
              <w:rPr>
                <w:rFonts w:eastAsia="Times New Roman"/>
                <w:color w:val="000000"/>
                <w:sz w:val="20"/>
                <w:szCs w:val="20"/>
              </w:rPr>
            </w:pPr>
            <w:r>
              <w:rPr>
                <w:rFonts w:eastAsia="Times New Roman"/>
                <w:color w:val="000000"/>
                <w:sz w:val="18"/>
                <w:szCs w:val="18"/>
              </w:rPr>
              <w:t xml:space="preserve"> 258,500 </w:t>
            </w:r>
          </w:p>
        </w:tc>
        <w:tc>
          <w:tcPr>
            <w:tcW w:w="0" w:type="auto"/>
            <w:tcBorders>
              <w:top w:val="nil"/>
              <w:left w:val="single" w:sz="8" w:space="0" w:color="auto"/>
              <w:bottom w:val="single" w:sz="8" w:space="0" w:color="auto"/>
              <w:right w:val="nil"/>
            </w:tcBorders>
            <w:shd w:val="clear" w:color="auto" w:fill="auto"/>
            <w:noWrap/>
            <w:vAlign w:val="center"/>
            <w:hideMark/>
          </w:tcPr>
          <w:p w14:paraId="2977A666" w14:textId="77777777" w:rsidR="00C40593" w:rsidRPr="00565388" w:rsidRDefault="00C40593">
            <w:pPr>
              <w:jc w:val="center"/>
              <w:rPr>
                <w:rFonts w:eastAsia="Times New Roman"/>
                <w:color w:val="000000"/>
                <w:sz w:val="20"/>
                <w:szCs w:val="20"/>
              </w:rPr>
            </w:pPr>
            <w:r>
              <w:rPr>
                <w:rFonts w:eastAsia="Times New Roman"/>
                <w:color w:val="000000"/>
                <w:sz w:val="18"/>
                <w:szCs w:val="18"/>
              </w:rPr>
              <w:t xml:space="preserve"> 785,000 </w:t>
            </w:r>
          </w:p>
        </w:tc>
        <w:tc>
          <w:tcPr>
            <w:tcW w:w="0" w:type="auto"/>
            <w:tcBorders>
              <w:top w:val="nil"/>
              <w:left w:val="single" w:sz="8" w:space="0" w:color="auto"/>
              <w:bottom w:val="single" w:sz="8" w:space="0" w:color="auto"/>
              <w:right w:val="nil"/>
            </w:tcBorders>
            <w:shd w:val="clear" w:color="auto" w:fill="auto"/>
            <w:noWrap/>
            <w:vAlign w:val="center"/>
            <w:hideMark/>
          </w:tcPr>
          <w:p w14:paraId="6E3759AA" w14:textId="77777777" w:rsidR="00C40593" w:rsidRPr="00565388" w:rsidRDefault="00C40593">
            <w:pPr>
              <w:jc w:val="center"/>
              <w:rPr>
                <w:rFonts w:eastAsia="Times New Roman"/>
                <w:color w:val="000000"/>
                <w:sz w:val="20"/>
                <w:szCs w:val="20"/>
              </w:rPr>
            </w:pPr>
            <w:r>
              <w:rPr>
                <w:rFonts w:eastAsia="Times New Roman"/>
                <w:color w:val="000000"/>
                <w:sz w:val="18"/>
                <w:szCs w:val="18"/>
              </w:rPr>
              <w:t xml:space="preserve"> 1,220,500 </w:t>
            </w:r>
          </w:p>
        </w:tc>
        <w:tc>
          <w:tcPr>
            <w:tcW w:w="0" w:type="auto"/>
            <w:tcBorders>
              <w:top w:val="nil"/>
              <w:left w:val="single" w:sz="8" w:space="0" w:color="auto"/>
              <w:bottom w:val="single" w:sz="8" w:space="0" w:color="auto"/>
              <w:right w:val="nil"/>
            </w:tcBorders>
            <w:shd w:val="clear" w:color="auto" w:fill="auto"/>
            <w:noWrap/>
            <w:vAlign w:val="center"/>
            <w:hideMark/>
          </w:tcPr>
          <w:p w14:paraId="5C77BAF4" w14:textId="77777777" w:rsidR="00C40593" w:rsidRPr="00565388" w:rsidRDefault="00C40593">
            <w:pPr>
              <w:jc w:val="center"/>
              <w:rPr>
                <w:rFonts w:eastAsia="Times New Roman"/>
                <w:color w:val="000000"/>
                <w:sz w:val="20"/>
                <w:szCs w:val="20"/>
              </w:rPr>
            </w:pPr>
            <w:r>
              <w:rPr>
                <w:rFonts w:eastAsia="Times New Roman"/>
                <w:color w:val="000000"/>
                <w:sz w:val="18"/>
                <w:szCs w:val="18"/>
              </w:rPr>
              <w:t xml:space="preserve"> 1,021,900 </w:t>
            </w:r>
          </w:p>
        </w:tc>
        <w:tc>
          <w:tcPr>
            <w:tcW w:w="0" w:type="auto"/>
            <w:tcBorders>
              <w:top w:val="nil"/>
              <w:left w:val="single" w:sz="8" w:space="0" w:color="auto"/>
              <w:bottom w:val="single" w:sz="8" w:space="0" w:color="auto"/>
              <w:right w:val="nil"/>
            </w:tcBorders>
            <w:shd w:val="clear" w:color="auto" w:fill="auto"/>
            <w:noWrap/>
            <w:vAlign w:val="center"/>
            <w:hideMark/>
          </w:tcPr>
          <w:p w14:paraId="784C0791" w14:textId="77777777" w:rsidR="00C40593" w:rsidRPr="00565388" w:rsidRDefault="00C40593">
            <w:pPr>
              <w:jc w:val="center"/>
              <w:rPr>
                <w:rFonts w:eastAsia="Times New Roman"/>
                <w:color w:val="000000"/>
                <w:sz w:val="20"/>
                <w:szCs w:val="20"/>
              </w:rPr>
            </w:pPr>
            <w:r>
              <w:rPr>
                <w:rFonts w:eastAsia="Times New Roman"/>
                <w:color w:val="000000"/>
                <w:sz w:val="18"/>
                <w:szCs w:val="18"/>
              </w:rPr>
              <w:t xml:space="preserve"> 1,224,100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7CB3938" w14:textId="77777777" w:rsidR="00C40593" w:rsidRPr="00565388" w:rsidRDefault="00C40593">
            <w:pPr>
              <w:jc w:val="center"/>
              <w:rPr>
                <w:rFonts w:eastAsia="Times New Roman"/>
                <w:color w:val="000000"/>
                <w:sz w:val="20"/>
                <w:szCs w:val="20"/>
              </w:rPr>
            </w:pPr>
            <w:r w:rsidRPr="00565388">
              <w:rPr>
                <w:rFonts w:eastAsia="Times New Roman"/>
                <w:color w:val="000000"/>
                <w:sz w:val="20"/>
                <w:szCs w:val="20"/>
              </w:rPr>
              <w:t xml:space="preserve"> 4,510,000 </w:t>
            </w:r>
          </w:p>
        </w:tc>
      </w:tr>
      <w:tr w:rsidR="0077541B" w:rsidRPr="00565388" w14:paraId="04E7DACB" w14:textId="77777777" w:rsidTr="00C40593">
        <w:trPr>
          <w:trHeight w:val="340"/>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6E5FC1" w14:textId="77777777" w:rsidR="0077541B" w:rsidRPr="00C40593" w:rsidRDefault="0077541B" w:rsidP="00565388">
            <w:pPr>
              <w:rPr>
                <w:rFonts w:eastAsia="Times New Roman"/>
                <w:bCs/>
                <w:color w:val="000000"/>
                <w:sz w:val="20"/>
                <w:szCs w:val="20"/>
              </w:rPr>
            </w:pPr>
            <w:r w:rsidRPr="00C40593">
              <w:rPr>
                <w:rFonts w:eastAsia="Times New Roman"/>
                <w:bCs/>
                <w:color w:val="000000"/>
                <w:sz w:val="20"/>
                <w:szCs w:val="20"/>
              </w:rPr>
              <w:t xml:space="preserve">UNDP </w:t>
            </w:r>
          </w:p>
        </w:tc>
        <w:tc>
          <w:tcPr>
            <w:tcW w:w="0" w:type="auto"/>
            <w:tcBorders>
              <w:top w:val="nil"/>
              <w:left w:val="nil"/>
              <w:bottom w:val="single" w:sz="8" w:space="0" w:color="auto"/>
              <w:right w:val="nil"/>
            </w:tcBorders>
            <w:shd w:val="clear" w:color="000000" w:fill="auto"/>
            <w:noWrap/>
            <w:vAlign w:val="center"/>
            <w:hideMark/>
          </w:tcPr>
          <w:p w14:paraId="6F5C4282" w14:textId="77777777" w:rsidR="0077541B" w:rsidRPr="00C40593" w:rsidRDefault="0077541B">
            <w:pPr>
              <w:jc w:val="center"/>
              <w:rPr>
                <w:rFonts w:eastAsia="Times New Roman"/>
                <w:color w:val="000000"/>
                <w:sz w:val="20"/>
                <w:szCs w:val="20"/>
              </w:rPr>
            </w:pPr>
            <w:r w:rsidRPr="00C40593">
              <w:rPr>
                <w:rFonts w:eastAsia="Times New Roman"/>
                <w:color w:val="000000"/>
                <w:sz w:val="20"/>
                <w:szCs w:val="20"/>
              </w:rPr>
              <w:t xml:space="preserve"> 10,000 </w:t>
            </w:r>
          </w:p>
        </w:tc>
        <w:tc>
          <w:tcPr>
            <w:tcW w:w="0" w:type="auto"/>
            <w:tcBorders>
              <w:top w:val="nil"/>
              <w:left w:val="single" w:sz="8" w:space="0" w:color="auto"/>
              <w:bottom w:val="single" w:sz="8" w:space="0" w:color="auto"/>
              <w:right w:val="nil"/>
            </w:tcBorders>
            <w:shd w:val="clear" w:color="000000" w:fill="auto"/>
            <w:noWrap/>
            <w:vAlign w:val="center"/>
            <w:hideMark/>
          </w:tcPr>
          <w:p w14:paraId="4170556F" w14:textId="77777777" w:rsidR="0077541B" w:rsidRPr="00C40593" w:rsidRDefault="0077541B">
            <w:pPr>
              <w:jc w:val="center"/>
              <w:rPr>
                <w:rFonts w:eastAsia="Times New Roman"/>
                <w:color w:val="000000"/>
                <w:sz w:val="20"/>
                <w:szCs w:val="20"/>
              </w:rPr>
            </w:pPr>
            <w:r w:rsidRPr="00C40593">
              <w:rPr>
                <w:rFonts w:eastAsia="Times New Roman"/>
                <w:color w:val="000000"/>
                <w:sz w:val="20"/>
                <w:szCs w:val="20"/>
              </w:rPr>
              <w:t xml:space="preserve"> 26,600 </w:t>
            </w:r>
          </w:p>
        </w:tc>
        <w:tc>
          <w:tcPr>
            <w:tcW w:w="0" w:type="auto"/>
            <w:tcBorders>
              <w:top w:val="nil"/>
              <w:left w:val="single" w:sz="8" w:space="0" w:color="auto"/>
              <w:bottom w:val="single" w:sz="8" w:space="0" w:color="auto"/>
              <w:right w:val="nil"/>
            </w:tcBorders>
            <w:shd w:val="clear" w:color="000000" w:fill="auto"/>
            <w:noWrap/>
            <w:vAlign w:val="center"/>
            <w:hideMark/>
          </w:tcPr>
          <w:p w14:paraId="0D8A65DC" w14:textId="77777777" w:rsidR="0077541B" w:rsidRPr="00C40593" w:rsidRDefault="0077541B">
            <w:pPr>
              <w:jc w:val="center"/>
              <w:rPr>
                <w:rFonts w:eastAsia="Times New Roman"/>
                <w:color w:val="000000"/>
                <w:sz w:val="20"/>
                <w:szCs w:val="20"/>
              </w:rPr>
            </w:pPr>
            <w:r w:rsidRPr="00C40593">
              <w:rPr>
                <w:rFonts w:eastAsia="Times New Roman"/>
                <w:color w:val="000000"/>
                <w:sz w:val="20"/>
                <w:szCs w:val="20"/>
              </w:rPr>
              <w:t xml:space="preserve"> 26,600 </w:t>
            </w:r>
          </w:p>
        </w:tc>
        <w:tc>
          <w:tcPr>
            <w:tcW w:w="0" w:type="auto"/>
            <w:tcBorders>
              <w:top w:val="nil"/>
              <w:left w:val="single" w:sz="8" w:space="0" w:color="auto"/>
              <w:bottom w:val="single" w:sz="8" w:space="0" w:color="auto"/>
              <w:right w:val="nil"/>
            </w:tcBorders>
            <w:shd w:val="clear" w:color="000000" w:fill="auto"/>
            <w:noWrap/>
            <w:vAlign w:val="center"/>
            <w:hideMark/>
          </w:tcPr>
          <w:p w14:paraId="117256EE" w14:textId="77777777" w:rsidR="0077541B" w:rsidRPr="00C40593" w:rsidRDefault="0077541B">
            <w:pPr>
              <w:jc w:val="center"/>
              <w:rPr>
                <w:rFonts w:eastAsia="Times New Roman"/>
                <w:color w:val="000000"/>
                <w:sz w:val="20"/>
                <w:szCs w:val="20"/>
              </w:rPr>
            </w:pPr>
            <w:r w:rsidRPr="00C40593">
              <w:rPr>
                <w:rFonts w:eastAsia="Times New Roman"/>
                <w:color w:val="000000"/>
                <w:sz w:val="20"/>
                <w:szCs w:val="20"/>
              </w:rPr>
              <w:t xml:space="preserve"> 26,800 </w:t>
            </w:r>
          </w:p>
        </w:tc>
        <w:tc>
          <w:tcPr>
            <w:tcW w:w="0" w:type="auto"/>
            <w:tcBorders>
              <w:top w:val="nil"/>
              <w:left w:val="single" w:sz="8" w:space="0" w:color="auto"/>
              <w:bottom w:val="single" w:sz="8" w:space="0" w:color="auto"/>
              <w:right w:val="nil"/>
            </w:tcBorders>
            <w:shd w:val="clear" w:color="000000" w:fill="auto"/>
            <w:noWrap/>
            <w:vAlign w:val="center"/>
            <w:hideMark/>
          </w:tcPr>
          <w:p w14:paraId="6A7DB02A" w14:textId="77777777" w:rsidR="0077541B" w:rsidRPr="00C40593" w:rsidRDefault="0077541B">
            <w:pPr>
              <w:jc w:val="center"/>
              <w:rPr>
                <w:rFonts w:eastAsia="Times New Roman"/>
                <w:color w:val="000000"/>
                <w:sz w:val="20"/>
                <w:szCs w:val="20"/>
              </w:rPr>
            </w:pPr>
            <w:r w:rsidRPr="00C40593">
              <w:rPr>
                <w:rFonts w:eastAsia="Times New Roman"/>
                <w:color w:val="000000"/>
                <w:sz w:val="20"/>
                <w:szCs w:val="20"/>
              </w:rPr>
              <w:t xml:space="preserve"> 10,000 </w:t>
            </w:r>
          </w:p>
        </w:tc>
        <w:tc>
          <w:tcPr>
            <w:tcW w:w="0" w:type="auto"/>
            <w:tcBorders>
              <w:top w:val="nil"/>
              <w:left w:val="single" w:sz="8" w:space="0" w:color="auto"/>
              <w:bottom w:val="single" w:sz="8" w:space="0" w:color="auto"/>
              <w:right w:val="single" w:sz="8" w:space="0" w:color="auto"/>
            </w:tcBorders>
            <w:shd w:val="clear" w:color="000000" w:fill="auto"/>
            <w:noWrap/>
            <w:vAlign w:val="center"/>
            <w:hideMark/>
          </w:tcPr>
          <w:p w14:paraId="72DC34F0" w14:textId="77777777" w:rsidR="0077541B" w:rsidRPr="00C40593" w:rsidRDefault="0077541B">
            <w:pPr>
              <w:jc w:val="center"/>
              <w:rPr>
                <w:rFonts w:eastAsia="Times New Roman"/>
                <w:color w:val="000000"/>
                <w:sz w:val="20"/>
                <w:szCs w:val="20"/>
              </w:rPr>
            </w:pPr>
            <w:r w:rsidRPr="00C40593">
              <w:rPr>
                <w:rFonts w:eastAsia="Times New Roman"/>
                <w:color w:val="000000"/>
                <w:sz w:val="20"/>
                <w:szCs w:val="20"/>
              </w:rPr>
              <w:t xml:space="preserve"> 100,000 </w:t>
            </w:r>
          </w:p>
        </w:tc>
      </w:tr>
      <w:tr w:rsidR="0077541B" w:rsidRPr="00565388" w14:paraId="0EEA5C9A" w14:textId="77777777" w:rsidTr="00565388">
        <w:trPr>
          <w:trHeight w:val="340"/>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C15E1C" w14:textId="77777777" w:rsidR="0077541B" w:rsidRPr="00565388" w:rsidRDefault="0077541B" w:rsidP="00565388">
            <w:pPr>
              <w:rPr>
                <w:rFonts w:eastAsia="Times New Roman"/>
                <w:bCs/>
                <w:color w:val="000000"/>
                <w:sz w:val="20"/>
                <w:szCs w:val="20"/>
              </w:rPr>
            </w:pPr>
            <w:r w:rsidRPr="00565388">
              <w:rPr>
                <w:rFonts w:eastAsia="Times New Roman"/>
                <w:bCs/>
                <w:color w:val="000000"/>
                <w:sz w:val="20"/>
                <w:szCs w:val="20"/>
              </w:rPr>
              <w:t>Ministry of Energy</w:t>
            </w:r>
          </w:p>
        </w:tc>
        <w:tc>
          <w:tcPr>
            <w:tcW w:w="0" w:type="auto"/>
            <w:tcBorders>
              <w:top w:val="nil"/>
              <w:left w:val="nil"/>
              <w:bottom w:val="single" w:sz="8" w:space="0" w:color="auto"/>
              <w:right w:val="nil"/>
            </w:tcBorders>
            <w:shd w:val="clear" w:color="auto" w:fill="auto"/>
            <w:noWrap/>
            <w:vAlign w:val="center"/>
            <w:hideMark/>
          </w:tcPr>
          <w:p w14:paraId="0E443323"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345,000 </w:t>
            </w:r>
          </w:p>
        </w:tc>
        <w:tc>
          <w:tcPr>
            <w:tcW w:w="0" w:type="auto"/>
            <w:tcBorders>
              <w:top w:val="nil"/>
              <w:left w:val="single" w:sz="8" w:space="0" w:color="auto"/>
              <w:bottom w:val="single" w:sz="8" w:space="0" w:color="auto"/>
              <w:right w:val="nil"/>
            </w:tcBorders>
            <w:shd w:val="clear" w:color="auto" w:fill="auto"/>
            <w:noWrap/>
            <w:vAlign w:val="center"/>
            <w:hideMark/>
          </w:tcPr>
          <w:p w14:paraId="696A8CD2"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846,600 </w:t>
            </w:r>
          </w:p>
        </w:tc>
        <w:tc>
          <w:tcPr>
            <w:tcW w:w="0" w:type="auto"/>
            <w:tcBorders>
              <w:top w:val="nil"/>
              <w:left w:val="single" w:sz="8" w:space="0" w:color="auto"/>
              <w:bottom w:val="single" w:sz="8" w:space="0" w:color="auto"/>
              <w:right w:val="nil"/>
            </w:tcBorders>
            <w:shd w:val="clear" w:color="auto" w:fill="auto"/>
            <w:noWrap/>
            <w:vAlign w:val="center"/>
            <w:hideMark/>
          </w:tcPr>
          <w:p w14:paraId="37A93C97"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1,066,600 </w:t>
            </w:r>
          </w:p>
        </w:tc>
        <w:tc>
          <w:tcPr>
            <w:tcW w:w="0" w:type="auto"/>
            <w:tcBorders>
              <w:top w:val="nil"/>
              <w:left w:val="single" w:sz="8" w:space="0" w:color="auto"/>
              <w:bottom w:val="single" w:sz="8" w:space="0" w:color="auto"/>
              <w:right w:val="nil"/>
            </w:tcBorders>
            <w:shd w:val="clear" w:color="auto" w:fill="auto"/>
            <w:noWrap/>
            <w:vAlign w:val="center"/>
            <w:hideMark/>
          </w:tcPr>
          <w:p w14:paraId="728640B3"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766,800 </w:t>
            </w:r>
          </w:p>
        </w:tc>
        <w:tc>
          <w:tcPr>
            <w:tcW w:w="0" w:type="auto"/>
            <w:tcBorders>
              <w:top w:val="nil"/>
              <w:left w:val="single" w:sz="8" w:space="0" w:color="auto"/>
              <w:bottom w:val="single" w:sz="8" w:space="0" w:color="auto"/>
              <w:right w:val="nil"/>
            </w:tcBorders>
            <w:shd w:val="clear" w:color="auto" w:fill="auto"/>
            <w:noWrap/>
            <w:vAlign w:val="center"/>
            <w:hideMark/>
          </w:tcPr>
          <w:p w14:paraId="236CF6AF"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225,000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6406188"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3,250,000 </w:t>
            </w:r>
          </w:p>
        </w:tc>
      </w:tr>
      <w:tr w:rsidR="0077541B" w:rsidRPr="00565388" w14:paraId="75F550A5" w14:textId="77777777" w:rsidTr="00565388">
        <w:trPr>
          <w:trHeight w:val="340"/>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EF2A47" w14:textId="77777777" w:rsidR="0077541B" w:rsidRPr="00565388" w:rsidRDefault="0077541B" w:rsidP="00565388">
            <w:pPr>
              <w:rPr>
                <w:rFonts w:eastAsia="Times New Roman"/>
                <w:bCs/>
                <w:color w:val="000000"/>
                <w:sz w:val="20"/>
                <w:szCs w:val="20"/>
              </w:rPr>
            </w:pPr>
            <w:r w:rsidRPr="00565388">
              <w:rPr>
                <w:rFonts w:eastAsia="Times New Roman"/>
                <w:bCs/>
                <w:color w:val="000000"/>
                <w:sz w:val="20"/>
                <w:szCs w:val="20"/>
              </w:rPr>
              <w:t>Eurasian Development Bank</w:t>
            </w:r>
          </w:p>
        </w:tc>
        <w:tc>
          <w:tcPr>
            <w:tcW w:w="0" w:type="auto"/>
            <w:tcBorders>
              <w:top w:val="nil"/>
              <w:left w:val="nil"/>
              <w:bottom w:val="single" w:sz="8" w:space="0" w:color="auto"/>
              <w:right w:val="nil"/>
            </w:tcBorders>
            <w:shd w:val="clear" w:color="auto" w:fill="auto"/>
            <w:noWrap/>
            <w:vAlign w:val="center"/>
            <w:hideMark/>
          </w:tcPr>
          <w:p w14:paraId="2535D7B0"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1,000,000 </w:t>
            </w:r>
          </w:p>
        </w:tc>
        <w:tc>
          <w:tcPr>
            <w:tcW w:w="0" w:type="auto"/>
            <w:tcBorders>
              <w:top w:val="nil"/>
              <w:left w:val="single" w:sz="8" w:space="0" w:color="auto"/>
              <w:bottom w:val="single" w:sz="8" w:space="0" w:color="auto"/>
              <w:right w:val="nil"/>
            </w:tcBorders>
            <w:shd w:val="clear" w:color="auto" w:fill="auto"/>
            <w:noWrap/>
            <w:vAlign w:val="center"/>
            <w:hideMark/>
          </w:tcPr>
          <w:p w14:paraId="1DA03203"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5,000,000 </w:t>
            </w:r>
          </w:p>
        </w:tc>
        <w:tc>
          <w:tcPr>
            <w:tcW w:w="0" w:type="auto"/>
            <w:tcBorders>
              <w:top w:val="nil"/>
              <w:left w:val="single" w:sz="8" w:space="0" w:color="auto"/>
              <w:bottom w:val="single" w:sz="8" w:space="0" w:color="auto"/>
              <w:right w:val="nil"/>
            </w:tcBorders>
            <w:shd w:val="clear" w:color="auto" w:fill="auto"/>
            <w:noWrap/>
            <w:vAlign w:val="center"/>
            <w:hideMark/>
          </w:tcPr>
          <w:p w14:paraId="25AB63F9"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6,000,000 </w:t>
            </w:r>
          </w:p>
        </w:tc>
        <w:tc>
          <w:tcPr>
            <w:tcW w:w="0" w:type="auto"/>
            <w:tcBorders>
              <w:top w:val="nil"/>
              <w:left w:val="single" w:sz="8" w:space="0" w:color="auto"/>
              <w:bottom w:val="single" w:sz="8" w:space="0" w:color="auto"/>
              <w:right w:val="nil"/>
            </w:tcBorders>
            <w:shd w:val="clear" w:color="auto" w:fill="auto"/>
            <w:noWrap/>
            <w:vAlign w:val="center"/>
            <w:hideMark/>
          </w:tcPr>
          <w:p w14:paraId="3B271ADA"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9,000,000 </w:t>
            </w:r>
          </w:p>
        </w:tc>
        <w:tc>
          <w:tcPr>
            <w:tcW w:w="0" w:type="auto"/>
            <w:tcBorders>
              <w:top w:val="nil"/>
              <w:left w:val="single" w:sz="8" w:space="0" w:color="auto"/>
              <w:bottom w:val="single" w:sz="8" w:space="0" w:color="auto"/>
              <w:right w:val="nil"/>
            </w:tcBorders>
            <w:shd w:val="clear" w:color="auto" w:fill="auto"/>
            <w:noWrap/>
            <w:vAlign w:val="center"/>
            <w:hideMark/>
          </w:tcPr>
          <w:p w14:paraId="663DFD67"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9,000,000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32F3AF2"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30,000,000 </w:t>
            </w:r>
          </w:p>
        </w:tc>
      </w:tr>
      <w:tr w:rsidR="0077541B" w:rsidRPr="00565388" w14:paraId="5C657ECA" w14:textId="77777777" w:rsidTr="00565388">
        <w:trPr>
          <w:trHeight w:val="340"/>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23B829" w14:textId="77777777" w:rsidR="0077541B" w:rsidRPr="00565388" w:rsidRDefault="0077541B" w:rsidP="00565388">
            <w:pPr>
              <w:rPr>
                <w:rFonts w:eastAsia="Times New Roman"/>
                <w:bCs/>
                <w:color w:val="000000"/>
                <w:sz w:val="20"/>
                <w:szCs w:val="20"/>
              </w:rPr>
            </w:pPr>
            <w:r w:rsidRPr="00565388">
              <w:rPr>
                <w:rFonts w:eastAsia="Times New Roman"/>
                <w:bCs/>
                <w:color w:val="000000"/>
                <w:sz w:val="20"/>
                <w:szCs w:val="20"/>
              </w:rPr>
              <w:t>Ergonomika Ltd</w:t>
            </w:r>
          </w:p>
        </w:tc>
        <w:tc>
          <w:tcPr>
            <w:tcW w:w="0" w:type="auto"/>
            <w:tcBorders>
              <w:top w:val="nil"/>
              <w:left w:val="nil"/>
              <w:bottom w:val="single" w:sz="8" w:space="0" w:color="auto"/>
              <w:right w:val="nil"/>
            </w:tcBorders>
            <w:shd w:val="clear" w:color="auto" w:fill="auto"/>
            <w:noWrap/>
            <w:vAlign w:val="center"/>
            <w:hideMark/>
          </w:tcPr>
          <w:p w14:paraId="785CDE39"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150,000 </w:t>
            </w:r>
          </w:p>
        </w:tc>
        <w:tc>
          <w:tcPr>
            <w:tcW w:w="0" w:type="auto"/>
            <w:tcBorders>
              <w:top w:val="nil"/>
              <w:left w:val="single" w:sz="8" w:space="0" w:color="auto"/>
              <w:bottom w:val="single" w:sz="8" w:space="0" w:color="auto"/>
              <w:right w:val="nil"/>
            </w:tcBorders>
            <w:shd w:val="clear" w:color="auto" w:fill="auto"/>
            <w:noWrap/>
            <w:vAlign w:val="center"/>
            <w:hideMark/>
          </w:tcPr>
          <w:p w14:paraId="1DC62F0A"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300,000 </w:t>
            </w:r>
          </w:p>
        </w:tc>
        <w:tc>
          <w:tcPr>
            <w:tcW w:w="0" w:type="auto"/>
            <w:tcBorders>
              <w:top w:val="nil"/>
              <w:left w:val="single" w:sz="8" w:space="0" w:color="auto"/>
              <w:bottom w:val="single" w:sz="8" w:space="0" w:color="auto"/>
              <w:right w:val="nil"/>
            </w:tcBorders>
            <w:shd w:val="clear" w:color="auto" w:fill="auto"/>
            <w:noWrap/>
            <w:vAlign w:val="center"/>
            <w:hideMark/>
          </w:tcPr>
          <w:p w14:paraId="57074FB3"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300,000 </w:t>
            </w:r>
          </w:p>
        </w:tc>
        <w:tc>
          <w:tcPr>
            <w:tcW w:w="0" w:type="auto"/>
            <w:tcBorders>
              <w:top w:val="nil"/>
              <w:left w:val="single" w:sz="8" w:space="0" w:color="auto"/>
              <w:bottom w:val="single" w:sz="8" w:space="0" w:color="auto"/>
              <w:right w:val="nil"/>
            </w:tcBorders>
            <w:shd w:val="clear" w:color="auto" w:fill="auto"/>
            <w:noWrap/>
            <w:vAlign w:val="center"/>
            <w:hideMark/>
          </w:tcPr>
          <w:p w14:paraId="4E89614A"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350,000 </w:t>
            </w:r>
          </w:p>
        </w:tc>
        <w:tc>
          <w:tcPr>
            <w:tcW w:w="0" w:type="auto"/>
            <w:tcBorders>
              <w:top w:val="nil"/>
              <w:left w:val="single" w:sz="8" w:space="0" w:color="auto"/>
              <w:bottom w:val="single" w:sz="8" w:space="0" w:color="auto"/>
              <w:right w:val="nil"/>
            </w:tcBorders>
            <w:shd w:val="clear" w:color="auto" w:fill="auto"/>
            <w:noWrap/>
            <w:vAlign w:val="center"/>
            <w:hideMark/>
          </w:tcPr>
          <w:p w14:paraId="076636DE"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400,000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7539419"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1,500,000 </w:t>
            </w:r>
          </w:p>
        </w:tc>
      </w:tr>
      <w:tr w:rsidR="0077541B" w:rsidRPr="00565388" w14:paraId="4152BE77" w14:textId="77777777" w:rsidTr="00565388">
        <w:trPr>
          <w:trHeight w:val="340"/>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BDE107" w14:textId="77777777" w:rsidR="0077541B" w:rsidRPr="00565388" w:rsidRDefault="0077541B" w:rsidP="00565388">
            <w:pPr>
              <w:rPr>
                <w:rFonts w:eastAsia="Times New Roman"/>
                <w:bCs/>
                <w:color w:val="000000"/>
                <w:sz w:val="20"/>
                <w:szCs w:val="20"/>
              </w:rPr>
            </w:pPr>
            <w:r w:rsidRPr="00565388">
              <w:rPr>
                <w:rFonts w:eastAsia="Times New Roman"/>
                <w:bCs/>
                <w:color w:val="000000"/>
                <w:sz w:val="20"/>
                <w:szCs w:val="20"/>
              </w:rPr>
              <w:t>JSC ProEco</w:t>
            </w:r>
          </w:p>
        </w:tc>
        <w:tc>
          <w:tcPr>
            <w:tcW w:w="0" w:type="auto"/>
            <w:tcBorders>
              <w:top w:val="nil"/>
              <w:left w:val="nil"/>
              <w:bottom w:val="single" w:sz="8" w:space="0" w:color="auto"/>
              <w:right w:val="nil"/>
            </w:tcBorders>
            <w:shd w:val="clear" w:color="auto" w:fill="auto"/>
            <w:noWrap/>
            <w:vAlign w:val="center"/>
            <w:hideMark/>
          </w:tcPr>
          <w:p w14:paraId="5B6E949F"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120,000 </w:t>
            </w:r>
          </w:p>
        </w:tc>
        <w:tc>
          <w:tcPr>
            <w:tcW w:w="0" w:type="auto"/>
            <w:tcBorders>
              <w:top w:val="nil"/>
              <w:left w:val="single" w:sz="8" w:space="0" w:color="auto"/>
              <w:bottom w:val="single" w:sz="8" w:space="0" w:color="auto"/>
              <w:right w:val="nil"/>
            </w:tcBorders>
            <w:shd w:val="clear" w:color="auto" w:fill="auto"/>
            <w:noWrap/>
            <w:vAlign w:val="center"/>
            <w:hideMark/>
          </w:tcPr>
          <w:p w14:paraId="3C4871C0"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240,000 </w:t>
            </w:r>
          </w:p>
        </w:tc>
        <w:tc>
          <w:tcPr>
            <w:tcW w:w="0" w:type="auto"/>
            <w:tcBorders>
              <w:top w:val="nil"/>
              <w:left w:val="single" w:sz="8" w:space="0" w:color="auto"/>
              <w:bottom w:val="single" w:sz="8" w:space="0" w:color="auto"/>
              <w:right w:val="nil"/>
            </w:tcBorders>
            <w:shd w:val="clear" w:color="auto" w:fill="auto"/>
            <w:noWrap/>
            <w:vAlign w:val="center"/>
            <w:hideMark/>
          </w:tcPr>
          <w:p w14:paraId="4240B25C"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200,000 </w:t>
            </w:r>
          </w:p>
        </w:tc>
        <w:tc>
          <w:tcPr>
            <w:tcW w:w="0" w:type="auto"/>
            <w:tcBorders>
              <w:top w:val="nil"/>
              <w:left w:val="single" w:sz="8" w:space="0" w:color="auto"/>
              <w:bottom w:val="single" w:sz="8" w:space="0" w:color="auto"/>
              <w:right w:val="nil"/>
            </w:tcBorders>
            <w:shd w:val="clear" w:color="auto" w:fill="auto"/>
            <w:noWrap/>
            <w:vAlign w:val="center"/>
            <w:hideMark/>
          </w:tcPr>
          <w:p w14:paraId="47074492"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160,000 </w:t>
            </w:r>
          </w:p>
        </w:tc>
        <w:tc>
          <w:tcPr>
            <w:tcW w:w="0" w:type="auto"/>
            <w:tcBorders>
              <w:top w:val="nil"/>
              <w:left w:val="single" w:sz="8" w:space="0" w:color="auto"/>
              <w:bottom w:val="single" w:sz="8" w:space="0" w:color="auto"/>
              <w:right w:val="nil"/>
            </w:tcBorders>
            <w:shd w:val="clear" w:color="auto" w:fill="auto"/>
            <w:noWrap/>
            <w:vAlign w:val="center"/>
            <w:hideMark/>
          </w:tcPr>
          <w:p w14:paraId="7CDE6403"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80,000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AFB229"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800,000 </w:t>
            </w:r>
          </w:p>
        </w:tc>
      </w:tr>
      <w:tr w:rsidR="0077541B" w:rsidRPr="00565388" w14:paraId="130D8C6B" w14:textId="77777777" w:rsidTr="00565388">
        <w:trPr>
          <w:trHeight w:val="340"/>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61A08B" w14:textId="77777777" w:rsidR="0077541B" w:rsidRPr="00565388" w:rsidRDefault="0077541B" w:rsidP="00565388">
            <w:pPr>
              <w:rPr>
                <w:rFonts w:eastAsia="Times New Roman"/>
                <w:bCs/>
                <w:color w:val="000000"/>
                <w:sz w:val="20"/>
                <w:szCs w:val="20"/>
              </w:rPr>
            </w:pPr>
            <w:r w:rsidRPr="00565388">
              <w:rPr>
                <w:rFonts w:eastAsia="Times New Roman"/>
                <w:bCs/>
                <w:color w:val="000000"/>
                <w:sz w:val="20"/>
                <w:szCs w:val="20"/>
              </w:rPr>
              <w:t>JSC Astana Solar</w:t>
            </w:r>
          </w:p>
        </w:tc>
        <w:tc>
          <w:tcPr>
            <w:tcW w:w="0" w:type="auto"/>
            <w:tcBorders>
              <w:top w:val="nil"/>
              <w:left w:val="nil"/>
              <w:bottom w:val="single" w:sz="8" w:space="0" w:color="auto"/>
              <w:right w:val="nil"/>
            </w:tcBorders>
            <w:shd w:val="clear" w:color="auto" w:fill="auto"/>
            <w:noWrap/>
            <w:vAlign w:val="center"/>
            <w:hideMark/>
          </w:tcPr>
          <w:p w14:paraId="2258A8A6"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2,500,000 </w:t>
            </w:r>
          </w:p>
        </w:tc>
        <w:tc>
          <w:tcPr>
            <w:tcW w:w="0" w:type="auto"/>
            <w:tcBorders>
              <w:top w:val="nil"/>
              <w:left w:val="single" w:sz="8" w:space="0" w:color="auto"/>
              <w:bottom w:val="single" w:sz="8" w:space="0" w:color="auto"/>
              <w:right w:val="nil"/>
            </w:tcBorders>
            <w:shd w:val="clear" w:color="auto" w:fill="auto"/>
            <w:noWrap/>
            <w:vAlign w:val="center"/>
            <w:hideMark/>
          </w:tcPr>
          <w:p w14:paraId="3E4AABF7"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2,500,000 </w:t>
            </w:r>
          </w:p>
        </w:tc>
        <w:tc>
          <w:tcPr>
            <w:tcW w:w="0" w:type="auto"/>
            <w:tcBorders>
              <w:top w:val="nil"/>
              <w:left w:val="single" w:sz="8" w:space="0" w:color="auto"/>
              <w:bottom w:val="single" w:sz="8" w:space="0" w:color="auto"/>
              <w:right w:val="nil"/>
            </w:tcBorders>
            <w:shd w:val="clear" w:color="auto" w:fill="auto"/>
            <w:noWrap/>
            <w:vAlign w:val="center"/>
            <w:hideMark/>
          </w:tcPr>
          <w:p w14:paraId="51B3FD65"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3,000,000 </w:t>
            </w:r>
          </w:p>
        </w:tc>
        <w:tc>
          <w:tcPr>
            <w:tcW w:w="0" w:type="auto"/>
            <w:tcBorders>
              <w:top w:val="nil"/>
              <w:left w:val="single" w:sz="8" w:space="0" w:color="auto"/>
              <w:bottom w:val="single" w:sz="8" w:space="0" w:color="auto"/>
              <w:right w:val="nil"/>
            </w:tcBorders>
            <w:shd w:val="clear" w:color="auto" w:fill="auto"/>
            <w:noWrap/>
            <w:vAlign w:val="center"/>
            <w:hideMark/>
          </w:tcPr>
          <w:p w14:paraId="010CDD4B"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3,000,000 </w:t>
            </w:r>
          </w:p>
        </w:tc>
        <w:tc>
          <w:tcPr>
            <w:tcW w:w="0" w:type="auto"/>
            <w:tcBorders>
              <w:top w:val="nil"/>
              <w:left w:val="single" w:sz="8" w:space="0" w:color="auto"/>
              <w:bottom w:val="single" w:sz="8" w:space="0" w:color="auto"/>
              <w:right w:val="nil"/>
            </w:tcBorders>
            <w:shd w:val="clear" w:color="auto" w:fill="auto"/>
            <w:noWrap/>
            <w:vAlign w:val="center"/>
            <w:hideMark/>
          </w:tcPr>
          <w:p w14:paraId="6592324D"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2,960,000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4A0ACAF"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13,960,000 </w:t>
            </w:r>
          </w:p>
        </w:tc>
      </w:tr>
      <w:tr w:rsidR="0077541B" w:rsidRPr="00565388" w14:paraId="4135CE61" w14:textId="77777777" w:rsidTr="00565388">
        <w:trPr>
          <w:trHeight w:val="340"/>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D0AC5B" w14:textId="77777777" w:rsidR="0077541B" w:rsidRPr="00565388" w:rsidRDefault="0077541B" w:rsidP="00565388">
            <w:pPr>
              <w:rPr>
                <w:rFonts w:eastAsia="Times New Roman"/>
                <w:bCs/>
                <w:color w:val="000000"/>
                <w:sz w:val="20"/>
                <w:szCs w:val="20"/>
              </w:rPr>
            </w:pPr>
            <w:r w:rsidRPr="00565388">
              <w:rPr>
                <w:rFonts w:eastAsia="Times New Roman"/>
                <w:bCs/>
                <w:color w:val="000000"/>
                <w:sz w:val="20"/>
                <w:szCs w:val="20"/>
              </w:rPr>
              <w:t>Nazarbaev University (Kuntech)</w:t>
            </w:r>
          </w:p>
        </w:tc>
        <w:tc>
          <w:tcPr>
            <w:tcW w:w="0" w:type="auto"/>
            <w:tcBorders>
              <w:top w:val="nil"/>
              <w:left w:val="nil"/>
              <w:bottom w:val="single" w:sz="8" w:space="0" w:color="auto"/>
              <w:right w:val="nil"/>
            </w:tcBorders>
            <w:shd w:val="clear" w:color="auto" w:fill="auto"/>
            <w:noWrap/>
            <w:vAlign w:val="center"/>
            <w:hideMark/>
          </w:tcPr>
          <w:p w14:paraId="2570DD7A"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50,000 </w:t>
            </w:r>
          </w:p>
        </w:tc>
        <w:tc>
          <w:tcPr>
            <w:tcW w:w="0" w:type="auto"/>
            <w:tcBorders>
              <w:top w:val="nil"/>
              <w:left w:val="single" w:sz="8" w:space="0" w:color="auto"/>
              <w:bottom w:val="single" w:sz="8" w:space="0" w:color="auto"/>
              <w:right w:val="nil"/>
            </w:tcBorders>
            <w:shd w:val="clear" w:color="auto" w:fill="auto"/>
            <w:noWrap/>
            <w:vAlign w:val="center"/>
            <w:hideMark/>
          </w:tcPr>
          <w:p w14:paraId="75ED508F"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80,000 </w:t>
            </w:r>
          </w:p>
        </w:tc>
        <w:tc>
          <w:tcPr>
            <w:tcW w:w="0" w:type="auto"/>
            <w:tcBorders>
              <w:top w:val="nil"/>
              <w:left w:val="single" w:sz="8" w:space="0" w:color="auto"/>
              <w:bottom w:val="single" w:sz="8" w:space="0" w:color="auto"/>
              <w:right w:val="nil"/>
            </w:tcBorders>
            <w:shd w:val="clear" w:color="auto" w:fill="auto"/>
            <w:noWrap/>
            <w:vAlign w:val="center"/>
            <w:hideMark/>
          </w:tcPr>
          <w:p w14:paraId="2C38637B"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70,000 </w:t>
            </w:r>
          </w:p>
        </w:tc>
        <w:tc>
          <w:tcPr>
            <w:tcW w:w="0" w:type="auto"/>
            <w:tcBorders>
              <w:top w:val="nil"/>
              <w:left w:val="single" w:sz="8" w:space="0" w:color="auto"/>
              <w:bottom w:val="single" w:sz="8" w:space="0" w:color="auto"/>
              <w:right w:val="nil"/>
            </w:tcBorders>
            <w:shd w:val="clear" w:color="auto" w:fill="auto"/>
            <w:noWrap/>
            <w:vAlign w:val="center"/>
            <w:hideMark/>
          </w:tcPr>
          <w:p w14:paraId="0A4D1DF5"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60,000 </w:t>
            </w:r>
          </w:p>
        </w:tc>
        <w:tc>
          <w:tcPr>
            <w:tcW w:w="0" w:type="auto"/>
            <w:tcBorders>
              <w:top w:val="nil"/>
              <w:left w:val="single" w:sz="8" w:space="0" w:color="auto"/>
              <w:bottom w:val="single" w:sz="8" w:space="0" w:color="auto"/>
              <w:right w:val="nil"/>
            </w:tcBorders>
            <w:shd w:val="clear" w:color="auto" w:fill="auto"/>
            <w:noWrap/>
            <w:vAlign w:val="center"/>
            <w:hideMark/>
          </w:tcPr>
          <w:p w14:paraId="4B83034A"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40,000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C220C10"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300,000 </w:t>
            </w:r>
          </w:p>
        </w:tc>
      </w:tr>
      <w:tr w:rsidR="0077541B" w:rsidRPr="00565388" w14:paraId="6FD14594" w14:textId="77777777" w:rsidTr="00565388">
        <w:trPr>
          <w:trHeight w:val="340"/>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83B2FC9" w14:textId="77777777" w:rsidR="0077541B" w:rsidRPr="00565388" w:rsidRDefault="0077541B" w:rsidP="00565388">
            <w:pPr>
              <w:rPr>
                <w:rFonts w:eastAsia="Times New Roman"/>
                <w:bCs/>
                <w:color w:val="000000"/>
                <w:sz w:val="20"/>
                <w:szCs w:val="20"/>
              </w:rPr>
            </w:pPr>
            <w:r w:rsidRPr="00565388">
              <w:rPr>
                <w:rFonts w:eastAsia="Times New Roman"/>
                <w:bCs/>
                <w:color w:val="000000"/>
                <w:sz w:val="20"/>
                <w:szCs w:val="20"/>
              </w:rPr>
              <w:t>KazGBC</w:t>
            </w:r>
          </w:p>
        </w:tc>
        <w:tc>
          <w:tcPr>
            <w:tcW w:w="0" w:type="auto"/>
            <w:tcBorders>
              <w:top w:val="nil"/>
              <w:left w:val="nil"/>
              <w:bottom w:val="single" w:sz="8" w:space="0" w:color="auto"/>
              <w:right w:val="nil"/>
            </w:tcBorders>
            <w:shd w:val="clear" w:color="auto" w:fill="auto"/>
            <w:noWrap/>
            <w:vAlign w:val="center"/>
            <w:hideMark/>
          </w:tcPr>
          <w:p w14:paraId="21A515FA"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40,000 </w:t>
            </w:r>
          </w:p>
        </w:tc>
        <w:tc>
          <w:tcPr>
            <w:tcW w:w="0" w:type="auto"/>
            <w:tcBorders>
              <w:top w:val="nil"/>
              <w:left w:val="single" w:sz="8" w:space="0" w:color="auto"/>
              <w:bottom w:val="single" w:sz="8" w:space="0" w:color="auto"/>
              <w:right w:val="nil"/>
            </w:tcBorders>
            <w:shd w:val="clear" w:color="auto" w:fill="auto"/>
            <w:noWrap/>
            <w:vAlign w:val="center"/>
            <w:hideMark/>
          </w:tcPr>
          <w:p w14:paraId="5548D722"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85,000 </w:t>
            </w:r>
          </w:p>
        </w:tc>
        <w:tc>
          <w:tcPr>
            <w:tcW w:w="0" w:type="auto"/>
            <w:tcBorders>
              <w:top w:val="nil"/>
              <w:left w:val="single" w:sz="8" w:space="0" w:color="auto"/>
              <w:bottom w:val="single" w:sz="8" w:space="0" w:color="auto"/>
              <w:right w:val="nil"/>
            </w:tcBorders>
            <w:shd w:val="clear" w:color="auto" w:fill="auto"/>
            <w:noWrap/>
            <w:vAlign w:val="center"/>
            <w:hideMark/>
          </w:tcPr>
          <w:p w14:paraId="66721FD9"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75,000 </w:t>
            </w:r>
          </w:p>
        </w:tc>
        <w:tc>
          <w:tcPr>
            <w:tcW w:w="0" w:type="auto"/>
            <w:tcBorders>
              <w:top w:val="nil"/>
              <w:left w:val="single" w:sz="8" w:space="0" w:color="auto"/>
              <w:bottom w:val="single" w:sz="8" w:space="0" w:color="auto"/>
              <w:right w:val="nil"/>
            </w:tcBorders>
            <w:shd w:val="clear" w:color="auto" w:fill="auto"/>
            <w:noWrap/>
            <w:vAlign w:val="center"/>
            <w:hideMark/>
          </w:tcPr>
          <w:p w14:paraId="433CA245"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70,000 </w:t>
            </w:r>
          </w:p>
        </w:tc>
        <w:tc>
          <w:tcPr>
            <w:tcW w:w="0" w:type="auto"/>
            <w:tcBorders>
              <w:top w:val="nil"/>
              <w:left w:val="single" w:sz="8" w:space="0" w:color="auto"/>
              <w:bottom w:val="single" w:sz="8" w:space="0" w:color="auto"/>
              <w:right w:val="nil"/>
            </w:tcBorders>
            <w:shd w:val="clear" w:color="auto" w:fill="auto"/>
            <w:noWrap/>
            <w:vAlign w:val="center"/>
            <w:hideMark/>
          </w:tcPr>
          <w:p w14:paraId="082A1420"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30,000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52C80C"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300,000 </w:t>
            </w:r>
          </w:p>
        </w:tc>
      </w:tr>
      <w:tr w:rsidR="0077541B" w:rsidRPr="00565388" w14:paraId="4DFE2EA4" w14:textId="77777777" w:rsidTr="00565388">
        <w:trPr>
          <w:trHeight w:val="340"/>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673B12" w14:textId="77777777" w:rsidR="0077541B" w:rsidRPr="00565388" w:rsidRDefault="0077541B" w:rsidP="00565388">
            <w:pPr>
              <w:rPr>
                <w:rFonts w:eastAsia="Times New Roman"/>
                <w:bCs/>
                <w:color w:val="000000"/>
                <w:sz w:val="20"/>
                <w:szCs w:val="20"/>
              </w:rPr>
            </w:pPr>
            <w:r w:rsidRPr="00565388">
              <w:rPr>
                <w:rFonts w:eastAsia="Times New Roman"/>
                <w:bCs/>
                <w:color w:val="000000"/>
                <w:sz w:val="20"/>
                <w:szCs w:val="20"/>
              </w:rPr>
              <w:t>Enkom ST LLP</w:t>
            </w:r>
          </w:p>
        </w:tc>
        <w:tc>
          <w:tcPr>
            <w:tcW w:w="0" w:type="auto"/>
            <w:tcBorders>
              <w:top w:val="nil"/>
              <w:left w:val="nil"/>
              <w:bottom w:val="single" w:sz="8" w:space="0" w:color="auto"/>
              <w:right w:val="nil"/>
            </w:tcBorders>
            <w:shd w:val="clear" w:color="auto" w:fill="auto"/>
            <w:noWrap/>
            <w:vAlign w:val="center"/>
            <w:hideMark/>
          </w:tcPr>
          <w:p w14:paraId="75520890"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100,000 </w:t>
            </w:r>
          </w:p>
        </w:tc>
        <w:tc>
          <w:tcPr>
            <w:tcW w:w="0" w:type="auto"/>
            <w:tcBorders>
              <w:top w:val="nil"/>
              <w:left w:val="single" w:sz="8" w:space="0" w:color="auto"/>
              <w:bottom w:val="single" w:sz="8" w:space="0" w:color="auto"/>
              <w:right w:val="nil"/>
            </w:tcBorders>
            <w:shd w:val="clear" w:color="auto" w:fill="auto"/>
            <w:noWrap/>
            <w:vAlign w:val="center"/>
            <w:hideMark/>
          </w:tcPr>
          <w:p w14:paraId="671F7326"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200,000 </w:t>
            </w:r>
          </w:p>
        </w:tc>
        <w:tc>
          <w:tcPr>
            <w:tcW w:w="0" w:type="auto"/>
            <w:tcBorders>
              <w:top w:val="nil"/>
              <w:left w:val="single" w:sz="8" w:space="0" w:color="auto"/>
              <w:bottom w:val="single" w:sz="8" w:space="0" w:color="auto"/>
              <w:right w:val="nil"/>
            </w:tcBorders>
            <w:shd w:val="clear" w:color="auto" w:fill="auto"/>
            <w:noWrap/>
            <w:vAlign w:val="center"/>
            <w:hideMark/>
          </w:tcPr>
          <w:p w14:paraId="3C9155F1"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260,000 </w:t>
            </w:r>
          </w:p>
        </w:tc>
        <w:tc>
          <w:tcPr>
            <w:tcW w:w="0" w:type="auto"/>
            <w:tcBorders>
              <w:top w:val="nil"/>
              <w:left w:val="single" w:sz="8" w:space="0" w:color="auto"/>
              <w:bottom w:val="single" w:sz="8" w:space="0" w:color="auto"/>
              <w:right w:val="nil"/>
            </w:tcBorders>
            <w:shd w:val="clear" w:color="auto" w:fill="auto"/>
            <w:noWrap/>
            <w:vAlign w:val="center"/>
            <w:hideMark/>
          </w:tcPr>
          <w:p w14:paraId="2E9ACFED"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160,000 </w:t>
            </w:r>
          </w:p>
        </w:tc>
        <w:tc>
          <w:tcPr>
            <w:tcW w:w="0" w:type="auto"/>
            <w:tcBorders>
              <w:top w:val="nil"/>
              <w:left w:val="single" w:sz="8" w:space="0" w:color="auto"/>
              <w:bottom w:val="single" w:sz="8" w:space="0" w:color="auto"/>
              <w:right w:val="nil"/>
            </w:tcBorders>
            <w:shd w:val="clear" w:color="auto" w:fill="auto"/>
            <w:noWrap/>
            <w:vAlign w:val="center"/>
            <w:hideMark/>
          </w:tcPr>
          <w:p w14:paraId="0427749E"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80,000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8B189BE" w14:textId="77777777" w:rsidR="0077541B" w:rsidRPr="00565388" w:rsidRDefault="0077541B">
            <w:pPr>
              <w:jc w:val="center"/>
              <w:rPr>
                <w:rFonts w:eastAsia="Times New Roman"/>
                <w:color w:val="000000"/>
                <w:sz w:val="20"/>
                <w:szCs w:val="20"/>
              </w:rPr>
            </w:pPr>
            <w:r w:rsidRPr="00565388">
              <w:rPr>
                <w:rFonts w:eastAsia="Times New Roman"/>
                <w:color w:val="000000"/>
                <w:sz w:val="20"/>
                <w:szCs w:val="20"/>
              </w:rPr>
              <w:t xml:space="preserve"> 800,000 </w:t>
            </w:r>
          </w:p>
        </w:tc>
      </w:tr>
      <w:tr w:rsidR="00C40593" w:rsidRPr="00565388" w14:paraId="272FDC43" w14:textId="77777777" w:rsidTr="00C40593">
        <w:trPr>
          <w:trHeight w:val="340"/>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B5023B8" w14:textId="77777777" w:rsidR="00C40593" w:rsidRPr="00565388" w:rsidRDefault="00C40593">
            <w:pPr>
              <w:jc w:val="right"/>
              <w:rPr>
                <w:rFonts w:eastAsia="Times New Roman"/>
                <w:b/>
                <w:bCs/>
                <w:color w:val="000000"/>
                <w:sz w:val="20"/>
                <w:szCs w:val="20"/>
              </w:rPr>
            </w:pPr>
            <w:r w:rsidRPr="00565388">
              <w:rPr>
                <w:rFonts w:eastAsia="Times New Roman"/>
                <w:b/>
                <w:bCs/>
                <w:color w:val="000000"/>
                <w:sz w:val="20"/>
                <w:szCs w:val="20"/>
              </w:rPr>
              <w:t>TOTAL</w:t>
            </w:r>
          </w:p>
        </w:tc>
        <w:tc>
          <w:tcPr>
            <w:tcW w:w="0" w:type="auto"/>
            <w:tcBorders>
              <w:top w:val="nil"/>
              <w:left w:val="nil"/>
              <w:bottom w:val="single" w:sz="8" w:space="0" w:color="auto"/>
              <w:right w:val="nil"/>
            </w:tcBorders>
            <w:shd w:val="clear" w:color="auto" w:fill="auto"/>
            <w:noWrap/>
            <w:vAlign w:val="center"/>
            <w:hideMark/>
          </w:tcPr>
          <w:p w14:paraId="3C771107" w14:textId="77777777" w:rsidR="00C40593" w:rsidRPr="00565388" w:rsidRDefault="00C40593">
            <w:pPr>
              <w:jc w:val="center"/>
              <w:rPr>
                <w:rFonts w:eastAsia="Times New Roman"/>
                <w:color w:val="000000"/>
                <w:sz w:val="20"/>
                <w:szCs w:val="20"/>
              </w:rPr>
            </w:pPr>
            <w:r>
              <w:rPr>
                <w:rFonts w:eastAsia="Times New Roman"/>
                <w:color w:val="000000"/>
                <w:sz w:val="18"/>
                <w:szCs w:val="18"/>
              </w:rPr>
              <w:t xml:space="preserve"> 4,573,500 </w:t>
            </w:r>
          </w:p>
        </w:tc>
        <w:tc>
          <w:tcPr>
            <w:tcW w:w="0" w:type="auto"/>
            <w:tcBorders>
              <w:top w:val="nil"/>
              <w:left w:val="single" w:sz="8" w:space="0" w:color="auto"/>
              <w:bottom w:val="single" w:sz="8" w:space="0" w:color="auto"/>
              <w:right w:val="nil"/>
            </w:tcBorders>
            <w:shd w:val="clear" w:color="auto" w:fill="auto"/>
            <w:noWrap/>
            <w:vAlign w:val="center"/>
            <w:hideMark/>
          </w:tcPr>
          <w:p w14:paraId="3ED50273" w14:textId="77777777" w:rsidR="00C40593" w:rsidRPr="00565388" w:rsidRDefault="00C40593">
            <w:pPr>
              <w:jc w:val="center"/>
              <w:rPr>
                <w:rFonts w:eastAsia="Times New Roman"/>
                <w:color w:val="000000"/>
                <w:sz w:val="20"/>
                <w:szCs w:val="20"/>
              </w:rPr>
            </w:pPr>
            <w:r>
              <w:rPr>
                <w:rFonts w:eastAsia="Times New Roman"/>
                <w:color w:val="000000"/>
                <w:sz w:val="18"/>
                <w:szCs w:val="18"/>
              </w:rPr>
              <w:t xml:space="preserve"> 10,063,200 </w:t>
            </w:r>
          </w:p>
        </w:tc>
        <w:tc>
          <w:tcPr>
            <w:tcW w:w="0" w:type="auto"/>
            <w:tcBorders>
              <w:top w:val="nil"/>
              <w:left w:val="single" w:sz="8" w:space="0" w:color="auto"/>
              <w:bottom w:val="single" w:sz="8" w:space="0" w:color="auto"/>
              <w:right w:val="nil"/>
            </w:tcBorders>
            <w:shd w:val="clear" w:color="auto" w:fill="auto"/>
            <w:noWrap/>
            <w:vAlign w:val="center"/>
            <w:hideMark/>
          </w:tcPr>
          <w:p w14:paraId="0CCBC581" w14:textId="77777777" w:rsidR="00C40593" w:rsidRPr="00565388" w:rsidRDefault="00C40593">
            <w:pPr>
              <w:jc w:val="center"/>
              <w:rPr>
                <w:rFonts w:eastAsia="Times New Roman"/>
                <w:color w:val="000000"/>
                <w:sz w:val="20"/>
                <w:szCs w:val="20"/>
              </w:rPr>
            </w:pPr>
            <w:r>
              <w:rPr>
                <w:rFonts w:eastAsia="Times New Roman"/>
                <w:color w:val="000000"/>
                <w:sz w:val="18"/>
                <w:szCs w:val="18"/>
              </w:rPr>
              <w:t xml:space="preserve"> 12,218,700 </w:t>
            </w:r>
          </w:p>
        </w:tc>
        <w:tc>
          <w:tcPr>
            <w:tcW w:w="0" w:type="auto"/>
            <w:tcBorders>
              <w:top w:val="nil"/>
              <w:left w:val="single" w:sz="8" w:space="0" w:color="auto"/>
              <w:bottom w:val="single" w:sz="8" w:space="0" w:color="auto"/>
              <w:right w:val="nil"/>
            </w:tcBorders>
            <w:shd w:val="clear" w:color="auto" w:fill="auto"/>
            <w:noWrap/>
            <w:vAlign w:val="center"/>
            <w:hideMark/>
          </w:tcPr>
          <w:p w14:paraId="0064A389" w14:textId="77777777" w:rsidR="00C40593" w:rsidRPr="00565388" w:rsidRDefault="00C40593">
            <w:pPr>
              <w:jc w:val="center"/>
              <w:rPr>
                <w:rFonts w:eastAsia="Times New Roman"/>
                <w:color w:val="000000"/>
                <w:sz w:val="20"/>
                <w:szCs w:val="20"/>
              </w:rPr>
            </w:pPr>
            <w:r>
              <w:rPr>
                <w:rFonts w:eastAsia="Times New Roman"/>
                <w:color w:val="000000"/>
                <w:sz w:val="18"/>
                <w:szCs w:val="18"/>
              </w:rPr>
              <w:t xml:space="preserve"> 14,615,500 </w:t>
            </w:r>
          </w:p>
        </w:tc>
        <w:tc>
          <w:tcPr>
            <w:tcW w:w="0" w:type="auto"/>
            <w:tcBorders>
              <w:top w:val="nil"/>
              <w:left w:val="single" w:sz="8" w:space="0" w:color="auto"/>
              <w:bottom w:val="single" w:sz="8" w:space="0" w:color="auto"/>
              <w:right w:val="nil"/>
            </w:tcBorders>
            <w:shd w:val="clear" w:color="auto" w:fill="auto"/>
            <w:noWrap/>
            <w:vAlign w:val="center"/>
            <w:hideMark/>
          </w:tcPr>
          <w:p w14:paraId="2FE25EB1" w14:textId="77777777" w:rsidR="00C40593" w:rsidRPr="00565388" w:rsidRDefault="00C40593">
            <w:pPr>
              <w:jc w:val="center"/>
              <w:rPr>
                <w:rFonts w:eastAsia="Times New Roman"/>
                <w:color w:val="000000"/>
                <w:sz w:val="20"/>
                <w:szCs w:val="20"/>
              </w:rPr>
            </w:pPr>
            <w:r>
              <w:rPr>
                <w:rFonts w:eastAsia="Times New Roman"/>
                <w:color w:val="000000"/>
                <w:sz w:val="18"/>
                <w:szCs w:val="18"/>
              </w:rPr>
              <w:t xml:space="preserve"> 14,049,100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A576E51" w14:textId="77777777" w:rsidR="00C40593" w:rsidRPr="00565388" w:rsidRDefault="00C40593" w:rsidP="00C40593">
            <w:pPr>
              <w:jc w:val="center"/>
              <w:rPr>
                <w:rFonts w:eastAsia="Times New Roman"/>
                <w:color w:val="000000"/>
                <w:sz w:val="20"/>
                <w:szCs w:val="20"/>
              </w:rPr>
            </w:pPr>
            <w:r w:rsidRPr="00565388">
              <w:rPr>
                <w:rFonts w:eastAsia="Times New Roman"/>
                <w:color w:val="000000"/>
                <w:sz w:val="20"/>
                <w:szCs w:val="20"/>
              </w:rPr>
              <w:t>55,520,000</w:t>
            </w:r>
          </w:p>
        </w:tc>
      </w:tr>
    </w:tbl>
    <w:p w14:paraId="7221D113" w14:textId="77777777" w:rsidR="0077541B" w:rsidRDefault="0077541B" w:rsidP="00C658DC">
      <w:pPr>
        <w:rPr>
          <w:sz w:val="18"/>
          <w:szCs w:val="18"/>
        </w:rPr>
      </w:pPr>
    </w:p>
    <w:p w14:paraId="165EC4D5" w14:textId="77777777" w:rsidR="0077541B" w:rsidRDefault="0077541B" w:rsidP="00C658DC">
      <w:pPr>
        <w:rPr>
          <w:sz w:val="18"/>
          <w:szCs w:val="18"/>
        </w:rPr>
      </w:pPr>
    </w:p>
    <w:p w14:paraId="4CB1EDD4" w14:textId="77777777" w:rsidR="00C658DC" w:rsidRDefault="00C658DC" w:rsidP="00C658DC">
      <w:pPr>
        <w:rPr>
          <w:sz w:val="18"/>
          <w:szCs w:val="18"/>
        </w:rPr>
      </w:pPr>
    </w:p>
    <w:p w14:paraId="60FDBEAC" w14:textId="77777777" w:rsidR="003B18C4" w:rsidRDefault="003B18C4" w:rsidP="00C658DC"/>
    <w:p w14:paraId="0188B277" w14:textId="77777777" w:rsidR="003B18C4" w:rsidRDefault="003B18C4" w:rsidP="00C658DC"/>
    <w:p w14:paraId="74333ADF" w14:textId="77777777" w:rsidR="00A12502" w:rsidRDefault="00A12502" w:rsidP="00C658DC">
      <w:pPr>
        <w:sectPr w:rsidR="00A12502" w:rsidSect="00A12502">
          <w:footerReference w:type="default" r:id="rId40"/>
          <w:pgSz w:w="16820" w:h="11900" w:orient="landscape" w:code="1"/>
          <w:pgMar w:top="1440" w:right="1440" w:bottom="1440" w:left="1440" w:header="720" w:footer="720" w:gutter="0"/>
          <w:cols w:space="720"/>
          <w:docGrid w:linePitch="360"/>
        </w:sectPr>
      </w:pPr>
    </w:p>
    <w:p w14:paraId="6C666D54" w14:textId="77777777" w:rsidR="003E3ABA" w:rsidRPr="006004D1" w:rsidRDefault="003E3ABA" w:rsidP="003B2A79">
      <w:pPr>
        <w:pStyle w:val="1"/>
        <w:spacing w:before="0" w:after="60"/>
        <w:rPr>
          <w:rFonts w:ascii="Calibri" w:hAnsi="Calibri"/>
          <w:szCs w:val="28"/>
        </w:rPr>
      </w:pPr>
      <w:bookmarkStart w:id="101" w:name="_Toc476654626"/>
      <w:bookmarkStart w:id="102" w:name="_Toc476671242"/>
      <w:bookmarkStart w:id="103" w:name="_Toc476671319"/>
      <w:bookmarkStart w:id="104" w:name="_Toc476736668"/>
      <w:bookmarkStart w:id="105" w:name="_Toc476756178"/>
      <w:bookmarkStart w:id="106" w:name="_Toc476654627"/>
      <w:bookmarkStart w:id="107" w:name="_Toc476671243"/>
      <w:bookmarkStart w:id="108" w:name="_Toc476671320"/>
      <w:bookmarkStart w:id="109" w:name="_Toc476736669"/>
      <w:bookmarkStart w:id="110" w:name="_Toc476756179"/>
      <w:bookmarkStart w:id="111" w:name="_Toc479693889"/>
      <w:bookmarkEnd w:id="101"/>
      <w:bookmarkEnd w:id="102"/>
      <w:bookmarkEnd w:id="103"/>
      <w:bookmarkEnd w:id="104"/>
      <w:bookmarkEnd w:id="105"/>
      <w:bookmarkEnd w:id="106"/>
      <w:bookmarkEnd w:id="107"/>
      <w:bookmarkEnd w:id="108"/>
      <w:bookmarkEnd w:id="109"/>
      <w:bookmarkEnd w:id="110"/>
      <w:r w:rsidRPr="006004D1">
        <w:rPr>
          <w:rFonts w:ascii="Calibri" w:hAnsi="Calibri"/>
          <w:szCs w:val="28"/>
        </w:rPr>
        <w:t>Legal Context</w:t>
      </w:r>
      <w:bookmarkEnd w:id="111"/>
    </w:p>
    <w:p w14:paraId="307D1FAF" w14:textId="77777777" w:rsidR="0039021E" w:rsidRPr="00BA4C6A" w:rsidRDefault="0039021E" w:rsidP="0020322F">
      <w:pPr>
        <w:pStyle w:val="a7"/>
        <w:numPr>
          <w:ilvl w:val="0"/>
          <w:numId w:val="9"/>
        </w:numPr>
        <w:tabs>
          <w:tab w:val="clear" w:pos="4153"/>
          <w:tab w:val="clear" w:pos="8306"/>
          <w:tab w:val="left" w:pos="426"/>
        </w:tabs>
        <w:spacing w:after="120"/>
        <w:rPr>
          <w:szCs w:val="22"/>
        </w:rPr>
      </w:pPr>
      <w:r w:rsidRPr="00BA4C6A">
        <w:rPr>
          <w:szCs w:val="22"/>
        </w:rPr>
        <w:t>This document together with the CPAP signed by the Government and UNDP which is incorporated by reference constitute together a Project Document as referred to in the S</w:t>
      </w:r>
      <w:r w:rsidR="006C7B16">
        <w:rPr>
          <w:szCs w:val="22"/>
        </w:rPr>
        <w:t>tandard Basic Assistance Agreement (S</w:t>
      </w:r>
      <w:r w:rsidRPr="00BA4C6A">
        <w:rPr>
          <w:szCs w:val="22"/>
        </w:rPr>
        <w:t>BAA</w:t>
      </w:r>
      <w:r w:rsidR="006C7B16">
        <w:rPr>
          <w:szCs w:val="22"/>
        </w:rPr>
        <w:t>)</w:t>
      </w:r>
      <w:r w:rsidRPr="00BA4C6A">
        <w:rPr>
          <w:szCs w:val="22"/>
        </w:rPr>
        <w:t xml:space="preserve"> and all CPAP provisions apply to this document.</w:t>
      </w:r>
    </w:p>
    <w:p w14:paraId="4B355344" w14:textId="77777777" w:rsidR="00DE6CEC" w:rsidRPr="00272198" w:rsidRDefault="00DE6CEC" w:rsidP="0020322F">
      <w:pPr>
        <w:pStyle w:val="a7"/>
        <w:numPr>
          <w:ilvl w:val="0"/>
          <w:numId w:val="9"/>
        </w:numPr>
        <w:tabs>
          <w:tab w:val="clear" w:pos="4153"/>
          <w:tab w:val="clear" w:pos="8306"/>
          <w:tab w:val="left" w:pos="426"/>
        </w:tabs>
        <w:spacing w:after="120"/>
        <w:rPr>
          <w:szCs w:val="22"/>
        </w:rPr>
      </w:pPr>
      <w:r w:rsidRPr="00272198">
        <w:rPr>
          <w:szCs w:val="22"/>
        </w:rPr>
        <w:t xml:space="preserve">Consistent with the Article III of the Standard Basic Assistance Agreement, the responsibility for the safety and security of the Implementing Partner and its personnel and property, and of UNDP’s property in the </w:t>
      </w:r>
      <w:r w:rsidR="00BF3937">
        <w:rPr>
          <w:szCs w:val="22"/>
        </w:rPr>
        <w:t>Implementing Partner</w:t>
      </w:r>
      <w:r w:rsidRPr="00272198">
        <w:rPr>
          <w:szCs w:val="22"/>
        </w:rPr>
        <w:t xml:space="preserve">’s custody, rests with the </w:t>
      </w:r>
      <w:r w:rsidR="00BF3937">
        <w:rPr>
          <w:szCs w:val="22"/>
        </w:rPr>
        <w:t>Implementing Partner</w:t>
      </w:r>
      <w:r w:rsidRPr="00272198">
        <w:rPr>
          <w:szCs w:val="22"/>
        </w:rPr>
        <w:t xml:space="preserve">. </w:t>
      </w:r>
      <w:r w:rsidR="00BF3937">
        <w:rPr>
          <w:szCs w:val="22"/>
        </w:rPr>
        <w:t>To this end, t</w:t>
      </w:r>
      <w:r w:rsidRPr="00272198">
        <w:rPr>
          <w:szCs w:val="22"/>
        </w:rPr>
        <w:t>he Implementing Partner shall:</w:t>
      </w:r>
    </w:p>
    <w:p w14:paraId="57C8379C" w14:textId="77777777" w:rsidR="00DE6CEC" w:rsidRPr="004622EC" w:rsidRDefault="00DE6CEC" w:rsidP="0020322F">
      <w:pPr>
        <w:pStyle w:val="afb"/>
        <w:numPr>
          <w:ilvl w:val="0"/>
          <w:numId w:val="50"/>
        </w:numPr>
        <w:jc w:val="both"/>
        <w:rPr>
          <w:rFonts w:asciiTheme="majorHAnsi" w:hAnsiTheme="majorHAnsi"/>
        </w:rPr>
      </w:pPr>
      <w:r w:rsidRPr="004622EC">
        <w:rPr>
          <w:rFonts w:asciiTheme="majorHAnsi" w:hAnsiTheme="majorHAnsi"/>
        </w:rPr>
        <w:t>put in place an appropriate security plan and maintain the security plan, taking into account the security situation in the country where the project is being carried;</w:t>
      </w:r>
    </w:p>
    <w:p w14:paraId="370A48B2" w14:textId="77777777" w:rsidR="00DE6CEC" w:rsidRDefault="00DE6CEC" w:rsidP="0020322F">
      <w:pPr>
        <w:pStyle w:val="afb"/>
        <w:numPr>
          <w:ilvl w:val="0"/>
          <w:numId w:val="50"/>
        </w:numPr>
        <w:jc w:val="both"/>
        <w:rPr>
          <w:rFonts w:asciiTheme="majorHAnsi" w:hAnsiTheme="majorHAnsi"/>
        </w:rPr>
      </w:pPr>
      <w:r w:rsidRPr="004622EC">
        <w:rPr>
          <w:rFonts w:asciiTheme="majorHAnsi" w:hAnsiTheme="majorHAnsi"/>
        </w:rPr>
        <w:t>assume all risks and liabilities related to the Implementing Partner’s security, and the full implementation of the security plan.</w:t>
      </w:r>
    </w:p>
    <w:p w14:paraId="20939328" w14:textId="77777777" w:rsidR="008D1A2C" w:rsidRPr="004622EC" w:rsidRDefault="008D1A2C" w:rsidP="00C9656A">
      <w:pPr>
        <w:pStyle w:val="afb"/>
        <w:jc w:val="both"/>
        <w:rPr>
          <w:rFonts w:asciiTheme="majorHAnsi" w:hAnsiTheme="majorHAnsi"/>
        </w:rPr>
      </w:pPr>
    </w:p>
    <w:p w14:paraId="58812BBD" w14:textId="77777777" w:rsidR="00DE6CEC" w:rsidRPr="00BF3937" w:rsidRDefault="00DE6CEC" w:rsidP="0020322F">
      <w:pPr>
        <w:pStyle w:val="a7"/>
        <w:numPr>
          <w:ilvl w:val="0"/>
          <w:numId w:val="9"/>
        </w:numPr>
        <w:tabs>
          <w:tab w:val="clear" w:pos="4153"/>
          <w:tab w:val="clear" w:pos="8306"/>
          <w:tab w:val="left" w:pos="426"/>
        </w:tabs>
        <w:spacing w:after="120"/>
        <w:rPr>
          <w:szCs w:val="22"/>
        </w:rPr>
      </w:pPr>
      <w:r w:rsidRPr="00BF3937">
        <w:rPr>
          <w:szCs w:val="22"/>
        </w:rPr>
        <w:t xml:space="preserve">UNDP reserves the right to verify whether such a plan is in place, and to suggest modifications to the plan when necessary. Failure to maintain and implement an appropriate security plan as required hereunder shall be deemed a breach of </w:t>
      </w:r>
      <w:r w:rsidR="00BF3937" w:rsidRPr="00BF3937">
        <w:rPr>
          <w:rFonts w:cs="Arial"/>
          <w:szCs w:val="22"/>
        </w:rPr>
        <w:t>the Implementing Partner’s obligations under this Project Document</w:t>
      </w:r>
      <w:r w:rsidRPr="00BF3937">
        <w:rPr>
          <w:szCs w:val="22"/>
        </w:rPr>
        <w:t>.</w:t>
      </w:r>
    </w:p>
    <w:p w14:paraId="6E77D310" w14:textId="77777777" w:rsidR="00DE6CEC" w:rsidRPr="00543AD0" w:rsidRDefault="00DE6CEC" w:rsidP="0020322F">
      <w:pPr>
        <w:pStyle w:val="a7"/>
        <w:numPr>
          <w:ilvl w:val="0"/>
          <w:numId w:val="9"/>
        </w:numPr>
        <w:tabs>
          <w:tab w:val="clear" w:pos="4153"/>
          <w:tab w:val="clear" w:pos="8306"/>
          <w:tab w:val="left" w:pos="426"/>
        </w:tabs>
        <w:spacing w:after="120"/>
        <w:rPr>
          <w:szCs w:val="22"/>
        </w:rPr>
      </w:pPr>
      <w:r w:rsidRPr="00E86003">
        <w:rPr>
          <w:szCs w:val="22"/>
        </w:rPr>
        <w:t>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w:t>
      </w:r>
      <w:r w:rsidR="008D1A2C">
        <w:rPr>
          <w:szCs w:val="22"/>
        </w:rPr>
        <w:t>:</w:t>
      </w:r>
      <w:r w:rsidR="00BD5E3B">
        <w:rPr>
          <w:szCs w:val="22"/>
        </w:rPr>
        <w:t xml:space="preserve"> </w:t>
      </w:r>
      <w:hyperlink r:id="rId41" w:history="1">
        <w:r w:rsidR="00BD5E3B" w:rsidRPr="00EC38CB">
          <w:rPr>
            <w:rStyle w:val="ae"/>
            <w:sz w:val="20"/>
          </w:rPr>
          <w:t>http://www.un.org/sc/committees/1267/aq_sanctions_list.shtml</w:t>
        </w:r>
      </w:hyperlink>
      <w:r w:rsidRPr="00543AD0">
        <w:rPr>
          <w:szCs w:val="22"/>
        </w:rPr>
        <w:t>. This provision must be included in all sub-contracts or sub-agreements entered into under</w:t>
      </w:r>
      <w:r w:rsidR="00BD5E3B">
        <w:rPr>
          <w:szCs w:val="22"/>
        </w:rPr>
        <w:t>/further to</w:t>
      </w:r>
      <w:r w:rsidRPr="00543AD0">
        <w:rPr>
          <w:szCs w:val="22"/>
        </w:rPr>
        <w:t xml:space="preserve"> this Project Document.</w:t>
      </w:r>
    </w:p>
    <w:p w14:paraId="05E9121D" w14:textId="77777777" w:rsidR="0009015D" w:rsidRDefault="00DE6CEC" w:rsidP="0020322F">
      <w:pPr>
        <w:pStyle w:val="a7"/>
        <w:numPr>
          <w:ilvl w:val="0"/>
          <w:numId w:val="9"/>
        </w:numPr>
        <w:tabs>
          <w:tab w:val="clear" w:pos="4153"/>
          <w:tab w:val="clear" w:pos="8306"/>
          <w:tab w:val="left" w:pos="426"/>
        </w:tabs>
        <w:spacing w:after="120"/>
        <w:rPr>
          <w:szCs w:val="22"/>
        </w:rPr>
      </w:pPr>
      <w:r w:rsidRPr="00272198">
        <w:rPr>
          <w:szCs w:val="22"/>
        </w:rPr>
        <w:t>The Audit will be conducted in accordance with UNDP Financial Regulations and Rules, and applicable audit policies on UNDP projects.</w:t>
      </w:r>
    </w:p>
    <w:p w14:paraId="59689B68" w14:textId="77777777" w:rsidR="00DE6CEC" w:rsidRPr="00272198" w:rsidRDefault="0009015D" w:rsidP="0020322F">
      <w:pPr>
        <w:pStyle w:val="a7"/>
        <w:numPr>
          <w:ilvl w:val="0"/>
          <w:numId w:val="9"/>
        </w:numPr>
        <w:tabs>
          <w:tab w:val="clear" w:pos="4153"/>
          <w:tab w:val="clear" w:pos="8306"/>
          <w:tab w:val="left" w:pos="426"/>
        </w:tabs>
        <w:spacing w:after="120"/>
        <w:rPr>
          <w:szCs w:val="22"/>
        </w:rPr>
      </w:pPr>
      <w:r w:rsidRPr="0003763F">
        <w:rPr>
          <w:szCs w:val="20"/>
        </w:rPr>
        <w:t>Any designations on maps or other references employed in this project document do not imply the expression of any opinion whatsoever on the part of UNDP concerning the legal status of any country, territory, city or area or its authorities, or concerning the delimitation of its frontiers or boundaries. </w:t>
      </w:r>
      <w:r w:rsidR="00DE6CEC" w:rsidRPr="00272198">
        <w:rPr>
          <w:szCs w:val="22"/>
        </w:rPr>
        <w:t xml:space="preserve"> </w:t>
      </w:r>
    </w:p>
    <w:p w14:paraId="1D1EB974" w14:textId="77777777" w:rsidR="00FE2710" w:rsidRPr="00E86003" w:rsidRDefault="00FE2710" w:rsidP="00E86003">
      <w:pPr>
        <w:rPr>
          <w:szCs w:val="22"/>
        </w:rPr>
      </w:pPr>
    </w:p>
    <w:p w14:paraId="3EBD545C" w14:textId="77777777" w:rsidR="00B7350C" w:rsidRDefault="00B7350C">
      <w:pPr>
        <w:rPr>
          <w:b/>
          <w:smallCaps/>
          <w:spacing w:val="-2"/>
          <w:sz w:val="28"/>
          <w:szCs w:val="20"/>
        </w:rPr>
      </w:pPr>
      <w:r>
        <w:br w:type="page"/>
      </w:r>
    </w:p>
    <w:p w14:paraId="005A1043" w14:textId="77777777" w:rsidR="003E3ABA" w:rsidRDefault="003E3ABA" w:rsidP="0083143D">
      <w:pPr>
        <w:pStyle w:val="1"/>
        <w:spacing w:before="0" w:after="60"/>
        <w:rPr>
          <w:rFonts w:ascii="Calibri" w:hAnsi="Calibri"/>
          <w:szCs w:val="28"/>
        </w:rPr>
      </w:pPr>
      <w:bookmarkStart w:id="112" w:name="_Toc479693890"/>
      <w:r w:rsidRPr="00AE63B8">
        <w:rPr>
          <w:rFonts w:ascii="Calibri" w:hAnsi="Calibri"/>
          <w:szCs w:val="28"/>
        </w:rPr>
        <w:t>Annexes</w:t>
      </w:r>
      <w:bookmarkEnd w:id="112"/>
    </w:p>
    <w:p w14:paraId="1A2E8EB8" w14:textId="77777777" w:rsidR="00E7137F" w:rsidRDefault="00E7137F" w:rsidP="00E7137F"/>
    <w:p w14:paraId="0725DB0D" w14:textId="77777777" w:rsidR="0009015D" w:rsidRPr="0009015D" w:rsidRDefault="0009015D" w:rsidP="00E7137F">
      <w:pPr>
        <w:rPr>
          <w:b/>
        </w:rPr>
      </w:pPr>
      <w:r w:rsidRPr="0009015D">
        <w:rPr>
          <w:b/>
        </w:rPr>
        <w:t>Mandatory Annexes:</w:t>
      </w:r>
    </w:p>
    <w:p w14:paraId="52513807" w14:textId="77777777" w:rsidR="0009015D" w:rsidRDefault="0009015D" w:rsidP="00E7137F"/>
    <w:p w14:paraId="10DF3A52" w14:textId="2D6575D4" w:rsidR="00717680" w:rsidRDefault="00717680" w:rsidP="00E7137F">
      <w:r>
        <w:fldChar w:fldCharType="begin"/>
      </w:r>
      <w:r>
        <w:instrText xml:space="preserve"> REF _Ref337735606 \h </w:instrText>
      </w:r>
      <w:r>
        <w:fldChar w:fldCharType="separate"/>
      </w:r>
      <w:r w:rsidR="00921873" w:rsidRPr="004622EC">
        <w:rPr>
          <w:rFonts w:asciiTheme="majorHAnsi" w:hAnsiTheme="majorHAnsi"/>
        </w:rPr>
        <w:t>Annex A</w:t>
      </w:r>
      <w:r w:rsidR="00921873">
        <w:rPr>
          <w:rFonts w:asciiTheme="majorHAnsi" w:hAnsiTheme="majorHAnsi"/>
        </w:rPr>
        <w:t>.</w:t>
      </w:r>
      <w:r w:rsidR="00921873" w:rsidRPr="004622EC">
        <w:rPr>
          <w:rFonts w:asciiTheme="majorHAnsi" w:hAnsiTheme="majorHAnsi"/>
        </w:rPr>
        <w:t xml:space="preserve"> Multi Year Work Plan</w:t>
      </w:r>
      <w:r>
        <w:fldChar w:fldCharType="end"/>
      </w:r>
    </w:p>
    <w:p w14:paraId="5ECD164E" w14:textId="6F4A3C2E" w:rsidR="00717680" w:rsidRDefault="0020224E" w:rsidP="00E7137F">
      <w:r>
        <w:fldChar w:fldCharType="begin"/>
      </w:r>
      <w:r>
        <w:instrText xml:space="preserve"> REF _Ref476653361 \h </w:instrText>
      </w:r>
      <w:r>
        <w:fldChar w:fldCharType="separate"/>
      </w:r>
      <w:r w:rsidR="00921873" w:rsidRPr="004622EC">
        <w:rPr>
          <w:rFonts w:asciiTheme="majorHAnsi" w:hAnsiTheme="majorHAnsi"/>
        </w:rPr>
        <w:t>Annex B</w:t>
      </w:r>
      <w:r w:rsidR="00921873">
        <w:rPr>
          <w:rFonts w:asciiTheme="majorHAnsi" w:hAnsiTheme="majorHAnsi"/>
        </w:rPr>
        <w:t>.</w:t>
      </w:r>
      <w:r w:rsidR="00921873" w:rsidRPr="004622EC">
        <w:rPr>
          <w:rFonts w:asciiTheme="majorHAnsi" w:hAnsiTheme="majorHAnsi"/>
        </w:rPr>
        <w:t xml:space="preserve"> Monitoring Plan</w:t>
      </w:r>
      <w:r>
        <w:fldChar w:fldCharType="end"/>
      </w:r>
    </w:p>
    <w:p w14:paraId="7CDDA937" w14:textId="468534C0" w:rsidR="00597ED6" w:rsidRDefault="00597ED6" w:rsidP="00E7137F">
      <w:r>
        <w:fldChar w:fldCharType="begin"/>
      </w:r>
      <w:r>
        <w:instrText xml:space="preserve"> REF _Ref476653672 \h </w:instrText>
      </w:r>
      <w:r>
        <w:fldChar w:fldCharType="separate"/>
      </w:r>
      <w:r w:rsidR="00921873" w:rsidRPr="00043685">
        <w:rPr>
          <w:rFonts w:asciiTheme="majorHAnsi" w:hAnsiTheme="majorHAnsi"/>
        </w:rPr>
        <w:t>Annex C. Evaluation Plan</w:t>
      </w:r>
      <w:r>
        <w:fldChar w:fldCharType="end"/>
      </w:r>
    </w:p>
    <w:p w14:paraId="5EB19EFC" w14:textId="6965FBC3" w:rsidR="00597ED6" w:rsidRDefault="00597ED6" w:rsidP="00E7137F">
      <w:r>
        <w:fldChar w:fldCharType="begin"/>
      </w:r>
      <w:r>
        <w:instrText xml:space="preserve"> REF _Ref337735629 \h </w:instrText>
      </w:r>
      <w:r>
        <w:fldChar w:fldCharType="separate"/>
      </w:r>
      <w:r w:rsidR="00921873" w:rsidRPr="004622EC">
        <w:rPr>
          <w:rFonts w:asciiTheme="majorHAnsi" w:hAnsiTheme="majorHAnsi"/>
        </w:rPr>
        <w:t xml:space="preserve">Annex </w:t>
      </w:r>
      <w:r w:rsidR="00921873">
        <w:rPr>
          <w:rFonts w:asciiTheme="majorHAnsi" w:hAnsiTheme="majorHAnsi"/>
        </w:rPr>
        <w:t>D.</w:t>
      </w:r>
      <w:r w:rsidR="00921873" w:rsidRPr="004622EC">
        <w:rPr>
          <w:rFonts w:asciiTheme="majorHAnsi" w:hAnsiTheme="majorHAnsi"/>
        </w:rPr>
        <w:t xml:space="preserve"> GEF Tracking </w:t>
      </w:r>
      <w:r w:rsidR="00921873">
        <w:rPr>
          <w:rFonts w:asciiTheme="majorHAnsi" w:hAnsiTheme="majorHAnsi"/>
        </w:rPr>
        <w:t>T</w:t>
      </w:r>
      <w:r w:rsidR="00921873" w:rsidRPr="004622EC">
        <w:rPr>
          <w:rFonts w:asciiTheme="majorHAnsi" w:hAnsiTheme="majorHAnsi"/>
        </w:rPr>
        <w:t>ool</w:t>
      </w:r>
      <w:r>
        <w:fldChar w:fldCharType="end"/>
      </w:r>
    </w:p>
    <w:p w14:paraId="5F2D1B10" w14:textId="797DD582" w:rsidR="00597ED6" w:rsidRDefault="00597ED6" w:rsidP="00E7137F">
      <w:r>
        <w:fldChar w:fldCharType="begin"/>
      </w:r>
      <w:r>
        <w:instrText xml:space="preserve"> REF _Ref337735653 \h </w:instrText>
      </w:r>
      <w:r>
        <w:fldChar w:fldCharType="separate"/>
      </w:r>
      <w:r w:rsidR="00921873" w:rsidRPr="004622EC">
        <w:rPr>
          <w:rFonts w:asciiTheme="majorHAnsi" w:hAnsiTheme="majorHAnsi"/>
        </w:rPr>
        <w:t xml:space="preserve">Annex </w:t>
      </w:r>
      <w:r w:rsidR="00921873">
        <w:rPr>
          <w:rFonts w:asciiTheme="majorHAnsi" w:hAnsiTheme="majorHAnsi"/>
        </w:rPr>
        <w:t>E.</w:t>
      </w:r>
      <w:r w:rsidR="00921873" w:rsidRPr="004622EC" w:rsidDel="003A0D2D">
        <w:rPr>
          <w:rFonts w:asciiTheme="majorHAnsi" w:hAnsiTheme="majorHAnsi"/>
        </w:rPr>
        <w:t xml:space="preserve"> </w:t>
      </w:r>
      <w:r w:rsidR="00921873" w:rsidRPr="004622EC">
        <w:rPr>
          <w:rFonts w:asciiTheme="majorHAnsi" w:hAnsiTheme="majorHAnsi"/>
        </w:rPr>
        <w:t xml:space="preserve">Terms of </w:t>
      </w:r>
      <w:r w:rsidR="00921873">
        <w:rPr>
          <w:rFonts w:asciiTheme="majorHAnsi" w:hAnsiTheme="majorHAnsi"/>
        </w:rPr>
        <w:t>R</w:t>
      </w:r>
      <w:r w:rsidR="00921873" w:rsidRPr="004622EC">
        <w:rPr>
          <w:rFonts w:asciiTheme="majorHAnsi" w:hAnsiTheme="majorHAnsi"/>
        </w:rPr>
        <w:t>eference</w:t>
      </w:r>
      <w:r w:rsidR="00921873">
        <w:rPr>
          <w:rFonts w:asciiTheme="majorHAnsi" w:hAnsiTheme="majorHAnsi"/>
        </w:rPr>
        <w:t xml:space="preserve"> for the </w:t>
      </w:r>
      <w:r w:rsidR="00921873" w:rsidRPr="004622EC">
        <w:rPr>
          <w:rFonts w:asciiTheme="majorHAnsi" w:hAnsiTheme="majorHAnsi"/>
        </w:rPr>
        <w:t>Project Steering Committee</w:t>
      </w:r>
      <w:r>
        <w:fldChar w:fldCharType="end"/>
      </w:r>
    </w:p>
    <w:p w14:paraId="607415C5" w14:textId="7AC975D8" w:rsidR="007345B8" w:rsidRDefault="007345B8" w:rsidP="00E7137F">
      <w:r>
        <w:fldChar w:fldCharType="begin"/>
      </w:r>
      <w:r>
        <w:instrText xml:space="preserve"> REF _Ref476665193 \h </w:instrText>
      </w:r>
      <w:r>
        <w:fldChar w:fldCharType="separate"/>
      </w:r>
      <w:r w:rsidR="00921873">
        <w:rPr>
          <w:rFonts w:asciiTheme="majorHAnsi" w:hAnsiTheme="majorHAnsi"/>
        </w:rPr>
        <w:t>Annex F.</w:t>
      </w:r>
      <w:r w:rsidR="00921873" w:rsidRPr="004622EC">
        <w:rPr>
          <w:rFonts w:asciiTheme="majorHAnsi" w:hAnsiTheme="majorHAnsi"/>
        </w:rPr>
        <w:t xml:space="preserve"> Social and Environmental Screening</w:t>
      </w:r>
      <w:r>
        <w:fldChar w:fldCharType="end"/>
      </w:r>
    </w:p>
    <w:p w14:paraId="6074020D" w14:textId="77777777" w:rsidR="00BD5E3B" w:rsidRDefault="00BD5E3B" w:rsidP="00E7137F">
      <w:r>
        <w:fldChar w:fldCharType="begin"/>
      </w:r>
      <w:r>
        <w:instrText xml:space="preserve"> REF _Ref476665122 \h </w:instrText>
      </w:r>
      <w:r>
        <w:fldChar w:fldCharType="separate"/>
      </w:r>
      <w:r w:rsidR="00921873" w:rsidRPr="00D3369A">
        <w:rPr>
          <w:rFonts w:asciiTheme="majorHAnsi" w:hAnsiTheme="majorHAnsi"/>
        </w:rPr>
        <w:t>Annex G. Environmental and Social Management Plan (ESMP) for moderate and high risk projects only</w:t>
      </w:r>
      <w:r>
        <w:fldChar w:fldCharType="end"/>
      </w:r>
    </w:p>
    <w:p w14:paraId="5D7FA49B" w14:textId="4AB7E199" w:rsidR="007345B8" w:rsidRDefault="007345B8" w:rsidP="007345B8">
      <w:r>
        <w:fldChar w:fldCharType="begin"/>
      </w:r>
      <w:r>
        <w:instrText xml:space="preserve"> REF _Ref476665210 \h </w:instrText>
      </w:r>
      <w:r>
        <w:fldChar w:fldCharType="separate"/>
      </w:r>
      <w:r w:rsidR="00921873">
        <w:rPr>
          <w:rFonts w:asciiTheme="majorHAnsi" w:hAnsiTheme="majorHAnsi"/>
        </w:rPr>
        <w:t>Annex H</w:t>
      </w:r>
      <w:r w:rsidR="00921873" w:rsidRPr="00D3369A">
        <w:rPr>
          <w:rFonts w:asciiTheme="majorHAnsi" w:hAnsiTheme="majorHAnsi"/>
        </w:rPr>
        <w:t xml:space="preserve">. </w:t>
      </w:r>
      <w:r w:rsidR="00921873">
        <w:rPr>
          <w:rFonts w:asciiTheme="majorHAnsi" w:hAnsiTheme="majorHAnsi"/>
        </w:rPr>
        <w:t>UNDP Project Quality Assurance Report</w:t>
      </w:r>
      <w:r>
        <w:fldChar w:fldCharType="end"/>
      </w:r>
    </w:p>
    <w:p w14:paraId="04DAC021" w14:textId="34733AB4" w:rsidR="007345B8" w:rsidRDefault="007345B8" w:rsidP="007345B8">
      <w:r>
        <w:fldChar w:fldCharType="begin"/>
      </w:r>
      <w:r>
        <w:instrText xml:space="preserve"> REF _Ref476665255 \h </w:instrText>
      </w:r>
      <w:r>
        <w:fldChar w:fldCharType="separate"/>
      </w:r>
      <w:r w:rsidR="00921873" w:rsidRPr="004346AE">
        <w:rPr>
          <w:rFonts w:asciiTheme="majorHAnsi" w:hAnsiTheme="majorHAnsi"/>
        </w:rPr>
        <w:t>Annex I. UNDP Risk Log</w:t>
      </w:r>
      <w:r>
        <w:fldChar w:fldCharType="end"/>
      </w:r>
    </w:p>
    <w:p w14:paraId="57096217" w14:textId="513F2FB0" w:rsidR="007345B8" w:rsidRDefault="007345B8" w:rsidP="007345B8">
      <w:r>
        <w:fldChar w:fldCharType="begin"/>
      </w:r>
      <w:r>
        <w:instrText xml:space="preserve"> REF _Ref476665279 \h </w:instrText>
      </w:r>
      <w:r>
        <w:fldChar w:fldCharType="separate"/>
      </w:r>
      <w:r w:rsidR="00921873">
        <w:rPr>
          <w:rFonts w:asciiTheme="majorHAnsi" w:hAnsiTheme="majorHAnsi"/>
        </w:rPr>
        <w:t>Annex J</w:t>
      </w:r>
      <w:r w:rsidR="00921873" w:rsidRPr="00D3369A">
        <w:rPr>
          <w:rFonts w:asciiTheme="majorHAnsi" w:hAnsiTheme="majorHAnsi"/>
        </w:rPr>
        <w:t xml:space="preserve">. </w:t>
      </w:r>
      <w:r w:rsidR="00921873">
        <w:rPr>
          <w:rFonts w:asciiTheme="majorHAnsi" w:hAnsiTheme="majorHAnsi"/>
        </w:rPr>
        <w:t>Results of the Capacity Assessment of the Project Implementing Partner and HACT Micro Assessment</w:t>
      </w:r>
      <w:r>
        <w:fldChar w:fldCharType="end"/>
      </w:r>
    </w:p>
    <w:p w14:paraId="1E04FDB9" w14:textId="32225F8B" w:rsidR="007345B8" w:rsidRDefault="007345B8" w:rsidP="007345B8">
      <w:r>
        <w:fldChar w:fldCharType="begin"/>
      </w:r>
      <w:r>
        <w:instrText xml:space="preserve"> REF _Ref476665290 \h </w:instrText>
      </w:r>
      <w:r>
        <w:fldChar w:fldCharType="separate"/>
      </w:r>
      <w:r w:rsidR="00921873">
        <w:rPr>
          <w:rFonts w:asciiTheme="majorHAnsi" w:hAnsiTheme="majorHAnsi"/>
        </w:rPr>
        <w:t>Annex K</w:t>
      </w:r>
      <w:r w:rsidR="00921873" w:rsidRPr="00D3369A">
        <w:rPr>
          <w:rFonts w:asciiTheme="majorHAnsi" w:hAnsiTheme="majorHAnsi"/>
        </w:rPr>
        <w:t xml:space="preserve">. </w:t>
      </w:r>
      <w:r w:rsidR="00921873">
        <w:rPr>
          <w:rFonts w:asciiTheme="majorHAnsi" w:hAnsiTheme="majorHAnsi"/>
        </w:rPr>
        <w:t>Additional Agreements</w:t>
      </w:r>
      <w:r>
        <w:fldChar w:fldCharType="end"/>
      </w:r>
    </w:p>
    <w:p w14:paraId="4086753A" w14:textId="77777777" w:rsidR="0009015D" w:rsidRDefault="0009015D" w:rsidP="00E7137F"/>
    <w:p w14:paraId="014C15CE" w14:textId="77777777" w:rsidR="0009015D" w:rsidRDefault="0009015D" w:rsidP="0009015D">
      <w:pPr>
        <w:rPr>
          <w:b/>
        </w:rPr>
      </w:pPr>
      <w:r>
        <w:rPr>
          <w:b/>
        </w:rPr>
        <w:t>Additional Annexes:</w:t>
      </w:r>
    </w:p>
    <w:p w14:paraId="5EED2A3E" w14:textId="77777777" w:rsidR="0009015D" w:rsidRDefault="0009015D" w:rsidP="0009015D">
      <w:pPr>
        <w:rPr>
          <w:b/>
        </w:rPr>
      </w:pPr>
    </w:p>
    <w:p w14:paraId="4B7A8562" w14:textId="09A11F11" w:rsidR="0009015D" w:rsidRPr="00043685" w:rsidRDefault="0009015D" w:rsidP="0009015D">
      <w:pPr>
        <w:rPr>
          <w:szCs w:val="20"/>
        </w:rPr>
      </w:pPr>
      <w:r w:rsidRPr="00043685">
        <w:rPr>
          <w:szCs w:val="20"/>
        </w:rPr>
        <w:fldChar w:fldCharType="begin"/>
      </w:r>
      <w:r w:rsidRPr="00043685">
        <w:rPr>
          <w:szCs w:val="20"/>
        </w:rPr>
        <w:instrText xml:space="preserve"> REF _Ref332975385 \h </w:instrText>
      </w:r>
      <w:r>
        <w:rPr>
          <w:szCs w:val="20"/>
        </w:rPr>
        <w:instrText xml:space="preserve"> \* MERGEFORMAT </w:instrText>
      </w:r>
      <w:r w:rsidRPr="00043685">
        <w:rPr>
          <w:szCs w:val="20"/>
        </w:rPr>
      </w:r>
      <w:r w:rsidRPr="00043685">
        <w:rPr>
          <w:szCs w:val="20"/>
        </w:rPr>
        <w:fldChar w:fldCharType="separate"/>
      </w:r>
      <w:r w:rsidR="00921873" w:rsidRPr="004622EC">
        <w:rPr>
          <w:rFonts w:asciiTheme="majorHAnsi" w:hAnsiTheme="majorHAnsi"/>
        </w:rPr>
        <w:t xml:space="preserve">Annex </w:t>
      </w:r>
      <w:r w:rsidR="00921873">
        <w:rPr>
          <w:rFonts w:asciiTheme="majorHAnsi" w:hAnsiTheme="majorHAnsi"/>
        </w:rPr>
        <w:t>L</w:t>
      </w:r>
      <w:r w:rsidR="00921873" w:rsidRPr="004622EC">
        <w:rPr>
          <w:rFonts w:asciiTheme="majorHAnsi" w:hAnsiTheme="majorHAnsi"/>
        </w:rPr>
        <w:t xml:space="preserve">. Kazakhstan Renewable </w:t>
      </w:r>
      <w:r w:rsidR="00921873">
        <w:rPr>
          <w:rFonts w:asciiTheme="majorHAnsi" w:hAnsiTheme="majorHAnsi"/>
        </w:rPr>
        <w:t>E</w:t>
      </w:r>
      <w:r w:rsidR="00921873" w:rsidRPr="004622EC">
        <w:rPr>
          <w:rFonts w:asciiTheme="majorHAnsi" w:hAnsiTheme="majorHAnsi"/>
        </w:rPr>
        <w:t xml:space="preserve">nergy </w:t>
      </w:r>
      <w:r w:rsidR="00921873">
        <w:rPr>
          <w:rFonts w:asciiTheme="majorHAnsi" w:hAnsiTheme="majorHAnsi"/>
        </w:rPr>
        <w:t>P</w:t>
      </w:r>
      <w:r w:rsidR="00921873" w:rsidRPr="004622EC">
        <w:rPr>
          <w:rFonts w:asciiTheme="majorHAnsi" w:hAnsiTheme="majorHAnsi"/>
        </w:rPr>
        <w:t xml:space="preserve">olicy </w:t>
      </w:r>
      <w:r w:rsidR="00921873">
        <w:rPr>
          <w:rFonts w:asciiTheme="majorHAnsi" w:hAnsiTheme="majorHAnsi"/>
        </w:rPr>
        <w:t>O</w:t>
      </w:r>
      <w:r w:rsidR="00921873" w:rsidRPr="004622EC">
        <w:rPr>
          <w:rFonts w:asciiTheme="majorHAnsi" w:hAnsiTheme="majorHAnsi"/>
        </w:rPr>
        <w:t>verview</w:t>
      </w:r>
      <w:r w:rsidRPr="00043685">
        <w:rPr>
          <w:szCs w:val="20"/>
        </w:rPr>
        <w:fldChar w:fldCharType="end"/>
      </w:r>
    </w:p>
    <w:p w14:paraId="365BE562" w14:textId="27D46F95" w:rsidR="0009015D" w:rsidRPr="00043685" w:rsidRDefault="0009015D" w:rsidP="0009015D">
      <w:pPr>
        <w:rPr>
          <w:szCs w:val="20"/>
        </w:rPr>
      </w:pPr>
      <w:r w:rsidRPr="00043685">
        <w:rPr>
          <w:szCs w:val="20"/>
        </w:rPr>
        <w:fldChar w:fldCharType="begin"/>
      </w:r>
      <w:r w:rsidRPr="00043685">
        <w:rPr>
          <w:szCs w:val="20"/>
        </w:rPr>
        <w:instrText xml:space="preserve"> REF _Ref476654904 \h </w:instrText>
      </w:r>
      <w:r>
        <w:rPr>
          <w:szCs w:val="20"/>
        </w:rPr>
        <w:instrText xml:space="preserve"> \* MERGEFORMAT </w:instrText>
      </w:r>
      <w:r w:rsidRPr="00043685">
        <w:rPr>
          <w:szCs w:val="20"/>
        </w:rPr>
      </w:r>
      <w:r w:rsidRPr="00043685">
        <w:rPr>
          <w:szCs w:val="20"/>
        </w:rPr>
        <w:fldChar w:fldCharType="separate"/>
      </w:r>
      <w:r w:rsidR="00921873" w:rsidRPr="004622EC">
        <w:rPr>
          <w:rFonts w:asciiTheme="majorHAnsi" w:hAnsiTheme="majorHAnsi"/>
        </w:rPr>
        <w:t xml:space="preserve">Annex </w:t>
      </w:r>
      <w:r w:rsidR="00921873">
        <w:rPr>
          <w:rFonts w:asciiTheme="majorHAnsi" w:hAnsiTheme="majorHAnsi"/>
        </w:rPr>
        <w:t>M</w:t>
      </w:r>
      <w:r w:rsidR="00921873" w:rsidRPr="004622EC">
        <w:rPr>
          <w:rFonts w:asciiTheme="majorHAnsi" w:hAnsiTheme="majorHAnsi"/>
        </w:rPr>
        <w:t xml:space="preserve">. GHG </w:t>
      </w:r>
      <w:r w:rsidR="00921873">
        <w:rPr>
          <w:rFonts w:asciiTheme="majorHAnsi" w:hAnsiTheme="majorHAnsi"/>
        </w:rPr>
        <w:t>C</w:t>
      </w:r>
      <w:r w:rsidR="00921873" w:rsidRPr="004622EC">
        <w:rPr>
          <w:rFonts w:asciiTheme="majorHAnsi" w:hAnsiTheme="majorHAnsi"/>
        </w:rPr>
        <w:t>alculations</w:t>
      </w:r>
      <w:r w:rsidRPr="00043685">
        <w:rPr>
          <w:szCs w:val="20"/>
        </w:rPr>
        <w:fldChar w:fldCharType="end"/>
      </w:r>
    </w:p>
    <w:p w14:paraId="7E7B9FD6" w14:textId="6D9B8851" w:rsidR="0009015D" w:rsidRPr="00043685" w:rsidRDefault="0009015D" w:rsidP="0009015D">
      <w:pPr>
        <w:rPr>
          <w:szCs w:val="20"/>
        </w:rPr>
      </w:pPr>
      <w:r w:rsidRPr="00043685">
        <w:rPr>
          <w:szCs w:val="20"/>
        </w:rPr>
        <w:fldChar w:fldCharType="begin"/>
      </w:r>
      <w:r w:rsidRPr="00043685">
        <w:rPr>
          <w:szCs w:val="20"/>
        </w:rPr>
        <w:instrText xml:space="preserve"> REF _Ref337734853 \h </w:instrText>
      </w:r>
      <w:r>
        <w:rPr>
          <w:szCs w:val="20"/>
        </w:rPr>
        <w:instrText xml:space="preserve"> \* MERGEFORMAT </w:instrText>
      </w:r>
      <w:r w:rsidRPr="00043685">
        <w:rPr>
          <w:szCs w:val="20"/>
        </w:rPr>
      </w:r>
      <w:r w:rsidRPr="00043685">
        <w:rPr>
          <w:szCs w:val="20"/>
        </w:rPr>
        <w:fldChar w:fldCharType="separate"/>
      </w:r>
      <w:r w:rsidR="00921873" w:rsidRPr="004622EC">
        <w:rPr>
          <w:rFonts w:asciiTheme="majorHAnsi" w:hAnsiTheme="majorHAnsi"/>
        </w:rPr>
        <w:t xml:space="preserve">Annex </w:t>
      </w:r>
      <w:r w:rsidR="00921873">
        <w:rPr>
          <w:rFonts w:asciiTheme="majorHAnsi" w:hAnsiTheme="majorHAnsi"/>
        </w:rPr>
        <w:t>N</w:t>
      </w:r>
      <w:r w:rsidR="00921873" w:rsidRPr="004622EC">
        <w:rPr>
          <w:rFonts w:asciiTheme="majorHAnsi" w:hAnsiTheme="majorHAnsi"/>
        </w:rPr>
        <w:t xml:space="preserve">. Stakeholder </w:t>
      </w:r>
      <w:r w:rsidR="00921873">
        <w:rPr>
          <w:rFonts w:asciiTheme="majorHAnsi" w:hAnsiTheme="majorHAnsi"/>
        </w:rPr>
        <w:t>A</w:t>
      </w:r>
      <w:r w:rsidR="00921873" w:rsidRPr="004622EC">
        <w:rPr>
          <w:rFonts w:asciiTheme="majorHAnsi" w:hAnsiTheme="majorHAnsi"/>
        </w:rPr>
        <w:t>nalysis</w:t>
      </w:r>
      <w:r w:rsidRPr="00043685">
        <w:rPr>
          <w:szCs w:val="20"/>
        </w:rPr>
        <w:fldChar w:fldCharType="end"/>
      </w:r>
    </w:p>
    <w:p w14:paraId="67AFE0A2" w14:textId="23ADBB60" w:rsidR="007F25FB" w:rsidRPr="00043685" w:rsidRDefault="0009015D" w:rsidP="0009015D">
      <w:pPr>
        <w:rPr>
          <w:szCs w:val="20"/>
        </w:rPr>
      </w:pPr>
      <w:r w:rsidRPr="00043685">
        <w:rPr>
          <w:szCs w:val="20"/>
        </w:rPr>
        <w:fldChar w:fldCharType="begin"/>
      </w:r>
      <w:r w:rsidRPr="00043685">
        <w:rPr>
          <w:szCs w:val="20"/>
        </w:rPr>
        <w:instrText xml:space="preserve"> REF _Ref476654923 \h </w:instrText>
      </w:r>
      <w:r>
        <w:rPr>
          <w:szCs w:val="20"/>
        </w:rPr>
        <w:instrText xml:space="preserve"> \* MERGEFORMAT </w:instrText>
      </w:r>
      <w:r w:rsidRPr="00043685">
        <w:rPr>
          <w:szCs w:val="20"/>
        </w:rPr>
      </w:r>
      <w:r w:rsidRPr="00043685">
        <w:rPr>
          <w:szCs w:val="20"/>
        </w:rPr>
        <w:fldChar w:fldCharType="separate"/>
      </w:r>
      <w:r w:rsidR="00921873" w:rsidRPr="004622EC">
        <w:rPr>
          <w:rFonts w:asciiTheme="majorHAnsi" w:hAnsiTheme="majorHAnsi"/>
        </w:rPr>
        <w:t xml:space="preserve">Annex </w:t>
      </w:r>
      <w:r w:rsidR="00921873">
        <w:rPr>
          <w:rFonts w:asciiTheme="majorHAnsi" w:hAnsiTheme="majorHAnsi"/>
        </w:rPr>
        <w:t>O.</w:t>
      </w:r>
      <w:r w:rsidR="00921873" w:rsidRPr="004622EC">
        <w:rPr>
          <w:rFonts w:asciiTheme="majorHAnsi" w:hAnsiTheme="majorHAnsi"/>
        </w:rPr>
        <w:t xml:space="preserve"> List of </w:t>
      </w:r>
      <w:r w:rsidR="00921873">
        <w:rPr>
          <w:rFonts w:asciiTheme="majorHAnsi" w:hAnsiTheme="majorHAnsi"/>
        </w:rPr>
        <w:t>References and R</w:t>
      </w:r>
      <w:r w:rsidR="00921873" w:rsidRPr="004622EC">
        <w:rPr>
          <w:rFonts w:asciiTheme="majorHAnsi" w:hAnsiTheme="majorHAnsi"/>
        </w:rPr>
        <w:t xml:space="preserve">esources </w:t>
      </w:r>
      <w:r w:rsidR="00921873">
        <w:rPr>
          <w:rFonts w:asciiTheme="majorHAnsi" w:hAnsiTheme="majorHAnsi"/>
        </w:rPr>
        <w:t>C</w:t>
      </w:r>
      <w:r w:rsidR="00921873" w:rsidRPr="004622EC">
        <w:rPr>
          <w:rFonts w:asciiTheme="majorHAnsi" w:hAnsiTheme="majorHAnsi"/>
        </w:rPr>
        <w:t>onsulted</w:t>
      </w:r>
      <w:r w:rsidRPr="00043685">
        <w:rPr>
          <w:szCs w:val="20"/>
        </w:rPr>
        <w:fldChar w:fldCharType="end"/>
      </w:r>
    </w:p>
    <w:p w14:paraId="6149857C" w14:textId="77777777" w:rsidR="0009015D" w:rsidRDefault="008D423B" w:rsidP="0009015D">
      <w:r w:rsidRPr="008D423B">
        <w:t>Annex P. Co-financing letters</w:t>
      </w:r>
    </w:p>
    <w:p w14:paraId="5C92CFB2" w14:textId="77777777" w:rsidR="00585A78" w:rsidRPr="008D423B" w:rsidRDefault="00585A78" w:rsidP="0009015D">
      <w:r>
        <w:t>Annex Q. Gender mainstreaming and action plan</w:t>
      </w:r>
    </w:p>
    <w:p w14:paraId="0736BDDA" w14:textId="77777777" w:rsidR="0009015D" w:rsidRDefault="0009015D" w:rsidP="0009015D"/>
    <w:p w14:paraId="5A1E1408" w14:textId="77777777" w:rsidR="0009015D" w:rsidRPr="0009015D" w:rsidRDefault="0009015D" w:rsidP="0009015D">
      <w:pPr>
        <w:sectPr w:rsidR="0009015D" w:rsidRPr="0009015D" w:rsidSect="004622EC">
          <w:pgSz w:w="11900" w:h="16840" w:code="1"/>
          <w:pgMar w:top="1440" w:right="1440" w:bottom="1440" w:left="1440" w:header="720" w:footer="720" w:gutter="0"/>
          <w:cols w:space="720"/>
          <w:docGrid w:linePitch="360"/>
        </w:sectPr>
      </w:pPr>
    </w:p>
    <w:p w14:paraId="4EF36DD1" w14:textId="77777777" w:rsidR="00E90D1A" w:rsidRPr="004622EC" w:rsidRDefault="00BF4AB4" w:rsidP="004622EC">
      <w:pPr>
        <w:pStyle w:val="2"/>
        <w:numPr>
          <w:ilvl w:val="0"/>
          <w:numId w:val="0"/>
        </w:numPr>
        <w:rPr>
          <w:rFonts w:asciiTheme="majorHAnsi" w:hAnsiTheme="majorHAnsi"/>
        </w:rPr>
      </w:pPr>
      <w:bookmarkStart w:id="113" w:name="_Ref337735606"/>
      <w:bookmarkStart w:id="114" w:name="_Toc479693891"/>
      <w:r w:rsidRPr="004622EC">
        <w:rPr>
          <w:rFonts w:asciiTheme="majorHAnsi" w:hAnsiTheme="majorHAnsi"/>
        </w:rPr>
        <w:t xml:space="preserve">Annex </w:t>
      </w:r>
      <w:r w:rsidR="00996ED8" w:rsidRPr="004622EC">
        <w:rPr>
          <w:rFonts w:asciiTheme="majorHAnsi" w:hAnsiTheme="majorHAnsi"/>
        </w:rPr>
        <w:t>A</w:t>
      </w:r>
      <w:r w:rsidR="00FD0091">
        <w:rPr>
          <w:rFonts w:asciiTheme="majorHAnsi" w:hAnsiTheme="majorHAnsi"/>
        </w:rPr>
        <w:t>.</w:t>
      </w:r>
      <w:r w:rsidR="00996ED8" w:rsidRPr="004622EC">
        <w:rPr>
          <w:rFonts w:asciiTheme="majorHAnsi" w:hAnsiTheme="majorHAnsi"/>
        </w:rPr>
        <w:t xml:space="preserve"> </w:t>
      </w:r>
      <w:r w:rsidR="003E3ABA" w:rsidRPr="004622EC">
        <w:rPr>
          <w:rFonts w:asciiTheme="majorHAnsi" w:hAnsiTheme="majorHAnsi"/>
        </w:rPr>
        <w:t>Multi Year Work Plan</w:t>
      </w:r>
      <w:bookmarkEnd w:id="113"/>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1183"/>
        <w:gridCol w:w="530"/>
        <w:gridCol w:w="611"/>
        <w:gridCol w:w="572"/>
        <w:gridCol w:w="572"/>
        <w:gridCol w:w="572"/>
        <w:gridCol w:w="572"/>
        <w:gridCol w:w="572"/>
        <w:gridCol w:w="572"/>
        <w:gridCol w:w="572"/>
        <w:gridCol w:w="572"/>
        <w:gridCol w:w="572"/>
        <w:gridCol w:w="572"/>
        <w:gridCol w:w="572"/>
        <w:gridCol w:w="572"/>
        <w:gridCol w:w="572"/>
        <w:gridCol w:w="572"/>
        <w:gridCol w:w="572"/>
        <w:gridCol w:w="572"/>
        <w:gridCol w:w="572"/>
        <w:gridCol w:w="550"/>
      </w:tblGrid>
      <w:tr w:rsidR="003E6878" w:rsidRPr="002243E1" w14:paraId="49CB4102" w14:textId="77777777" w:rsidTr="004622EC">
        <w:trPr>
          <w:tblHeader/>
        </w:trPr>
        <w:tc>
          <w:tcPr>
            <w:tcW w:w="485" w:type="pct"/>
            <w:vMerge w:val="restart"/>
            <w:tcBorders>
              <w:bottom w:val="single" w:sz="4" w:space="0" w:color="auto"/>
            </w:tcBorders>
            <w:shd w:val="clear" w:color="auto" w:fill="D9D9D9"/>
          </w:tcPr>
          <w:p w14:paraId="6BC8CEE1" w14:textId="77777777" w:rsidR="003E6878" w:rsidRPr="002243E1" w:rsidRDefault="003E6878" w:rsidP="00B55453">
            <w:pPr>
              <w:rPr>
                <w:rFonts w:asciiTheme="majorHAnsi" w:hAnsiTheme="majorHAnsi"/>
                <w:b/>
                <w:sz w:val="18"/>
                <w:szCs w:val="18"/>
              </w:rPr>
            </w:pPr>
            <w:r w:rsidRPr="002243E1">
              <w:rPr>
                <w:rFonts w:asciiTheme="majorHAnsi" w:hAnsiTheme="majorHAnsi"/>
                <w:b/>
                <w:sz w:val="18"/>
                <w:szCs w:val="18"/>
              </w:rPr>
              <w:t>Task</w:t>
            </w:r>
          </w:p>
        </w:tc>
        <w:tc>
          <w:tcPr>
            <w:tcW w:w="424" w:type="pct"/>
            <w:vMerge w:val="restart"/>
            <w:tcBorders>
              <w:bottom w:val="single" w:sz="4" w:space="0" w:color="auto"/>
            </w:tcBorders>
            <w:shd w:val="clear" w:color="auto" w:fill="D9D9D9"/>
          </w:tcPr>
          <w:p w14:paraId="11B5736B" w14:textId="77777777" w:rsidR="003E6878" w:rsidRPr="002243E1" w:rsidRDefault="003E6878" w:rsidP="002243E1">
            <w:pPr>
              <w:rPr>
                <w:rFonts w:asciiTheme="majorHAnsi" w:hAnsiTheme="majorHAnsi"/>
                <w:b/>
                <w:sz w:val="18"/>
                <w:szCs w:val="18"/>
              </w:rPr>
            </w:pPr>
            <w:r w:rsidRPr="002243E1">
              <w:rPr>
                <w:rFonts w:asciiTheme="majorHAnsi" w:hAnsiTheme="majorHAnsi"/>
                <w:b/>
                <w:sz w:val="18"/>
                <w:szCs w:val="18"/>
              </w:rPr>
              <w:t>Respo</w:t>
            </w:r>
            <w:r w:rsidR="00621087" w:rsidRPr="002243E1">
              <w:rPr>
                <w:rFonts w:asciiTheme="majorHAnsi" w:hAnsiTheme="majorHAnsi"/>
                <w:b/>
                <w:sz w:val="18"/>
                <w:szCs w:val="18"/>
              </w:rPr>
              <w:t>n</w:t>
            </w:r>
            <w:r w:rsidRPr="002243E1">
              <w:rPr>
                <w:rFonts w:asciiTheme="majorHAnsi" w:hAnsiTheme="majorHAnsi"/>
                <w:b/>
                <w:sz w:val="18"/>
                <w:szCs w:val="18"/>
              </w:rPr>
              <w:t>sible Party</w:t>
            </w:r>
          </w:p>
        </w:tc>
        <w:tc>
          <w:tcPr>
            <w:tcW w:w="818" w:type="pct"/>
            <w:gridSpan w:val="4"/>
            <w:tcBorders>
              <w:bottom w:val="single" w:sz="4" w:space="0" w:color="auto"/>
            </w:tcBorders>
            <w:shd w:val="clear" w:color="auto" w:fill="D9D9D9"/>
          </w:tcPr>
          <w:p w14:paraId="79199613" w14:textId="77777777" w:rsidR="003E6878" w:rsidRPr="002243E1" w:rsidRDefault="003E6878" w:rsidP="00B55453">
            <w:pPr>
              <w:jc w:val="center"/>
              <w:rPr>
                <w:rFonts w:asciiTheme="majorHAnsi" w:hAnsiTheme="majorHAnsi"/>
                <w:b/>
                <w:sz w:val="18"/>
                <w:szCs w:val="18"/>
              </w:rPr>
            </w:pPr>
            <w:r w:rsidRPr="002243E1">
              <w:rPr>
                <w:rFonts w:asciiTheme="majorHAnsi" w:hAnsiTheme="majorHAnsi"/>
                <w:b/>
                <w:sz w:val="18"/>
                <w:szCs w:val="18"/>
              </w:rPr>
              <w:t>Year 1</w:t>
            </w:r>
          </w:p>
        </w:tc>
        <w:tc>
          <w:tcPr>
            <w:tcW w:w="818" w:type="pct"/>
            <w:gridSpan w:val="4"/>
            <w:tcBorders>
              <w:bottom w:val="single" w:sz="4" w:space="0" w:color="auto"/>
            </w:tcBorders>
            <w:shd w:val="clear" w:color="auto" w:fill="D9D9D9"/>
          </w:tcPr>
          <w:p w14:paraId="659F5EAC" w14:textId="77777777" w:rsidR="003E6878" w:rsidRPr="002243E1" w:rsidRDefault="003E6878" w:rsidP="00B55453">
            <w:pPr>
              <w:jc w:val="center"/>
              <w:rPr>
                <w:rFonts w:asciiTheme="majorHAnsi" w:hAnsiTheme="majorHAnsi"/>
                <w:b/>
                <w:sz w:val="18"/>
                <w:szCs w:val="18"/>
              </w:rPr>
            </w:pPr>
            <w:r w:rsidRPr="002243E1">
              <w:rPr>
                <w:rFonts w:asciiTheme="majorHAnsi" w:hAnsiTheme="majorHAnsi"/>
                <w:b/>
                <w:sz w:val="18"/>
                <w:szCs w:val="18"/>
              </w:rPr>
              <w:t>Year 2</w:t>
            </w:r>
          </w:p>
        </w:tc>
        <w:tc>
          <w:tcPr>
            <w:tcW w:w="818" w:type="pct"/>
            <w:gridSpan w:val="4"/>
            <w:tcBorders>
              <w:bottom w:val="single" w:sz="4" w:space="0" w:color="auto"/>
            </w:tcBorders>
            <w:shd w:val="clear" w:color="auto" w:fill="D9D9D9"/>
          </w:tcPr>
          <w:p w14:paraId="2DFFCB6C" w14:textId="77777777" w:rsidR="003E6878" w:rsidRPr="002243E1" w:rsidRDefault="003E6878" w:rsidP="00B55453">
            <w:pPr>
              <w:jc w:val="center"/>
              <w:rPr>
                <w:rFonts w:asciiTheme="majorHAnsi" w:hAnsiTheme="majorHAnsi"/>
                <w:b/>
                <w:sz w:val="18"/>
                <w:szCs w:val="18"/>
              </w:rPr>
            </w:pPr>
            <w:r w:rsidRPr="002243E1">
              <w:rPr>
                <w:rFonts w:asciiTheme="majorHAnsi" w:hAnsiTheme="majorHAnsi"/>
                <w:b/>
                <w:sz w:val="18"/>
                <w:szCs w:val="18"/>
              </w:rPr>
              <w:t>Year 3</w:t>
            </w:r>
          </w:p>
        </w:tc>
        <w:tc>
          <w:tcPr>
            <w:tcW w:w="818" w:type="pct"/>
            <w:gridSpan w:val="4"/>
            <w:tcBorders>
              <w:bottom w:val="single" w:sz="4" w:space="0" w:color="auto"/>
            </w:tcBorders>
            <w:shd w:val="clear" w:color="auto" w:fill="D9D9D9"/>
          </w:tcPr>
          <w:p w14:paraId="492BA708" w14:textId="77777777" w:rsidR="003E6878" w:rsidRPr="002243E1" w:rsidRDefault="003E6878" w:rsidP="00B55453">
            <w:pPr>
              <w:jc w:val="center"/>
              <w:rPr>
                <w:rFonts w:asciiTheme="majorHAnsi" w:hAnsiTheme="majorHAnsi"/>
                <w:b/>
                <w:sz w:val="18"/>
                <w:szCs w:val="18"/>
              </w:rPr>
            </w:pPr>
            <w:r w:rsidRPr="002243E1">
              <w:rPr>
                <w:rFonts w:asciiTheme="majorHAnsi" w:hAnsiTheme="majorHAnsi"/>
                <w:b/>
                <w:sz w:val="18"/>
                <w:szCs w:val="18"/>
              </w:rPr>
              <w:t>Year 4</w:t>
            </w:r>
          </w:p>
        </w:tc>
        <w:tc>
          <w:tcPr>
            <w:tcW w:w="818" w:type="pct"/>
            <w:gridSpan w:val="4"/>
            <w:tcBorders>
              <w:bottom w:val="single" w:sz="4" w:space="0" w:color="auto"/>
            </w:tcBorders>
            <w:shd w:val="clear" w:color="auto" w:fill="D9D9D9"/>
          </w:tcPr>
          <w:p w14:paraId="2AB3AB9C" w14:textId="77777777" w:rsidR="003E6878" w:rsidRPr="002243E1" w:rsidRDefault="003E6878" w:rsidP="00B55453">
            <w:pPr>
              <w:jc w:val="center"/>
              <w:rPr>
                <w:rFonts w:asciiTheme="majorHAnsi" w:hAnsiTheme="majorHAnsi"/>
                <w:b/>
                <w:sz w:val="18"/>
                <w:szCs w:val="18"/>
              </w:rPr>
            </w:pPr>
            <w:r w:rsidRPr="002243E1">
              <w:rPr>
                <w:rFonts w:asciiTheme="majorHAnsi" w:hAnsiTheme="majorHAnsi"/>
                <w:b/>
                <w:sz w:val="18"/>
                <w:szCs w:val="18"/>
              </w:rPr>
              <w:t>Year 5</w:t>
            </w:r>
          </w:p>
        </w:tc>
      </w:tr>
      <w:tr w:rsidR="00715B3D" w:rsidRPr="002243E1" w14:paraId="36B58414" w14:textId="77777777" w:rsidTr="00621087">
        <w:trPr>
          <w:tblHeader/>
        </w:trPr>
        <w:tc>
          <w:tcPr>
            <w:tcW w:w="485" w:type="pct"/>
            <w:vMerge/>
            <w:tcBorders>
              <w:top w:val="single" w:sz="4" w:space="0" w:color="auto"/>
              <w:bottom w:val="single" w:sz="4" w:space="0" w:color="auto"/>
            </w:tcBorders>
            <w:shd w:val="clear" w:color="auto" w:fill="D9D9D9"/>
          </w:tcPr>
          <w:p w14:paraId="1589D28E" w14:textId="77777777" w:rsidR="003E6878" w:rsidRPr="002243E1" w:rsidRDefault="003E6878" w:rsidP="00B55453">
            <w:pPr>
              <w:rPr>
                <w:rFonts w:asciiTheme="majorHAnsi" w:hAnsiTheme="majorHAnsi"/>
                <w:sz w:val="18"/>
                <w:szCs w:val="18"/>
              </w:rPr>
            </w:pPr>
          </w:p>
        </w:tc>
        <w:tc>
          <w:tcPr>
            <w:tcW w:w="424" w:type="pct"/>
            <w:vMerge/>
            <w:tcBorders>
              <w:top w:val="single" w:sz="4" w:space="0" w:color="auto"/>
              <w:bottom w:val="single" w:sz="4" w:space="0" w:color="auto"/>
            </w:tcBorders>
            <w:shd w:val="clear" w:color="auto" w:fill="D9D9D9"/>
          </w:tcPr>
          <w:p w14:paraId="635F497B" w14:textId="77777777" w:rsidR="003E6878" w:rsidRPr="002243E1" w:rsidRDefault="003E6878" w:rsidP="002243E1">
            <w:pPr>
              <w:rPr>
                <w:rFonts w:asciiTheme="majorHAnsi" w:hAnsiTheme="majorHAnsi"/>
                <w:sz w:val="18"/>
                <w:szCs w:val="18"/>
              </w:rPr>
            </w:pPr>
          </w:p>
        </w:tc>
        <w:tc>
          <w:tcPr>
            <w:tcW w:w="190" w:type="pct"/>
            <w:tcBorders>
              <w:top w:val="single" w:sz="4" w:space="0" w:color="auto"/>
              <w:bottom w:val="single" w:sz="4" w:space="0" w:color="auto"/>
            </w:tcBorders>
            <w:shd w:val="clear" w:color="auto" w:fill="D9D9D9"/>
          </w:tcPr>
          <w:p w14:paraId="5992E0DA"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Q1</w:t>
            </w:r>
          </w:p>
        </w:tc>
        <w:tc>
          <w:tcPr>
            <w:tcW w:w="219" w:type="pct"/>
            <w:tcBorders>
              <w:top w:val="single" w:sz="4" w:space="0" w:color="auto"/>
              <w:bottom w:val="single" w:sz="4" w:space="0" w:color="auto"/>
            </w:tcBorders>
            <w:shd w:val="clear" w:color="auto" w:fill="D9D9D9"/>
          </w:tcPr>
          <w:p w14:paraId="72C8FDFC"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Q2</w:t>
            </w:r>
          </w:p>
        </w:tc>
        <w:tc>
          <w:tcPr>
            <w:tcW w:w="205" w:type="pct"/>
            <w:tcBorders>
              <w:top w:val="single" w:sz="4" w:space="0" w:color="auto"/>
              <w:bottom w:val="single" w:sz="4" w:space="0" w:color="auto"/>
            </w:tcBorders>
            <w:shd w:val="clear" w:color="auto" w:fill="D9D9D9"/>
          </w:tcPr>
          <w:p w14:paraId="23C490E1"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Q3</w:t>
            </w:r>
          </w:p>
        </w:tc>
        <w:tc>
          <w:tcPr>
            <w:tcW w:w="205" w:type="pct"/>
            <w:tcBorders>
              <w:top w:val="single" w:sz="4" w:space="0" w:color="auto"/>
              <w:bottom w:val="single" w:sz="4" w:space="0" w:color="auto"/>
            </w:tcBorders>
            <w:shd w:val="clear" w:color="auto" w:fill="D9D9D9"/>
          </w:tcPr>
          <w:p w14:paraId="46F6C39B"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Q4</w:t>
            </w:r>
          </w:p>
        </w:tc>
        <w:tc>
          <w:tcPr>
            <w:tcW w:w="205" w:type="pct"/>
            <w:tcBorders>
              <w:top w:val="single" w:sz="4" w:space="0" w:color="auto"/>
              <w:bottom w:val="single" w:sz="4" w:space="0" w:color="auto"/>
            </w:tcBorders>
            <w:shd w:val="clear" w:color="auto" w:fill="D9D9D9"/>
          </w:tcPr>
          <w:p w14:paraId="03BAF02C"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Q1</w:t>
            </w:r>
          </w:p>
        </w:tc>
        <w:tc>
          <w:tcPr>
            <w:tcW w:w="205" w:type="pct"/>
            <w:tcBorders>
              <w:top w:val="single" w:sz="4" w:space="0" w:color="auto"/>
              <w:bottom w:val="single" w:sz="4" w:space="0" w:color="auto"/>
            </w:tcBorders>
            <w:shd w:val="clear" w:color="auto" w:fill="D9D9D9"/>
          </w:tcPr>
          <w:p w14:paraId="359C79D0"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Q2</w:t>
            </w:r>
          </w:p>
        </w:tc>
        <w:tc>
          <w:tcPr>
            <w:tcW w:w="205" w:type="pct"/>
            <w:tcBorders>
              <w:top w:val="single" w:sz="4" w:space="0" w:color="auto"/>
              <w:bottom w:val="single" w:sz="4" w:space="0" w:color="auto"/>
            </w:tcBorders>
            <w:shd w:val="clear" w:color="auto" w:fill="D9D9D9"/>
          </w:tcPr>
          <w:p w14:paraId="4EF9F262"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Q3</w:t>
            </w:r>
          </w:p>
        </w:tc>
        <w:tc>
          <w:tcPr>
            <w:tcW w:w="205" w:type="pct"/>
            <w:tcBorders>
              <w:top w:val="single" w:sz="4" w:space="0" w:color="auto"/>
              <w:bottom w:val="single" w:sz="4" w:space="0" w:color="auto"/>
            </w:tcBorders>
            <w:shd w:val="clear" w:color="auto" w:fill="D9D9D9"/>
          </w:tcPr>
          <w:p w14:paraId="65D480ED"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Q4</w:t>
            </w:r>
          </w:p>
        </w:tc>
        <w:tc>
          <w:tcPr>
            <w:tcW w:w="205" w:type="pct"/>
            <w:tcBorders>
              <w:top w:val="single" w:sz="4" w:space="0" w:color="auto"/>
              <w:bottom w:val="single" w:sz="4" w:space="0" w:color="auto"/>
            </w:tcBorders>
            <w:shd w:val="clear" w:color="auto" w:fill="D9D9D9"/>
          </w:tcPr>
          <w:p w14:paraId="2462F072"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Q1</w:t>
            </w:r>
          </w:p>
        </w:tc>
        <w:tc>
          <w:tcPr>
            <w:tcW w:w="205" w:type="pct"/>
            <w:tcBorders>
              <w:top w:val="single" w:sz="4" w:space="0" w:color="auto"/>
              <w:bottom w:val="single" w:sz="4" w:space="0" w:color="auto"/>
            </w:tcBorders>
            <w:shd w:val="clear" w:color="auto" w:fill="D9D9D9"/>
          </w:tcPr>
          <w:p w14:paraId="02AF11EB"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Q2</w:t>
            </w:r>
          </w:p>
        </w:tc>
        <w:tc>
          <w:tcPr>
            <w:tcW w:w="205" w:type="pct"/>
            <w:tcBorders>
              <w:top w:val="single" w:sz="4" w:space="0" w:color="auto"/>
              <w:bottom w:val="single" w:sz="4" w:space="0" w:color="auto"/>
            </w:tcBorders>
            <w:shd w:val="clear" w:color="auto" w:fill="D9D9D9"/>
          </w:tcPr>
          <w:p w14:paraId="114F294F"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Q3</w:t>
            </w:r>
          </w:p>
        </w:tc>
        <w:tc>
          <w:tcPr>
            <w:tcW w:w="205" w:type="pct"/>
            <w:tcBorders>
              <w:top w:val="single" w:sz="4" w:space="0" w:color="auto"/>
              <w:bottom w:val="single" w:sz="4" w:space="0" w:color="auto"/>
            </w:tcBorders>
            <w:shd w:val="clear" w:color="auto" w:fill="D9D9D9"/>
          </w:tcPr>
          <w:p w14:paraId="24F07360"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Q4</w:t>
            </w:r>
          </w:p>
        </w:tc>
        <w:tc>
          <w:tcPr>
            <w:tcW w:w="205" w:type="pct"/>
            <w:tcBorders>
              <w:top w:val="single" w:sz="4" w:space="0" w:color="auto"/>
              <w:bottom w:val="single" w:sz="4" w:space="0" w:color="auto"/>
            </w:tcBorders>
            <w:shd w:val="clear" w:color="auto" w:fill="D9D9D9"/>
          </w:tcPr>
          <w:p w14:paraId="3786F2C8"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Q1</w:t>
            </w:r>
          </w:p>
        </w:tc>
        <w:tc>
          <w:tcPr>
            <w:tcW w:w="205" w:type="pct"/>
            <w:tcBorders>
              <w:top w:val="single" w:sz="4" w:space="0" w:color="auto"/>
              <w:bottom w:val="single" w:sz="4" w:space="0" w:color="auto"/>
            </w:tcBorders>
            <w:shd w:val="clear" w:color="auto" w:fill="D9D9D9"/>
          </w:tcPr>
          <w:p w14:paraId="4F1CB261"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Q2</w:t>
            </w:r>
          </w:p>
        </w:tc>
        <w:tc>
          <w:tcPr>
            <w:tcW w:w="205" w:type="pct"/>
            <w:tcBorders>
              <w:top w:val="single" w:sz="4" w:space="0" w:color="auto"/>
              <w:bottom w:val="single" w:sz="4" w:space="0" w:color="auto"/>
            </w:tcBorders>
            <w:shd w:val="clear" w:color="auto" w:fill="D9D9D9"/>
          </w:tcPr>
          <w:p w14:paraId="1AF41745"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Q3</w:t>
            </w:r>
          </w:p>
        </w:tc>
        <w:tc>
          <w:tcPr>
            <w:tcW w:w="205" w:type="pct"/>
            <w:tcBorders>
              <w:top w:val="single" w:sz="4" w:space="0" w:color="auto"/>
              <w:bottom w:val="single" w:sz="4" w:space="0" w:color="auto"/>
            </w:tcBorders>
            <w:shd w:val="clear" w:color="auto" w:fill="D9D9D9"/>
          </w:tcPr>
          <w:p w14:paraId="212D785A"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Q4</w:t>
            </w:r>
          </w:p>
        </w:tc>
        <w:tc>
          <w:tcPr>
            <w:tcW w:w="205" w:type="pct"/>
            <w:tcBorders>
              <w:top w:val="single" w:sz="4" w:space="0" w:color="auto"/>
              <w:bottom w:val="single" w:sz="4" w:space="0" w:color="auto"/>
            </w:tcBorders>
            <w:shd w:val="clear" w:color="auto" w:fill="D9D9D9"/>
          </w:tcPr>
          <w:p w14:paraId="686ED6B4"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Q1</w:t>
            </w:r>
          </w:p>
        </w:tc>
        <w:tc>
          <w:tcPr>
            <w:tcW w:w="205" w:type="pct"/>
            <w:tcBorders>
              <w:top w:val="single" w:sz="4" w:space="0" w:color="auto"/>
              <w:bottom w:val="single" w:sz="4" w:space="0" w:color="auto"/>
            </w:tcBorders>
            <w:shd w:val="clear" w:color="auto" w:fill="D9D9D9"/>
          </w:tcPr>
          <w:p w14:paraId="7F2FB890"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Q2</w:t>
            </w:r>
          </w:p>
        </w:tc>
        <w:tc>
          <w:tcPr>
            <w:tcW w:w="205" w:type="pct"/>
            <w:tcBorders>
              <w:top w:val="single" w:sz="4" w:space="0" w:color="auto"/>
              <w:bottom w:val="single" w:sz="4" w:space="0" w:color="auto"/>
            </w:tcBorders>
            <w:shd w:val="clear" w:color="auto" w:fill="D9D9D9"/>
          </w:tcPr>
          <w:p w14:paraId="64C87235"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Q3</w:t>
            </w:r>
          </w:p>
        </w:tc>
        <w:tc>
          <w:tcPr>
            <w:tcW w:w="205" w:type="pct"/>
            <w:tcBorders>
              <w:top w:val="single" w:sz="4" w:space="0" w:color="auto"/>
              <w:bottom w:val="single" w:sz="4" w:space="0" w:color="auto"/>
            </w:tcBorders>
            <w:shd w:val="clear" w:color="auto" w:fill="D9D9D9"/>
          </w:tcPr>
          <w:p w14:paraId="78D24BDE"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Q4</w:t>
            </w:r>
          </w:p>
        </w:tc>
      </w:tr>
      <w:tr w:rsidR="003E6878" w:rsidRPr="002243E1" w14:paraId="39300274" w14:textId="77777777" w:rsidTr="004622EC">
        <w:tc>
          <w:tcPr>
            <w:tcW w:w="5000" w:type="pct"/>
            <w:gridSpan w:val="22"/>
            <w:tcBorders>
              <w:top w:val="single" w:sz="4" w:space="0" w:color="auto"/>
            </w:tcBorders>
            <w:shd w:val="clear" w:color="auto" w:fill="auto"/>
          </w:tcPr>
          <w:p w14:paraId="6C98B3A0" w14:textId="77777777" w:rsidR="003E6878" w:rsidRPr="002243E1" w:rsidRDefault="003E6878" w:rsidP="002243E1">
            <w:pPr>
              <w:rPr>
                <w:rFonts w:asciiTheme="majorHAnsi" w:hAnsiTheme="majorHAnsi"/>
                <w:b/>
                <w:sz w:val="18"/>
                <w:szCs w:val="18"/>
              </w:rPr>
            </w:pPr>
            <w:r w:rsidRPr="002243E1">
              <w:rPr>
                <w:rFonts w:asciiTheme="majorHAnsi" w:hAnsiTheme="majorHAnsi"/>
                <w:b/>
                <w:sz w:val="18"/>
                <w:szCs w:val="18"/>
              </w:rPr>
              <w:t>Component 1</w:t>
            </w:r>
          </w:p>
        </w:tc>
      </w:tr>
      <w:tr w:rsidR="00715B3D" w:rsidRPr="002243E1" w14:paraId="4197C0A8" w14:textId="77777777" w:rsidTr="00621087">
        <w:tc>
          <w:tcPr>
            <w:tcW w:w="485" w:type="pct"/>
            <w:shd w:val="clear" w:color="auto" w:fill="auto"/>
          </w:tcPr>
          <w:p w14:paraId="01DAE367" w14:textId="77777777" w:rsidR="003E6878" w:rsidRPr="002243E1" w:rsidRDefault="003E6878" w:rsidP="00B55453">
            <w:pPr>
              <w:tabs>
                <w:tab w:val="left" w:pos="520"/>
              </w:tabs>
              <w:rPr>
                <w:rFonts w:asciiTheme="majorHAnsi" w:hAnsiTheme="majorHAnsi"/>
                <w:sz w:val="18"/>
                <w:szCs w:val="18"/>
              </w:rPr>
            </w:pPr>
            <w:r w:rsidRPr="002243E1">
              <w:rPr>
                <w:rFonts w:asciiTheme="majorHAnsi" w:hAnsiTheme="majorHAnsi" w:cs="Arial"/>
                <w:sz w:val="18"/>
                <w:szCs w:val="18"/>
                <w:lang w:val="en-GB"/>
              </w:rPr>
              <w:t>Activity 1.1.1</w:t>
            </w:r>
          </w:p>
        </w:tc>
        <w:tc>
          <w:tcPr>
            <w:tcW w:w="424" w:type="pct"/>
            <w:vMerge w:val="restart"/>
            <w:shd w:val="clear" w:color="auto" w:fill="auto"/>
          </w:tcPr>
          <w:p w14:paraId="45528FEE" w14:textId="77777777" w:rsidR="003E6878" w:rsidRPr="002243E1" w:rsidRDefault="003E6878" w:rsidP="002243E1">
            <w:pPr>
              <w:rPr>
                <w:rFonts w:asciiTheme="majorHAnsi" w:hAnsiTheme="majorHAnsi"/>
                <w:sz w:val="18"/>
                <w:szCs w:val="18"/>
              </w:rPr>
            </w:pPr>
            <w:r w:rsidRPr="002243E1">
              <w:rPr>
                <w:rFonts w:asciiTheme="majorHAnsi" w:hAnsiTheme="majorHAnsi"/>
                <w:sz w:val="18"/>
                <w:szCs w:val="18"/>
              </w:rPr>
              <w:t>PMU, Task Manager Large Scale</w:t>
            </w:r>
          </w:p>
        </w:tc>
        <w:tc>
          <w:tcPr>
            <w:tcW w:w="190" w:type="pct"/>
            <w:shd w:val="clear" w:color="auto" w:fill="9BBB59" w:themeFill="accent3"/>
          </w:tcPr>
          <w:p w14:paraId="0B686912" w14:textId="77777777" w:rsidR="003E6878" w:rsidRPr="002243E1" w:rsidRDefault="003E6878" w:rsidP="00B55453">
            <w:pPr>
              <w:rPr>
                <w:rFonts w:asciiTheme="majorHAnsi" w:hAnsiTheme="majorHAnsi"/>
                <w:sz w:val="18"/>
                <w:szCs w:val="18"/>
              </w:rPr>
            </w:pPr>
          </w:p>
        </w:tc>
        <w:tc>
          <w:tcPr>
            <w:tcW w:w="219" w:type="pct"/>
            <w:shd w:val="clear" w:color="auto" w:fill="9BBB59" w:themeFill="accent3"/>
          </w:tcPr>
          <w:p w14:paraId="3F938638"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990F268"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8B02E03"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9E205B3"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F019158"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A31DDB1"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612D1E6"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B0B5578"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CDAD287"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1CB81A5"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73999D8"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7CFB388"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6274DD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CE2C883"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3333064"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DD44E42"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4CB2353"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0170FD3"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FC70856" w14:textId="77777777" w:rsidR="003E6878" w:rsidRPr="002243E1" w:rsidRDefault="003E6878" w:rsidP="00B55453">
            <w:pPr>
              <w:rPr>
                <w:rFonts w:asciiTheme="majorHAnsi" w:hAnsiTheme="majorHAnsi"/>
                <w:sz w:val="18"/>
                <w:szCs w:val="18"/>
              </w:rPr>
            </w:pPr>
          </w:p>
        </w:tc>
      </w:tr>
      <w:tr w:rsidR="003E6878" w:rsidRPr="002243E1" w14:paraId="65080102" w14:textId="77777777" w:rsidTr="004622EC">
        <w:tc>
          <w:tcPr>
            <w:tcW w:w="485" w:type="pct"/>
            <w:shd w:val="clear" w:color="auto" w:fill="auto"/>
          </w:tcPr>
          <w:p w14:paraId="75C6B8C8"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Activity 1.1.2</w:t>
            </w:r>
          </w:p>
        </w:tc>
        <w:tc>
          <w:tcPr>
            <w:tcW w:w="424" w:type="pct"/>
            <w:vMerge/>
            <w:shd w:val="clear" w:color="auto" w:fill="auto"/>
          </w:tcPr>
          <w:p w14:paraId="63ABC2FF" w14:textId="77777777" w:rsidR="003E6878" w:rsidRPr="002243E1" w:rsidRDefault="003E6878" w:rsidP="002243E1">
            <w:pPr>
              <w:rPr>
                <w:rFonts w:asciiTheme="majorHAnsi" w:hAnsiTheme="majorHAnsi"/>
                <w:sz w:val="18"/>
                <w:szCs w:val="18"/>
              </w:rPr>
            </w:pPr>
          </w:p>
        </w:tc>
        <w:tc>
          <w:tcPr>
            <w:tcW w:w="190" w:type="pct"/>
            <w:shd w:val="clear" w:color="auto" w:fill="auto"/>
          </w:tcPr>
          <w:p w14:paraId="4F6491AB" w14:textId="77777777" w:rsidR="003E6878" w:rsidRPr="002243E1" w:rsidRDefault="003E6878" w:rsidP="00B55453">
            <w:pPr>
              <w:rPr>
                <w:rFonts w:asciiTheme="majorHAnsi" w:hAnsiTheme="majorHAnsi"/>
                <w:sz w:val="18"/>
                <w:szCs w:val="18"/>
              </w:rPr>
            </w:pPr>
          </w:p>
        </w:tc>
        <w:tc>
          <w:tcPr>
            <w:tcW w:w="219" w:type="pct"/>
            <w:shd w:val="clear" w:color="auto" w:fill="auto"/>
          </w:tcPr>
          <w:p w14:paraId="60352F93"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36F0E2A"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67F5374"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DB135B9"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266D6F7"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E51BCF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0CC081B" w14:textId="77777777" w:rsidR="003E6878" w:rsidRPr="002243E1" w:rsidRDefault="003E6878" w:rsidP="00B55453">
            <w:pPr>
              <w:rPr>
                <w:rFonts w:asciiTheme="majorHAnsi" w:hAnsiTheme="majorHAnsi"/>
                <w:sz w:val="18"/>
                <w:szCs w:val="18"/>
              </w:rPr>
            </w:pPr>
          </w:p>
        </w:tc>
        <w:tc>
          <w:tcPr>
            <w:tcW w:w="205" w:type="pct"/>
            <w:shd w:val="clear" w:color="auto" w:fill="auto"/>
          </w:tcPr>
          <w:p w14:paraId="3E5FD7B0" w14:textId="77777777" w:rsidR="003E6878" w:rsidRPr="002243E1" w:rsidRDefault="003E6878" w:rsidP="00B55453">
            <w:pPr>
              <w:rPr>
                <w:rFonts w:asciiTheme="majorHAnsi" w:hAnsiTheme="majorHAnsi"/>
                <w:sz w:val="18"/>
                <w:szCs w:val="18"/>
              </w:rPr>
            </w:pPr>
          </w:p>
        </w:tc>
        <w:tc>
          <w:tcPr>
            <w:tcW w:w="205" w:type="pct"/>
            <w:shd w:val="clear" w:color="auto" w:fill="auto"/>
          </w:tcPr>
          <w:p w14:paraId="7DE259A5" w14:textId="77777777" w:rsidR="003E6878" w:rsidRPr="002243E1" w:rsidRDefault="003E6878" w:rsidP="00B55453">
            <w:pPr>
              <w:rPr>
                <w:rFonts w:asciiTheme="majorHAnsi" w:hAnsiTheme="majorHAnsi"/>
                <w:sz w:val="18"/>
                <w:szCs w:val="18"/>
              </w:rPr>
            </w:pPr>
          </w:p>
        </w:tc>
        <w:tc>
          <w:tcPr>
            <w:tcW w:w="205" w:type="pct"/>
            <w:shd w:val="clear" w:color="auto" w:fill="auto"/>
          </w:tcPr>
          <w:p w14:paraId="6F95FF8E" w14:textId="77777777" w:rsidR="003E6878" w:rsidRPr="002243E1" w:rsidRDefault="003E6878" w:rsidP="00B55453">
            <w:pPr>
              <w:rPr>
                <w:rFonts w:asciiTheme="majorHAnsi" w:hAnsiTheme="majorHAnsi"/>
                <w:sz w:val="18"/>
                <w:szCs w:val="18"/>
              </w:rPr>
            </w:pPr>
          </w:p>
        </w:tc>
        <w:tc>
          <w:tcPr>
            <w:tcW w:w="205" w:type="pct"/>
            <w:shd w:val="clear" w:color="auto" w:fill="auto"/>
          </w:tcPr>
          <w:p w14:paraId="6879EB16" w14:textId="77777777" w:rsidR="003E6878" w:rsidRPr="002243E1" w:rsidRDefault="003E6878" w:rsidP="00B55453">
            <w:pPr>
              <w:rPr>
                <w:rFonts w:asciiTheme="majorHAnsi" w:hAnsiTheme="majorHAnsi"/>
                <w:sz w:val="18"/>
                <w:szCs w:val="18"/>
              </w:rPr>
            </w:pPr>
          </w:p>
        </w:tc>
        <w:tc>
          <w:tcPr>
            <w:tcW w:w="205" w:type="pct"/>
            <w:shd w:val="clear" w:color="auto" w:fill="auto"/>
          </w:tcPr>
          <w:p w14:paraId="283C989D" w14:textId="77777777" w:rsidR="003E6878" w:rsidRPr="002243E1" w:rsidRDefault="003E6878" w:rsidP="00B55453">
            <w:pPr>
              <w:rPr>
                <w:rFonts w:asciiTheme="majorHAnsi" w:hAnsiTheme="majorHAnsi"/>
                <w:sz w:val="18"/>
                <w:szCs w:val="18"/>
              </w:rPr>
            </w:pPr>
          </w:p>
        </w:tc>
        <w:tc>
          <w:tcPr>
            <w:tcW w:w="205" w:type="pct"/>
            <w:shd w:val="clear" w:color="auto" w:fill="auto"/>
          </w:tcPr>
          <w:p w14:paraId="37B78EE9" w14:textId="77777777" w:rsidR="003E6878" w:rsidRPr="002243E1" w:rsidRDefault="003E6878" w:rsidP="00B55453">
            <w:pPr>
              <w:rPr>
                <w:rFonts w:asciiTheme="majorHAnsi" w:hAnsiTheme="majorHAnsi"/>
                <w:sz w:val="18"/>
                <w:szCs w:val="18"/>
              </w:rPr>
            </w:pPr>
          </w:p>
        </w:tc>
        <w:tc>
          <w:tcPr>
            <w:tcW w:w="205" w:type="pct"/>
            <w:shd w:val="clear" w:color="auto" w:fill="auto"/>
          </w:tcPr>
          <w:p w14:paraId="17F24C40" w14:textId="77777777" w:rsidR="003E6878" w:rsidRPr="002243E1" w:rsidRDefault="003E6878" w:rsidP="00B55453">
            <w:pPr>
              <w:rPr>
                <w:rFonts w:asciiTheme="majorHAnsi" w:hAnsiTheme="majorHAnsi"/>
                <w:sz w:val="18"/>
                <w:szCs w:val="18"/>
              </w:rPr>
            </w:pPr>
          </w:p>
        </w:tc>
        <w:tc>
          <w:tcPr>
            <w:tcW w:w="205" w:type="pct"/>
            <w:shd w:val="clear" w:color="auto" w:fill="auto"/>
          </w:tcPr>
          <w:p w14:paraId="4563F14A" w14:textId="77777777" w:rsidR="003E6878" w:rsidRPr="002243E1" w:rsidRDefault="003E6878" w:rsidP="00B55453">
            <w:pPr>
              <w:rPr>
                <w:rFonts w:asciiTheme="majorHAnsi" w:hAnsiTheme="majorHAnsi"/>
                <w:sz w:val="18"/>
                <w:szCs w:val="18"/>
              </w:rPr>
            </w:pPr>
          </w:p>
        </w:tc>
        <w:tc>
          <w:tcPr>
            <w:tcW w:w="205" w:type="pct"/>
            <w:shd w:val="clear" w:color="auto" w:fill="auto"/>
          </w:tcPr>
          <w:p w14:paraId="262C8D02" w14:textId="77777777" w:rsidR="003E6878" w:rsidRPr="002243E1" w:rsidRDefault="003E6878" w:rsidP="00B55453">
            <w:pPr>
              <w:rPr>
                <w:rFonts w:asciiTheme="majorHAnsi" w:hAnsiTheme="majorHAnsi"/>
                <w:sz w:val="18"/>
                <w:szCs w:val="18"/>
              </w:rPr>
            </w:pPr>
          </w:p>
        </w:tc>
        <w:tc>
          <w:tcPr>
            <w:tcW w:w="205" w:type="pct"/>
            <w:shd w:val="clear" w:color="auto" w:fill="auto"/>
          </w:tcPr>
          <w:p w14:paraId="162A5980" w14:textId="77777777" w:rsidR="003E6878" w:rsidRPr="002243E1" w:rsidRDefault="003E6878" w:rsidP="00B55453">
            <w:pPr>
              <w:rPr>
                <w:rFonts w:asciiTheme="majorHAnsi" w:hAnsiTheme="majorHAnsi"/>
                <w:sz w:val="18"/>
                <w:szCs w:val="18"/>
              </w:rPr>
            </w:pPr>
          </w:p>
        </w:tc>
        <w:tc>
          <w:tcPr>
            <w:tcW w:w="205" w:type="pct"/>
            <w:shd w:val="clear" w:color="auto" w:fill="auto"/>
          </w:tcPr>
          <w:p w14:paraId="71B839D2" w14:textId="77777777" w:rsidR="003E6878" w:rsidRPr="002243E1" w:rsidRDefault="003E6878" w:rsidP="00B55453">
            <w:pPr>
              <w:rPr>
                <w:rFonts w:asciiTheme="majorHAnsi" w:hAnsiTheme="majorHAnsi"/>
                <w:sz w:val="18"/>
                <w:szCs w:val="18"/>
              </w:rPr>
            </w:pPr>
          </w:p>
        </w:tc>
        <w:tc>
          <w:tcPr>
            <w:tcW w:w="205" w:type="pct"/>
            <w:shd w:val="clear" w:color="auto" w:fill="auto"/>
          </w:tcPr>
          <w:p w14:paraId="438F2194" w14:textId="77777777" w:rsidR="003E6878" w:rsidRPr="002243E1" w:rsidRDefault="003E6878" w:rsidP="00B55453">
            <w:pPr>
              <w:rPr>
                <w:rFonts w:asciiTheme="majorHAnsi" w:hAnsiTheme="majorHAnsi"/>
                <w:sz w:val="18"/>
                <w:szCs w:val="18"/>
              </w:rPr>
            </w:pPr>
          </w:p>
        </w:tc>
      </w:tr>
      <w:tr w:rsidR="003E6878" w:rsidRPr="002243E1" w14:paraId="7E2F9F86" w14:textId="77777777" w:rsidTr="004622EC">
        <w:tc>
          <w:tcPr>
            <w:tcW w:w="485" w:type="pct"/>
            <w:shd w:val="clear" w:color="auto" w:fill="auto"/>
          </w:tcPr>
          <w:p w14:paraId="7F1B862F" w14:textId="77777777" w:rsidR="003E6878" w:rsidRPr="002243E1" w:rsidRDefault="003E6878" w:rsidP="00B55453">
            <w:pPr>
              <w:tabs>
                <w:tab w:val="left" w:pos="787"/>
              </w:tabs>
              <w:rPr>
                <w:rFonts w:asciiTheme="majorHAnsi" w:hAnsiTheme="majorHAnsi"/>
                <w:sz w:val="18"/>
                <w:szCs w:val="18"/>
              </w:rPr>
            </w:pPr>
            <w:r w:rsidRPr="002243E1">
              <w:rPr>
                <w:rFonts w:asciiTheme="majorHAnsi" w:hAnsiTheme="majorHAnsi"/>
                <w:sz w:val="18"/>
                <w:szCs w:val="18"/>
              </w:rPr>
              <w:t>Activity 1.1.3</w:t>
            </w:r>
          </w:p>
        </w:tc>
        <w:tc>
          <w:tcPr>
            <w:tcW w:w="424" w:type="pct"/>
            <w:vMerge/>
            <w:shd w:val="clear" w:color="auto" w:fill="auto"/>
          </w:tcPr>
          <w:p w14:paraId="5DF7BED2" w14:textId="77777777" w:rsidR="003E6878" w:rsidRPr="002243E1" w:rsidRDefault="003E6878" w:rsidP="002243E1">
            <w:pPr>
              <w:rPr>
                <w:rFonts w:asciiTheme="majorHAnsi" w:hAnsiTheme="majorHAnsi"/>
                <w:sz w:val="18"/>
                <w:szCs w:val="18"/>
              </w:rPr>
            </w:pPr>
          </w:p>
        </w:tc>
        <w:tc>
          <w:tcPr>
            <w:tcW w:w="190" w:type="pct"/>
            <w:shd w:val="clear" w:color="auto" w:fill="auto"/>
          </w:tcPr>
          <w:p w14:paraId="046060F9" w14:textId="77777777" w:rsidR="003E6878" w:rsidRPr="002243E1" w:rsidRDefault="003E6878" w:rsidP="00B55453">
            <w:pPr>
              <w:rPr>
                <w:rFonts w:asciiTheme="majorHAnsi" w:hAnsiTheme="majorHAnsi"/>
                <w:sz w:val="18"/>
                <w:szCs w:val="18"/>
              </w:rPr>
            </w:pPr>
          </w:p>
        </w:tc>
        <w:tc>
          <w:tcPr>
            <w:tcW w:w="219" w:type="pct"/>
            <w:shd w:val="clear" w:color="auto" w:fill="auto"/>
          </w:tcPr>
          <w:p w14:paraId="0074EC67" w14:textId="77777777" w:rsidR="003E6878" w:rsidRPr="002243E1" w:rsidRDefault="003E6878" w:rsidP="00B55453">
            <w:pPr>
              <w:rPr>
                <w:rFonts w:asciiTheme="majorHAnsi" w:hAnsiTheme="majorHAnsi"/>
                <w:sz w:val="18"/>
                <w:szCs w:val="18"/>
              </w:rPr>
            </w:pPr>
          </w:p>
        </w:tc>
        <w:tc>
          <w:tcPr>
            <w:tcW w:w="205" w:type="pct"/>
            <w:shd w:val="clear" w:color="auto" w:fill="auto"/>
          </w:tcPr>
          <w:p w14:paraId="209DEAE2" w14:textId="77777777" w:rsidR="003E6878" w:rsidRPr="002243E1" w:rsidRDefault="003E6878" w:rsidP="00B55453">
            <w:pPr>
              <w:rPr>
                <w:rFonts w:asciiTheme="majorHAnsi" w:hAnsiTheme="majorHAnsi"/>
                <w:sz w:val="18"/>
                <w:szCs w:val="18"/>
              </w:rPr>
            </w:pPr>
          </w:p>
        </w:tc>
        <w:tc>
          <w:tcPr>
            <w:tcW w:w="205" w:type="pct"/>
            <w:shd w:val="clear" w:color="auto" w:fill="auto"/>
          </w:tcPr>
          <w:p w14:paraId="6548B42C" w14:textId="77777777" w:rsidR="003E6878" w:rsidRPr="002243E1" w:rsidRDefault="003E6878" w:rsidP="00B55453">
            <w:pPr>
              <w:rPr>
                <w:rFonts w:asciiTheme="majorHAnsi" w:hAnsiTheme="majorHAnsi"/>
                <w:sz w:val="18"/>
                <w:szCs w:val="18"/>
              </w:rPr>
            </w:pPr>
          </w:p>
        </w:tc>
        <w:tc>
          <w:tcPr>
            <w:tcW w:w="205" w:type="pct"/>
            <w:shd w:val="clear" w:color="auto" w:fill="auto"/>
          </w:tcPr>
          <w:p w14:paraId="3134D9AF"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38FDAB3"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0C5F3D8"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528981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1604091"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499BEB6"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9362343" w14:textId="77777777" w:rsidR="003E6878" w:rsidRPr="002243E1" w:rsidRDefault="003E6878" w:rsidP="00B55453">
            <w:pPr>
              <w:rPr>
                <w:rFonts w:asciiTheme="majorHAnsi" w:hAnsiTheme="majorHAnsi"/>
                <w:sz w:val="18"/>
                <w:szCs w:val="18"/>
              </w:rPr>
            </w:pPr>
          </w:p>
        </w:tc>
        <w:tc>
          <w:tcPr>
            <w:tcW w:w="205" w:type="pct"/>
            <w:shd w:val="clear" w:color="auto" w:fill="auto"/>
          </w:tcPr>
          <w:p w14:paraId="7CF37E54" w14:textId="77777777" w:rsidR="003E6878" w:rsidRPr="002243E1" w:rsidRDefault="003E6878" w:rsidP="00B55453">
            <w:pPr>
              <w:rPr>
                <w:rFonts w:asciiTheme="majorHAnsi" w:hAnsiTheme="majorHAnsi"/>
                <w:sz w:val="18"/>
                <w:szCs w:val="18"/>
              </w:rPr>
            </w:pPr>
          </w:p>
        </w:tc>
        <w:tc>
          <w:tcPr>
            <w:tcW w:w="205" w:type="pct"/>
            <w:shd w:val="clear" w:color="auto" w:fill="auto"/>
          </w:tcPr>
          <w:p w14:paraId="2442572D" w14:textId="77777777" w:rsidR="003E6878" w:rsidRPr="002243E1" w:rsidRDefault="003E6878" w:rsidP="00B55453">
            <w:pPr>
              <w:rPr>
                <w:rFonts w:asciiTheme="majorHAnsi" w:hAnsiTheme="majorHAnsi"/>
                <w:sz w:val="18"/>
                <w:szCs w:val="18"/>
              </w:rPr>
            </w:pPr>
          </w:p>
        </w:tc>
        <w:tc>
          <w:tcPr>
            <w:tcW w:w="205" w:type="pct"/>
            <w:shd w:val="clear" w:color="auto" w:fill="auto"/>
          </w:tcPr>
          <w:p w14:paraId="20171A2A" w14:textId="77777777" w:rsidR="003E6878" w:rsidRPr="002243E1" w:rsidRDefault="003E6878" w:rsidP="00B55453">
            <w:pPr>
              <w:rPr>
                <w:rFonts w:asciiTheme="majorHAnsi" w:hAnsiTheme="majorHAnsi"/>
                <w:sz w:val="18"/>
                <w:szCs w:val="18"/>
              </w:rPr>
            </w:pPr>
          </w:p>
        </w:tc>
        <w:tc>
          <w:tcPr>
            <w:tcW w:w="205" w:type="pct"/>
            <w:shd w:val="clear" w:color="auto" w:fill="auto"/>
          </w:tcPr>
          <w:p w14:paraId="3153754E" w14:textId="77777777" w:rsidR="003E6878" w:rsidRPr="002243E1" w:rsidRDefault="003E6878" w:rsidP="00B55453">
            <w:pPr>
              <w:rPr>
                <w:rFonts w:asciiTheme="majorHAnsi" w:hAnsiTheme="majorHAnsi"/>
                <w:sz w:val="18"/>
                <w:szCs w:val="18"/>
              </w:rPr>
            </w:pPr>
          </w:p>
        </w:tc>
        <w:tc>
          <w:tcPr>
            <w:tcW w:w="205" w:type="pct"/>
            <w:shd w:val="clear" w:color="auto" w:fill="auto"/>
          </w:tcPr>
          <w:p w14:paraId="69C80614" w14:textId="77777777" w:rsidR="003E6878" w:rsidRPr="002243E1" w:rsidRDefault="003E6878" w:rsidP="00B55453">
            <w:pPr>
              <w:rPr>
                <w:rFonts w:asciiTheme="majorHAnsi" w:hAnsiTheme="majorHAnsi"/>
                <w:sz w:val="18"/>
                <w:szCs w:val="18"/>
              </w:rPr>
            </w:pPr>
          </w:p>
        </w:tc>
        <w:tc>
          <w:tcPr>
            <w:tcW w:w="205" w:type="pct"/>
            <w:shd w:val="clear" w:color="auto" w:fill="auto"/>
          </w:tcPr>
          <w:p w14:paraId="399E17D0" w14:textId="77777777" w:rsidR="003E6878" w:rsidRPr="002243E1" w:rsidRDefault="003E6878" w:rsidP="00B55453">
            <w:pPr>
              <w:rPr>
                <w:rFonts w:asciiTheme="majorHAnsi" w:hAnsiTheme="majorHAnsi"/>
                <w:sz w:val="18"/>
                <w:szCs w:val="18"/>
              </w:rPr>
            </w:pPr>
          </w:p>
        </w:tc>
        <w:tc>
          <w:tcPr>
            <w:tcW w:w="205" w:type="pct"/>
            <w:shd w:val="clear" w:color="auto" w:fill="auto"/>
          </w:tcPr>
          <w:p w14:paraId="01046BA5" w14:textId="77777777" w:rsidR="003E6878" w:rsidRPr="002243E1" w:rsidRDefault="003E6878" w:rsidP="00B55453">
            <w:pPr>
              <w:rPr>
                <w:rFonts w:asciiTheme="majorHAnsi" w:hAnsiTheme="majorHAnsi"/>
                <w:sz w:val="18"/>
                <w:szCs w:val="18"/>
              </w:rPr>
            </w:pPr>
          </w:p>
        </w:tc>
        <w:tc>
          <w:tcPr>
            <w:tcW w:w="205" w:type="pct"/>
            <w:shd w:val="clear" w:color="auto" w:fill="auto"/>
          </w:tcPr>
          <w:p w14:paraId="21A24DB1" w14:textId="77777777" w:rsidR="003E6878" w:rsidRPr="002243E1" w:rsidRDefault="003E6878" w:rsidP="00B55453">
            <w:pPr>
              <w:rPr>
                <w:rFonts w:asciiTheme="majorHAnsi" w:hAnsiTheme="majorHAnsi"/>
                <w:sz w:val="18"/>
                <w:szCs w:val="18"/>
              </w:rPr>
            </w:pPr>
          </w:p>
        </w:tc>
        <w:tc>
          <w:tcPr>
            <w:tcW w:w="205" w:type="pct"/>
            <w:shd w:val="clear" w:color="auto" w:fill="auto"/>
          </w:tcPr>
          <w:p w14:paraId="6A8B5458" w14:textId="77777777" w:rsidR="003E6878" w:rsidRPr="002243E1" w:rsidRDefault="003E6878" w:rsidP="00B55453">
            <w:pPr>
              <w:rPr>
                <w:rFonts w:asciiTheme="majorHAnsi" w:hAnsiTheme="majorHAnsi"/>
                <w:sz w:val="18"/>
                <w:szCs w:val="18"/>
              </w:rPr>
            </w:pPr>
          </w:p>
        </w:tc>
      </w:tr>
      <w:tr w:rsidR="003E6878" w:rsidRPr="002243E1" w14:paraId="3A340E7B" w14:textId="77777777" w:rsidTr="004622EC">
        <w:tc>
          <w:tcPr>
            <w:tcW w:w="485" w:type="pct"/>
            <w:shd w:val="clear" w:color="auto" w:fill="auto"/>
          </w:tcPr>
          <w:p w14:paraId="0407E141"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Activity 1.1.4</w:t>
            </w:r>
          </w:p>
        </w:tc>
        <w:tc>
          <w:tcPr>
            <w:tcW w:w="424" w:type="pct"/>
            <w:vMerge/>
            <w:shd w:val="clear" w:color="auto" w:fill="auto"/>
          </w:tcPr>
          <w:p w14:paraId="3D591A9C" w14:textId="77777777" w:rsidR="003E6878" w:rsidRPr="002243E1" w:rsidRDefault="003E6878" w:rsidP="002243E1">
            <w:pPr>
              <w:rPr>
                <w:rFonts w:asciiTheme="majorHAnsi" w:hAnsiTheme="majorHAnsi"/>
                <w:sz w:val="18"/>
                <w:szCs w:val="18"/>
              </w:rPr>
            </w:pPr>
          </w:p>
        </w:tc>
        <w:tc>
          <w:tcPr>
            <w:tcW w:w="190" w:type="pct"/>
            <w:shd w:val="clear" w:color="auto" w:fill="auto"/>
          </w:tcPr>
          <w:p w14:paraId="1E5E9BA8" w14:textId="77777777" w:rsidR="003E6878" w:rsidRPr="002243E1" w:rsidRDefault="003E6878" w:rsidP="00B55453">
            <w:pPr>
              <w:rPr>
                <w:rFonts w:asciiTheme="majorHAnsi" w:hAnsiTheme="majorHAnsi"/>
                <w:sz w:val="18"/>
                <w:szCs w:val="18"/>
              </w:rPr>
            </w:pPr>
          </w:p>
        </w:tc>
        <w:tc>
          <w:tcPr>
            <w:tcW w:w="219" w:type="pct"/>
            <w:shd w:val="clear" w:color="auto" w:fill="auto"/>
          </w:tcPr>
          <w:p w14:paraId="2E862C5D" w14:textId="77777777" w:rsidR="003E6878" w:rsidRPr="002243E1" w:rsidRDefault="003E6878" w:rsidP="00B55453">
            <w:pPr>
              <w:rPr>
                <w:rFonts w:asciiTheme="majorHAnsi" w:hAnsiTheme="majorHAnsi"/>
                <w:sz w:val="18"/>
                <w:szCs w:val="18"/>
              </w:rPr>
            </w:pPr>
          </w:p>
        </w:tc>
        <w:tc>
          <w:tcPr>
            <w:tcW w:w="205" w:type="pct"/>
            <w:shd w:val="clear" w:color="auto" w:fill="auto"/>
          </w:tcPr>
          <w:p w14:paraId="6C60A554" w14:textId="77777777" w:rsidR="003E6878" w:rsidRPr="002243E1" w:rsidRDefault="003E6878" w:rsidP="00B55453">
            <w:pPr>
              <w:rPr>
                <w:rFonts w:asciiTheme="majorHAnsi" w:hAnsiTheme="majorHAnsi"/>
                <w:sz w:val="18"/>
                <w:szCs w:val="18"/>
              </w:rPr>
            </w:pPr>
          </w:p>
        </w:tc>
        <w:tc>
          <w:tcPr>
            <w:tcW w:w="205" w:type="pct"/>
            <w:shd w:val="clear" w:color="auto" w:fill="auto"/>
          </w:tcPr>
          <w:p w14:paraId="52B37489" w14:textId="77777777" w:rsidR="003E6878" w:rsidRPr="002243E1" w:rsidRDefault="003E6878" w:rsidP="00B55453">
            <w:pPr>
              <w:rPr>
                <w:rFonts w:asciiTheme="majorHAnsi" w:hAnsiTheme="majorHAnsi"/>
                <w:sz w:val="18"/>
                <w:szCs w:val="18"/>
              </w:rPr>
            </w:pPr>
          </w:p>
        </w:tc>
        <w:tc>
          <w:tcPr>
            <w:tcW w:w="205" w:type="pct"/>
            <w:shd w:val="clear" w:color="auto" w:fill="auto"/>
          </w:tcPr>
          <w:p w14:paraId="498A90B3" w14:textId="77777777" w:rsidR="003E6878" w:rsidRPr="002243E1" w:rsidRDefault="003E6878" w:rsidP="00B55453">
            <w:pPr>
              <w:rPr>
                <w:rFonts w:asciiTheme="majorHAnsi" w:hAnsiTheme="majorHAnsi"/>
                <w:sz w:val="18"/>
                <w:szCs w:val="18"/>
              </w:rPr>
            </w:pPr>
          </w:p>
        </w:tc>
        <w:tc>
          <w:tcPr>
            <w:tcW w:w="205" w:type="pct"/>
            <w:shd w:val="clear" w:color="auto" w:fill="auto"/>
          </w:tcPr>
          <w:p w14:paraId="63DDF034"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454D82D"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5F615A8"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CA9A9AB"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3DEE494" w14:textId="77777777" w:rsidR="003E6878" w:rsidRPr="002243E1" w:rsidRDefault="003E6878" w:rsidP="00B55453">
            <w:pPr>
              <w:rPr>
                <w:rFonts w:asciiTheme="majorHAnsi" w:hAnsiTheme="majorHAnsi"/>
                <w:sz w:val="18"/>
                <w:szCs w:val="18"/>
              </w:rPr>
            </w:pPr>
          </w:p>
        </w:tc>
        <w:tc>
          <w:tcPr>
            <w:tcW w:w="205" w:type="pct"/>
            <w:shd w:val="clear" w:color="auto" w:fill="auto"/>
          </w:tcPr>
          <w:p w14:paraId="48F3EB57" w14:textId="77777777" w:rsidR="003E6878" w:rsidRPr="002243E1" w:rsidRDefault="003E6878" w:rsidP="00B55453">
            <w:pPr>
              <w:rPr>
                <w:rFonts w:asciiTheme="majorHAnsi" w:hAnsiTheme="majorHAnsi"/>
                <w:sz w:val="18"/>
                <w:szCs w:val="18"/>
              </w:rPr>
            </w:pPr>
          </w:p>
        </w:tc>
        <w:tc>
          <w:tcPr>
            <w:tcW w:w="205" w:type="pct"/>
            <w:shd w:val="clear" w:color="auto" w:fill="auto"/>
          </w:tcPr>
          <w:p w14:paraId="50983FE5" w14:textId="77777777" w:rsidR="003E6878" w:rsidRPr="002243E1" w:rsidRDefault="003E6878" w:rsidP="00B55453">
            <w:pPr>
              <w:rPr>
                <w:rFonts w:asciiTheme="majorHAnsi" w:hAnsiTheme="majorHAnsi"/>
                <w:sz w:val="18"/>
                <w:szCs w:val="18"/>
              </w:rPr>
            </w:pPr>
          </w:p>
        </w:tc>
        <w:tc>
          <w:tcPr>
            <w:tcW w:w="205" w:type="pct"/>
            <w:shd w:val="clear" w:color="auto" w:fill="auto"/>
          </w:tcPr>
          <w:p w14:paraId="7BD8257B" w14:textId="77777777" w:rsidR="003E6878" w:rsidRPr="002243E1" w:rsidRDefault="003E6878" w:rsidP="00B55453">
            <w:pPr>
              <w:rPr>
                <w:rFonts w:asciiTheme="majorHAnsi" w:hAnsiTheme="majorHAnsi"/>
                <w:sz w:val="18"/>
                <w:szCs w:val="18"/>
              </w:rPr>
            </w:pPr>
          </w:p>
        </w:tc>
        <w:tc>
          <w:tcPr>
            <w:tcW w:w="205" w:type="pct"/>
            <w:shd w:val="clear" w:color="auto" w:fill="auto"/>
          </w:tcPr>
          <w:p w14:paraId="2E22D21A" w14:textId="77777777" w:rsidR="003E6878" w:rsidRPr="002243E1" w:rsidRDefault="003E6878" w:rsidP="00B55453">
            <w:pPr>
              <w:rPr>
                <w:rFonts w:asciiTheme="majorHAnsi" w:hAnsiTheme="majorHAnsi"/>
                <w:sz w:val="18"/>
                <w:szCs w:val="18"/>
              </w:rPr>
            </w:pPr>
          </w:p>
        </w:tc>
        <w:tc>
          <w:tcPr>
            <w:tcW w:w="205" w:type="pct"/>
            <w:shd w:val="clear" w:color="auto" w:fill="auto"/>
          </w:tcPr>
          <w:p w14:paraId="08E2F103" w14:textId="77777777" w:rsidR="003E6878" w:rsidRPr="002243E1" w:rsidRDefault="003E6878" w:rsidP="00B55453">
            <w:pPr>
              <w:rPr>
                <w:rFonts w:asciiTheme="majorHAnsi" w:hAnsiTheme="majorHAnsi"/>
                <w:sz w:val="18"/>
                <w:szCs w:val="18"/>
              </w:rPr>
            </w:pPr>
          </w:p>
        </w:tc>
        <w:tc>
          <w:tcPr>
            <w:tcW w:w="205" w:type="pct"/>
            <w:shd w:val="clear" w:color="auto" w:fill="auto"/>
          </w:tcPr>
          <w:p w14:paraId="0544B119" w14:textId="77777777" w:rsidR="003E6878" w:rsidRPr="002243E1" w:rsidRDefault="003E6878" w:rsidP="00B55453">
            <w:pPr>
              <w:rPr>
                <w:rFonts w:asciiTheme="majorHAnsi" w:hAnsiTheme="majorHAnsi"/>
                <w:sz w:val="18"/>
                <w:szCs w:val="18"/>
              </w:rPr>
            </w:pPr>
          </w:p>
        </w:tc>
        <w:tc>
          <w:tcPr>
            <w:tcW w:w="205" w:type="pct"/>
            <w:shd w:val="clear" w:color="auto" w:fill="auto"/>
          </w:tcPr>
          <w:p w14:paraId="374AB79E" w14:textId="77777777" w:rsidR="003E6878" w:rsidRPr="002243E1" w:rsidRDefault="003E6878" w:rsidP="00B55453">
            <w:pPr>
              <w:rPr>
                <w:rFonts w:asciiTheme="majorHAnsi" w:hAnsiTheme="majorHAnsi"/>
                <w:sz w:val="18"/>
                <w:szCs w:val="18"/>
              </w:rPr>
            </w:pPr>
          </w:p>
        </w:tc>
        <w:tc>
          <w:tcPr>
            <w:tcW w:w="205" w:type="pct"/>
            <w:shd w:val="clear" w:color="auto" w:fill="auto"/>
          </w:tcPr>
          <w:p w14:paraId="4872F054" w14:textId="77777777" w:rsidR="003E6878" w:rsidRPr="002243E1" w:rsidRDefault="003E6878" w:rsidP="00B55453">
            <w:pPr>
              <w:rPr>
                <w:rFonts w:asciiTheme="majorHAnsi" w:hAnsiTheme="majorHAnsi"/>
                <w:sz w:val="18"/>
                <w:szCs w:val="18"/>
              </w:rPr>
            </w:pPr>
          </w:p>
        </w:tc>
        <w:tc>
          <w:tcPr>
            <w:tcW w:w="205" w:type="pct"/>
            <w:shd w:val="clear" w:color="auto" w:fill="auto"/>
          </w:tcPr>
          <w:p w14:paraId="7C7AAEBD" w14:textId="77777777" w:rsidR="003E6878" w:rsidRPr="002243E1" w:rsidRDefault="003E6878" w:rsidP="00B55453">
            <w:pPr>
              <w:rPr>
                <w:rFonts w:asciiTheme="majorHAnsi" w:hAnsiTheme="majorHAnsi"/>
                <w:sz w:val="18"/>
                <w:szCs w:val="18"/>
              </w:rPr>
            </w:pPr>
          </w:p>
        </w:tc>
        <w:tc>
          <w:tcPr>
            <w:tcW w:w="205" w:type="pct"/>
            <w:shd w:val="clear" w:color="auto" w:fill="auto"/>
          </w:tcPr>
          <w:p w14:paraId="098E7BE7" w14:textId="77777777" w:rsidR="003E6878" w:rsidRPr="002243E1" w:rsidRDefault="003E6878" w:rsidP="00B55453">
            <w:pPr>
              <w:rPr>
                <w:rFonts w:asciiTheme="majorHAnsi" w:hAnsiTheme="majorHAnsi"/>
                <w:sz w:val="18"/>
                <w:szCs w:val="18"/>
              </w:rPr>
            </w:pPr>
          </w:p>
        </w:tc>
      </w:tr>
      <w:tr w:rsidR="003E6878" w:rsidRPr="002243E1" w14:paraId="36639324" w14:textId="77777777" w:rsidTr="004622EC">
        <w:tc>
          <w:tcPr>
            <w:tcW w:w="485" w:type="pct"/>
            <w:shd w:val="clear" w:color="auto" w:fill="auto"/>
          </w:tcPr>
          <w:p w14:paraId="7A1C5C0C"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Activity 1.1.5</w:t>
            </w:r>
          </w:p>
        </w:tc>
        <w:tc>
          <w:tcPr>
            <w:tcW w:w="424" w:type="pct"/>
            <w:vMerge/>
            <w:shd w:val="clear" w:color="auto" w:fill="auto"/>
          </w:tcPr>
          <w:p w14:paraId="2D04309F" w14:textId="77777777" w:rsidR="003E6878" w:rsidRPr="002243E1" w:rsidRDefault="003E6878" w:rsidP="002243E1">
            <w:pPr>
              <w:rPr>
                <w:rFonts w:asciiTheme="majorHAnsi" w:hAnsiTheme="majorHAnsi"/>
                <w:sz w:val="18"/>
                <w:szCs w:val="18"/>
              </w:rPr>
            </w:pPr>
          </w:p>
        </w:tc>
        <w:tc>
          <w:tcPr>
            <w:tcW w:w="190" w:type="pct"/>
            <w:shd w:val="clear" w:color="auto" w:fill="auto"/>
          </w:tcPr>
          <w:p w14:paraId="14CA0BC5" w14:textId="77777777" w:rsidR="003E6878" w:rsidRPr="002243E1" w:rsidRDefault="003E6878" w:rsidP="00B55453">
            <w:pPr>
              <w:rPr>
                <w:rFonts w:asciiTheme="majorHAnsi" w:hAnsiTheme="majorHAnsi"/>
                <w:sz w:val="18"/>
                <w:szCs w:val="18"/>
              </w:rPr>
            </w:pPr>
          </w:p>
        </w:tc>
        <w:tc>
          <w:tcPr>
            <w:tcW w:w="219" w:type="pct"/>
            <w:shd w:val="clear" w:color="auto" w:fill="auto"/>
          </w:tcPr>
          <w:p w14:paraId="26324D66" w14:textId="77777777" w:rsidR="003E6878" w:rsidRPr="002243E1" w:rsidRDefault="003E6878" w:rsidP="00B55453">
            <w:pPr>
              <w:rPr>
                <w:rFonts w:asciiTheme="majorHAnsi" w:hAnsiTheme="majorHAnsi"/>
                <w:sz w:val="18"/>
                <w:szCs w:val="18"/>
              </w:rPr>
            </w:pPr>
          </w:p>
        </w:tc>
        <w:tc>
          <w:tcPr>
            <w:tcW w:w="205" w:type="pct"/>
            <w:shd w:val="clear" w:color="auto" w:fill="auto"/>
          </w:tcPr>
          <w:p w14:paraId="72D00ACF" w14:textId="77777777" w:rsidR="003E6878" w:rsidRPr="002243E1" w:rsidRDefault="003E6878" w:rsidP="00B55453">
            <w:pPr>
              <w:rPr>
                <w:rFonts w:asciiTheme="majorHAnsi" w:hAnsiTheme="majorHAnsi"/>
                <w:sz w:val="18"/>
                <w:szCs w:val="18"/>
              </w:rPr>
            </w:pPr>
          </w:p>
        </w:tc>
        <w:tc>
          <w:tcPr>
            <w:tcW w:w="205" w:type="pct"/>
            <w:shd w:val="clear" w:color="auto" w:fill="auto"/>
          </w:tcPr>
          <w:p w14:paraId="323B8F5A" w14:textId="77777777" w:rsidR="003E6878" w:rsidRPr="002243E1" w:rsidRDefault="003E6878" w:rsidP="00B55453">
            <w:pPr>
              <w:rPr>
                <w:rFonts w:asciiTheme="majorHAnsi" w:hAnsiTheme="majorHAnsi"/>
                <w:sz w:val="18"/>
                <w:szCs w:val="18"/>
              </w:rPr>
            </w:pPr>
          </w:p>
        </w:tc>
        <w:tc>
          <w:tcPr>
            <w:tcW w:w="205" w:type="pct"/>
            <w:shd w:val="clear" w:color="auto" w:fill="auto"/>
          </w:tcPr>
          <w:p w14:paraId="31F735C1" w14:textId="77777777" w:rsidR="003E6878" w:rsidRPr="002243E1" w:rsidRDefault="003E6878" w:rsidP="00B55453">
            <w:pPr>
              <w:rPr>
                <w:rFonts w:asciiTheme="majorHAnsi" w:hAnsiTheme="majorHAnsi"/>
                <w:sz w:val="18"/>
                <w:szCs w:val="18"/>
              </w:rPr>
            </w:pPr>
          </w:p>
        </w:tc>
        <w:tc>
          <w:tcPr>
            <w:tcW w:w="205" w:type="pct"/>
            <w:shd w:val="clear" w:color="auto" w:fill="auto"/>
          </w:tcPr>
          <w:p w14:paraId="73D60095" w14:textId="77777777" w:rsidR="003E6878" w:rsidRPr="002243E1" w:rsidRDefault="003E6878" w:rsidP="00B55453">
            <w:pPr>
              <w:rPr>
                <w:rFonts w:asciiTheme="majorHAnsi" w:hAnsiTheme="majorHAnsi"/>
                <w:sz w:val="18"/>
                <w:szCs w:val="18"/>
              </w:rPr>
            </w:pPr>
          </w:p>
        </w:tc>
        <w:tc>
          <w:tcPr>
            <w:tcW w:w="205" w:type="pct"/>
            <w:shd w:val="clear" w:color="auto" w:fill="auto"/>
          </w:tcPr>
          <w:p w14:paraId="73E13B4D" w14:textId="77777777" w:rsidR="003E6878" w:rsidRPr="002243E1" w:rsidRDefault="003E6878" w:rsidP="00B55453">
            <w:pPr>
              <w:rPr>
                <w:rFonts w:asciiTheme="majorHAnsi" w:hAnsiTheme="majorHAnsi"/>
                <w:sz w:val="18"/>
                <w:szCs w:val="18"/>
              </w:rPr>
            </w:pPr>
          </w:p>
        </w:tc>
        <w:tc>
          <w:tcPr>
            <w:tcW w:w="205" w:type="pct"/>
            <w:shd w:val="clear" w:color="auto" w:fill="auto"/>
          </w:tcPr>
          <w:p w14:paraId="22ACFDD3"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1923D13"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23DEF4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D1217F1"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A2D5085" w14:textId="77777777" w:rsidR="003E6878" w:rsidRPr="002243E1" w:rsidRDefault="003E6878" w:rsidP="00B55453">
            <w:pPr>
              <w:rPr>
                <w:rFonts w:asciiTheme="majorHAnsi" w:hAnsiTheme="majorHAnsi"/>
                <w:sz w:val="18"/>
                <w:szCs w:val="18"/>
              </w:rPr>
            </w:pPr>
          </w:p>
        </w:tc>
        <w:tc>
          <w:tcPr>
            <w:tcW w:w="205" w:type="pct"/>
            <w:shd w:val="clear" w:color="auto" w:fill="auto"/>
          </w:tcPr>
          <w:p w14:paraId="5776BB3B" w14:textId="77777777" w:rsidR="003E6878" w:rsidRPr="002243E1" w:rsidRDefault="003E6878" w:rsidP="00B55453">
            <w:pPr>
              <w:rPr>
                <w:rFonts w:asciiTheme="majorHAnsi" w:hAnsiTheme="majorHAnsi"/>
                <w:sz w:val="18"/>
                <w:szCs w:val="18"/>
              </w:rPr>
            </w:pPr>
          </w:p>
        </w:tc>
        <w:tc>
          <w:tcPr>
            <w:tcW w:w="205" w:type="pct"/>
            <w:shd w:val="clear" w:color="auto" w:fill="auto"/>
          </w:tcPr>
          <w:p w14:paraId="00F9BA21" w14:textId="77777777" w:rsidR="003E6878" w:rsidRPr="002243E1" w:rsidRDefault="003E6878" w:rsidP="00B55453">
            <w:pPr>
              <w:rPr>
                <w:rFonts w:asciiTheme="majorHAnsi" w:hAnsiTheme="majorHAnsi"/>
                <w:sz w:val="18"/>
                <w:szCs w:val="18"/>
              </w:rPr>
            </w:pPr>
          </w:p>
        </w:tc>
        <w:tc>
          <w:tcPr>
            <w:tcW w:w="205" w:type="pct"/>
            <w:shd w:val="clear" w:color="auto" w:fill="auto"/>
          </w:tcPr>
          <w:p w14:paraId="0766227D" w14:textId="77777777" w:rsidR="003E6878" w:rsidRPr="002243E1" w:rsidRDefault="003E6878" w:rsidP="00B55453">
            <w:pPr>
              <w:rPr>
                <w:rFonts w:asciiTheme="majorHAnsi" w:hAnsiTheme="majorHAnsi"/>
                <w:sz w:val="18"/>
                <w:szCs w:val="18"/>
              </w:rPr>
            </w:pPr>
          </w:p>
        </w:tc>
        <w:tc>
          <w:tcPr>
            <w:tcW w:w="205" w:type="pct"/>
            <w:shd w:val="clear" w:color="auto" w:fill="auto"/>
          </w:tcPr>
          <w:p w14:paraId="7445C61D" w14:textId="77777777" w:rsidR="003E6878" w:rsidRPr="002243E1" w:rsidRDefault="003E6878" w:rsidP="00B55453">
            <w:pPr>
              <w:rPr>
                <w:rFonts w:asciiTheme="majorHAnsi" w:hAnsiTheme="majorHAnsi"/>
                <w:sz w:val="18"/>
                <w:szCs w:val="18"/>
              </w:rPr>
            </w:pPr>
          </w:p>
        </w:tc>
        <w:tc>
          <w:tcPr>
            <w:tcW w:w="205" w:type="pct"/>
            <w:shd w:val="clear" w:color="auto" w:fill="auto"/>
          </w:tcPr>
          <w:p w14:paraId="33CE2E6D" w14:textId="77777777" w:rsidR="003E6878" w:rsidRPr="002243E1" w:rsidRDefault="003E6878" w:rsidP="00B55453">
            <w:pPr>
              <w:rPr>
                <w:rFonts w:asciiTheme="majorHAnsi" w:hAnsiTheme="majorHAnsi"/>
                <w:sz w:val="18"/>
                <w:szCs w:val="18"/>
              </w:rPr>
            </w:pPr>
          </w:p>
        </w:tc>
        <w:tc>
          <w:tcPr>
            <w:tcW w:w="205" w:type="pct"/>
            <w:shd w:val="clear" w:color="auto" w:fill="auto"/>
          </w:tcPr>
          <w:p w14:paraId="07D7CC6A" w14:textId="77777777" w:rsidR="003E6878" w:rsidRPr="002243E1" w:rsidRDefault="003E6878" w:rsidP="00B55453">
            <w:pPr>
              <w:rPr>
                <w:rFonts w:asciiTheme="majorHAnsi" w:hAnsiTheme="majorHAnsi"/>
                <w:sz w:val="18"/>
                <w:szCs w:val="18"/>
              </w:rPr>
            </w:pPr>
          </w:p>
        </w:tc>
        <w:tc>
          <w:tcPr>
            <w:tcW w:w="205" w:type="pct"/>
            <w:shd w:val="clear" w:color="auto" w:fill="auto"/>
          </w:tcPr>
          <w:p w14:paraId="7CC9B68D" w14:textId="77777777" w:rsidR="003E6878" w:rsidRPr="002243E1" w:rsidRDefault="003E6878" w:rsidP="00B55453">
            <w:pPr>
              <w:rPr>
                <w:rFonts w:asciiTheme="majorHAnsi" w:hAnsiTheme="majorHAnsi"/>
                <w:sz w:val="18"/>
                <w:szCs w:val="18"/>
              </w:rPr>
            </w:pPr>
          </w:p>
        </w:tc>
        <w:tc>
          <w:tcPr>
            <w:tcW w:w="205" w:type="pct"/>
            <w:shd w:val="clear" w:color="auto" w:fill="auto"/>
          </w:tcPr>
          <w:p w14:paraId="616D3A54" w14:textId="77777777" w:rsidR="003E6878" w:rsidRPr="002243E1" w:rsidRDefault="003E6878" w:rsidP="00B55453">
            <w:pPr>
              <w:rPr>
                <w:rFonts w:asciiTheme="majorHAnsi" w:hAnsiTheme="majorHAnsi"/>
                <w:sz w:val="18"/>
                <w:szCs w:val="18"/>
              </w:rPr>
            </w:pPr>
          </w:p>
        </w:tc>
      </w:tr>
      <w:tr w:rsidR="00715B3D" w:rsidRPr="002243E1" w14:paraId="6AF82D6E" w14:textId="77777777" w:rsidTr="00621087">
        <w:tc>
          <w:tcPr>
            <w:tcW w:w="485" w:type="pct"/>
            <w:shd w:val="clear" w:color="auto" w:fill="auto"/>
          </w:tcPr>
          <w:p w14:paraId="251091C3"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Activity 1.1.6</w:t>
            </w:r>
          </w:p>
        </w:tc>
        <w:tc>
          <w:tcPr>
            <w:tcW w:w="424" w:type="pct"/>
            <w:vMerge/>
            <w:shd w:val="clear" w:color="auto" w:fill="auto"/>
          </w:tcPr>
          <w:p w14:paraId="07B4BCD6" w14:textId="77777777" w:rsidR="003E6878" w:rsidRPr="002243E1" w:rsidRDefault="003E6878" w:rsidP="002243E1">
            <w:pPr>
              <w:rPr>
                <w:rFonts w:asciiTheme="majorHAnsi" w:hAnsiTheme="majorHAnsi"/>
                <w:sz w:val="18"/>
                <w:szCs w:val="18"/>
              </w:rPr>
            </w:pPr>
          </w:p>
        </w:tc>
        <w:tc>
          <w:tcPr>
            <w:tcW w:w="190" w:type="pct"/>
            <w:shd w:val="clear" w:color="auto" w:fill="auto"/>
          </w:tcPr>
          <w:p w14:paraId="3BBD0CCC" w14:textId="77777777" w:rsidR="003E6878" w:rsidRPr="002243E1" w:rsidRDefault="003E6878" w:rsidP="00B55453">
            <w:pPr>
              <w:rPr>
                <w:rFonts w:asciiTheme="majorHAnsi" w:hAnsiTheme="majorHAnsi"/>
                <w:sz w:val="18"/>
                <w:szCs w:val="18"/>
              </w:rPr>
            </w:pPr>
          </w:p>
        </w:tc>
        <w:tc>
          <w:tcPr>
            <w:tcW w:w="219" w:type="pct"/>
            <w:shd w:val="clear" w:color="auto" w:fill="auto"/>
          </w:tcPr>
          <w:p w14:paraId="5EA0CAA5" w14:textId="77777777" w:rsidR="003E6878" w:rsidRPr="002243E1" w:rsidRDefault="003E6878" w:rsidP="00B55453">
            <w:pPr>
              <w:rPr>
                <w:rFonts w:asciiTheme="majorHAnsi" w:hAnsiTheme="majorHAnsi"/>
                <w:sz w:val="18"/>
                <w:szCs w:val="18"/>
              </w:rPr>
            </w:pPr>
          </w:p>
        </w:tc>
        <w:tc>
          <w:tcPr>
            <w:tcW w:w="205" w:type="pct"/>
            <w:shd w:val="clear" w:color="auto" w:fill="auto"/>
          </w:tcPr>
          <w:p w14:paraId="598B024B" w14:textId="77777777" w:rsidR="003E6878" w:rsidRPr="002243E1" w:rsidRDefault="003E6878" w:rsidP="00B55453">
            <w:pPr>
              <w:rPr>
                <w:rFonts w:asciiTheme="majorHAnsi" w:hAnsiTheme="majorHAnsi"/>
                <w:sz w:val="18"/>
                <w:szCs w:val="18"/>
              </w:rPr>
            </w:pPr>
          </w:p>
        </w:tc>
        <w:tc>
          <w:tcPr>
            <w:tcW w:w="205" w:type="pct"/>
            <w:shd w:val="clear" w:color="auto" w:fill="auto"/>
          </w:tcPr>
          <w:p w14:paraId="44E3D5BB"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38B42A5"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0889A5E"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396EDAD"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028E468"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BCF4C77"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AB52D2B"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392D6D1"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347BDB6"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245A1EA"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461940E"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E79CC34"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19BCF1F" w14:textId="77777777" w:rsidR="003E6878" w:rsidRPr="002243E1" w:rsidRDefault="003E6878" w:rsidP="00B55453">
            <w:pPr>
              <w:rPr>
                <w:rFonts w:asciiTheme="majorHAnsi" w:hAnsiTheme="majorHAnsi"/>
                <w:sz w:val="18"/>
                <w:szCs w:val="18"/>
              </w:rPr>
            </w:pPr>
          </w:p>
        </w:tc>
        <w:tc>
          <w:tcPr>
            <w:tcW w:w="205" w:type="pct"/>
            <w:shd w:val="clear" w:color="auto" w:fill="auto"/>
          </w:tcPr>
          <w:p w14:paraId="51657EC6" w14:textId="77777777" w:rsidR="003E6878" w:rsidRPr="002243E1" w:rsidRDefault="003E6878" w:rsidP="00B55453">
            <w:pPr>
              <w:rPr>
                <w:rFonts w:asciiTheme="majorHAnsi" w:hAnsiTheme="majorHAnsi"/>
                <w:sz w:val="18"/>
                <w:szCs w:val="18"/>
              </w:rPr>
            </w:pPr>
          </w:p>
        </w:tc>
        <w:tc>
          <w:tcPr>
            <w:tcW w:w="205" w:type="pct"/>
            <w:shd w:val="clear" w:color="auto" w:fill="auto"/>
          </w:tcPr>
          <w:p w14:paraId="3DBD59B5" w14:textId="77777777" w:rsidR="003E6878" w:rsidRPr="002243E1" w:rsidRDefault="003E6878" w:rsidP="00B55453">
            <w:pPr>
              <w:rPr>
                <w:rFonts w:asciiTheme="majorHAnsi" w:hAnsiTheme="majorHAnsi"/>
                <w:sz w:val="18"/>
                <w:szCs w:val="18"/>
              </w:rPr>
            </w:pPr>
          </w:p>
        </w:tc>
        <w:tc>
          <w:tcPr>
            <w:tcW w:w="205" w:type="pct"/>
            <w:shd w:val="clear" w:color="auto" w:fill="auto"/>
          </w:tcPr>
          <w:p w14:paraId="242749A6" w14:textId="77777777" w:rsidR="003E6878" w:rsidRPr="002243E1" w:rsidRDefault="003E6878" w:rsidP="00B55453">
            <w:pPr>
              <w:rPr>
                <w:rFonts w:asciiTheme="majorHAnsi" w:hAnsiTheme="majorHAnsi"/>
                <w:sz w:val="18"/>
                <w:szCs w:val="18"/>
              </w:rPr>
            </w:pPr>
          </w:p>
        </w:tc>
        <w:tc>
          <w:tcPr>
            <w:tcW w:w="205" w:type="pct"/>
            <w:shd w:val="clear" w:color="auto" w:fill="auto"/>
          </w:tcPr>
          <w:p w14:paraId="1241376E" w14:textId="77777777" w:rsidR="003E6878" w:rsidRPr="002243E1" w:rsidRDefault="003E6878" w:rsidP="00B55453">
            <w:pPr>
              <w:rPr>
                <w:rFonts w:asciiTheme="majorHAnsi" w:hAnsiTheme="majorHAnsi"/>
                <w:sz w:val="18"/>
                <w:szCs w:val="18"/>
              </w:rPr>
            </w:pPr>
          </w:p>
        </w:tc>
      </w:tr>
      <w:tr w:rsidR="003E6878" w:rsidRPr="002243E1" w14:paraId="059E356F" w14:textId="77777777" w:rsidTr="004622EC">
        <w:tc>
          <w:tcPr>
            <w:tcW w:w="485" w:type="pct"/>
            <w:shd w:val="clear" w:color="auto" w:fill="auto"/>
          </w:tcPr>
          <w:p w14:paraId="4DF3D730"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Activity 1.1.7</w:t>
            </w:r>
          </w:p>
        </w:tc>
        <w:tc>
          <w:tcPr>
            <w:tcW w:w="424" w:type="pct"/>
            <w:vMerge/>
            <w:shd w:val="clear" w:color="auto" w:fill="auto"/>
          </w:tcPr>
          <w:p w14:paraId="1E931A97" w14:textId="77777777" w:rsidR="003E6878" w:rsidRPr="002243E1" w:rsidRDefault="003E6878" w:rsidP="002243E1">
            <w:pPr>
              <w:rPr>
                <w:rFonts w:asciiTheme="majorHAnsi" w:hAnsiTheme="majorHAnsi"/>
                <w:sz w:val="18"/>
                <w:szCs w:val="18"/>
              </w:rPr>
            </w:pPr>
          </w:p>
        </w:tc>
        <w:tc>
          <w:tcPr>
            <w:tcW w:w="190" w:type="pct"/>
            <w:shd w:val="clear" w:color="auto" w:fill="auto"/>
          </w:tcPr>
          <w:p w14:paraId="0C6FD7A5" w14:textId="77777777" w:rsidR="003E6878" w:rsidRPr="002243E1" w:rsidRDefault="003E6878" w:rsidP="00B55453">
            <w:pPr>
              <w:rPr>
                <w:rFonts w:asciiTheme="majorHAnsi" w:hAnsiTheme="majorHAnsi"/>
                <w:sz w:val="18"/>
                <w:szCs w:val="18"/>
              </w:rPr>
            </w:pPr>
          </w:p>
        </w:tc>
        <w:tc>
          <w:tcPr>
            <w:tcW w:w="219" w:type="pct"/>
            <w:shd w:val="clear" w:color="auto" w:fill="auto"/>
          </w:tcPr>
          <w:p w14:paraId="39B07EAD" w14:textId="77777777" w:rsidR="003E6878" w:rsidRPr="002243E1" w:rsidRDefault="003E6878" w:rsidP="00B55453">
            <w:pPr>
              <w:rPr>
                <w:rFonts w:asciiTheme="majorHAnsi" w:hAnsiTheme="majorHAnsi"/>
                <w:sz w:val="18"/>
                <w:szCs w:val="18"/>
              </w:rPr>
            </w:pPr>
          </w:p>
        </w:tc>
        <w:tc>
          <w:tcPr>
            <w:tcW w:w="205" w:type="pct"/>
            <w:shd w:val="clear" w:color="auto" w:fill="auto"/>
          </w:tcPr>
          <w:p w14:paraId="42F8935B" w14:textId="77777777" w:rsidR="003E6878" w:rsidRPr="002243E1" w:rsidRDefault="003E6878" w:rsidP="00B55453">
            <w:pPr>
              <w:rPr>
                <w:rFonts w:asciiTheme="majorHAnsi" w:hAnsiTheme="majorHAnsi"/>
                <w:sz w:val="18"/>
                <w:szCs w:val="18"/>
              </w:rPr>
            </w:pPr>
          </w:p>
        </w:tc>
        <w:tc>
          <w:tcPr>
            <w:tcW w:w="205" w:type="pct"/>
            <w:shd w:val="clear" w:color="auto" w:fill="auto"/>
          </w:tcPr>
          <w:p w14:paraId="5539E219" w14:textId="77777777" w:rsidR="003E6878" w:rsidRPr="002243E1" w:rsidRDefault="003E6878" w:rsidP="00B55453">
            <w:pPr>
              <w:rPr>
                <w:rFonts w:asciiTheme="majorHAnsi" w:hAnsiTheme="majorHAnsi"/>
                <w:sz w:val="18"/>
                <w:szCs w:val="18"/>
              </w:rPr>
            </w:pPr>
          </w:p>
        </w:tc>
        <w:tc>
          <w:tcPr>
            <w:tcW w:w="205" w:type="pct"/>
            <w:shd w:val="clear" w:color="auto" w:fill="auto"/>
          </w:tcPr>
          <w:p w14:paraId="28A3C355" w14:textId="77777777" w:rsidR="003E6878" w:rsidRPr="002243E1" w:rsidRDefault="003E6878" w:rsidP="00B55453">
            <w:pPr>
              <w:rPr>
                <w:rFonts w:asciiTheme="majorHAnsi" w:hAnsiTheme="majorHAnsi"/>
                <w:sz w:val="18"/>
                <w:szCs w:val="18"/>
              </w:rPr>
            </w:pPr>
          </w:p>
        </w:tc>
        <w:tc>
          <w:tcPr>
            <w:tcW w:w="205" w:type="pct"/>
            <w:shd w:val="clear" w:color="auto" w:fill="auto"/>
          </w:tcPr>
          <w:p w14:paraId="2D895D16" w14:textId="77777777" w:rsidR="003E6878" w:rsidRPr="002243E1" w:rsidRDefault="003E6878" w:rsidP="00B55453">
            <w:pPr>
              <w:rPr>
                <w:rFonts w:asciiTheme="majorHAnsi" w:hAnsiTheme="majorHAnsi"/>
                <w:sz w:val="18"/>
                <w:szCs w:val="18"/>
              </w:rPr>
            </w:pPr>
          </w:p>
        </w:tc>
        <w:tc>
          <w:tcPr>
            <w:tcW w:w="205" w:type="pct"/>
            <w:shd w:val="clear" w:color="auto" w:fill="auto"/>
          </w:tcPr>
          <w:p w14:paraId="09C4DA3B"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FF4B69D"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A0E932E"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C312600"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48BA31E"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BFD9CED" w14:textId="77777777" w:rsidR="003E6878" w:rsidRPr="002243E1" w:rsidRDefault="003E6878" w:rsidP="00B55453">
            <w:pPr>
              <w:rPr>
                <w:rFonts w:asciiTheme="majorHAnsi" w:hAnsiTheme="majorHAnsi"/>
                <w:sz w:val="18"/>
                <w:szCs w:val="18"/>
              </w:rPr>
            </w:pPr>
          </w:p>
        </w:tc>
        <w:tc>
          <w:tcPr>
            <w:tcW w:w="205" w:type="pct"/>
            <w:shd w:val="clear" w:color="auto" w:fill="auto"/>
          </w:tcPr>
          <w:p w14:paraId="3B7A00A5" w14:textId="77777777" w:rsidR="003E6878" w:rsidRPr="002243E1" w:rsidRDefault="003E6878" w:rsidP="00B55453">
            <w:pPr>
              <w:rPr>
                <w:rFonts w:asciiTheme="majorHAnsi" w:hAnsiTheme="majorHAnsi"/>
                <w:sz w:val="18"/>
                <w:szCs w:val="18"/>
              </w:rPr>
            </w:pPr>
          </w:p>
        </w:tc>
        <w:tc>
          <w:tcPr>
            <w:tcW w:w="205" w:type="pct"/>
            <w:shd w:val="clear" w:color="auto" w:fill="auto"/>
          </w:tcPr>
          <w:p w14:paraId="52779DE5" w14:textId="77777777" w:rsidR="003E6878" w:rsidRPr="002243E1" w:rsidRDefault="003E6878" w:rsidP="00B55453">
            <w:pPr>
              <w:rPr>
                <w:rFonts w:asciiTheme="majorHAnsi" w:hAnsiTheme="majorHAnsi"/>
                <w:sz w:val="18"/>
                <w:szCs w:val="18"/>
              </w:rPr>
            </w:pPr>
          </w:p>
        </w:tc>
        <w:tc>
          <w:tcPr>
            <w:tcW w:w="205" w:type="pct"/>
            <w:shd w:val="clear" w:color="auto" w:fill="auto"/>
          </w:tcPr>
          <w:p w14:paraId="51F13FDE" w14:textId="77777777" w:rsidR="003E6878" w:rsidRPr="002243E1" w:rsidRDefault="003E6878" w:rsidP="00B55453">
            <w:pPr>
              <w:rPr>
                <w:rFonts w:asciiTheme="majorHAnsi" w:hAnsiTheme="majorHAnsi"/>
                <w:sz w:val="18"/>
                <w:szCs w:val="18"/>
              </w:rPr>
            </w:pPr>
          </w:p>
        </w:tc>
        <w:tc>
          <w:tcPr>
            <w:tcW w:w="205" w:type="pct"/>
            <w:shd w:val="clear" w:color="auto" w:fill="auto"/>
          </w:tcPr>
          <w:p w14:paraId="2F2C1425" w14:textId="77777777" w:rsidR="003E6878" w:rsidRPr="002243E1" w:rsidRDefault="003E6878" w:rsidP="00B55453">
            <w:pPr>
              <w:rPr>
                <w:rFonts w:asciiTheme="majorHAnsi" w:hAnsiTheme="majorHAnsi"/>
                <w:sz w:val="18"/>
                <w:szCs w:val="18"/>
              </w:rPr>
            </w:pPr>
          </w:p>
        </w:tc>
        <w:tc>
          <w:tcPr>
            <w:tcW w:w="205" w:type="pct"/>
            <w:shd w:val="clear" w:color="auto" w:fill="auto"/>
          </w:tcPr>
          <w:p w14:paraId="490DA9E1" w14:textId="77777777" w:rsidR="003E6878" w:rsidRPr="002243E1" w:rsidRDefault="003E6878" w:rsidP="00B55453">
            <w:pPr>
              <w:rPr>
                <w:rFonts w:asciiTheme="majorHAnsi" w:hAnsiTheme="majorHAnsi"/>
                <w:sz w:val="18"/>
                <w:szCs w:val="18"/>
              </w:rPr>
            </w:pPr>
          </w:p>
        </w:tc>
        <w:tc>
          <w:tcPr>
            <w:tcW w:w="205" w:type="pct"/>
            <w:shd w:val="clear" w:color="auto" w:fill="auto"/>
          </w:tcPr>
          <w:p w14:paraId="2C3AFFCC" w14:textId="77777777" w:rsidR="003E6878" w:rsidRPr="002243E1" w:rsidRDefault="003E6878" w:rsidP="00B55453">
            <w:pPr>
              <w:rPr>
                <w:rFonts w:asciiTheme="majorHAnsi" w:hAnsiTheme="majorHAnsi"/>
                <w:sz w:val="18"/>
                <w:szCs w:val="18"/>
              </w:rPr>
            </w:pPr>
          </w:p>
        </w:tc>
        <w:tc>
          <w:tcPr>
            <w:tcW w:w="205" w:type="pct"/>
            <w:shd w:val="clear" w:color="auto" w:fill="auto"/>
          </w:tcPr>
          <w:p w14:paraId="6E73ED87" w14:textId="77777777" w:rsidR="003E6878" w:rsidRPr="002243E1" w:rsidRDefault="003E6878" w:rsidP="00B55453">
            <w:pPr>
              <w:rPr>
                <w:rFonts w:asciiTheme="majorHAnsi" w:hAnsiTheme="majorHAnsi"/>
                <w:sz w:val="18"/>
                <w:szCs w:val="18"/>
              </w:rPr>
            </w:pPr>
          </w:p>
        </w:tc>
        <w:tc>
          <w:tcPr>
            <w:tcW w:w="205" w:type="pct"/>
            <w:shd w:val="clear" w:color="auto" w:fill="auto"/>
          </w:tcPr>
          <w:p w14:paraId="706C4BA0" w14:textId="77777777" w:rsidR="003E6878" w:rsidRPr="002243E1" w:rsidRDefault="003E6878" w:rsidP="00B55453">
            <w:pPr>
              <w:rPr>
                <w:rFonts w:asciiTheme="majorHAnsi" w:hAnsiTheme="majorHAnsi"/>
                <w:sz w:val="18"/>
                <w:szCs w:val="18"/>
              </w:rPr>
            </w:pPr>
          </w:p>
        </w:tc>
      </w:tr>
      <w:tr w:rsidR="003E6878" w:rsidRPr="002243E1" w14:paraId="563F6586" w14:textId="77777777" w:rsidTr="004622EC">
        <w:tc>
          <w:tcPr>
            <w:tcW w:w="485" w:type="pct"/>
            <w:shd w:val="clear" w:color="auto" w:fill="auto"/>
          </w:tcPr>
          <w:p w14:paraId="2174A3FD"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Activity 1.1.8</w:t>
            </w:r>
          </w:p>
        </w:tc>
        <w:tc>
          <w:tcPr>
            <w:tcW w:w="424" w:type="pct"/>
            <w:vMerge/>
            <w:shd w:val="clear" w:color="auto" w:fill="auto"/>
          </w:tcPr>
          <w:p w14:paraId="12C3F163" w14:textId="77777777" w:rsidR="003E6878" w:rsidRPr="002243E1" w:rsidRDefault="003E6878" w:rsidP="002243E1">
            <w:pPr>
              <w:rPr>
                <w:rFonts w:asciiTheme="majorHAnsi" w:hAnsiTheme="majorHAnsi"/>
                <w:sz w:val="18"/>
                <w:szCs w:val="18"/>
              </w:rPr>
            </w:pPr>
          </w:p>
        </w:tc>
        <w:tc>
          <w:tcPr>
            <w:tcW w:w="190" w:type="pct"/>
            <w:shd w:val="clear" w:color="auto" w:fill="auto"/>
          </w:tcPr>
          <w:p w14:paraId="02101997" w14:textId="77777777" w:rsidR="003E6878" w:rsidRPr="002243E1" w:rsidRDefault="003E6878" w:rsidP="00B55453">
            <w:pPr>
              <w:rPr>
                <w:rFonts w:asciiTheme="majorHAnsi" w:hAnsiTheme="majorHAnsi"/>
                <w:sz w:val="18"/>
                <w:szCs w:val="18"/>
              </w:rPr>
            </w:pPr>
          </w:p>
        </w:tc>
        <w:tc>
          <w:tcPr>
            <w:tcW w:w="219" w:type="pct"/>
            <w:shd w:val="clear" w:color="auto" w:fill="auto"/>
          </w:tcPr>
          <w:p w14:paraId="3EB2794B" w14:textId="77777777" w:rsidR="003E6878" w:rsidRPr="002243E1" w:rsidRDefault="003E6878" w:rsidP="00B55453">
            <w:pPr>
              <w:rPr>
                <w:rFonts w:asciiTheme="majorHAnsi" w:hAnsiTheme="majorHAnsi"/>
                <w:sz w:val="18"/>
                <w:szCs w:val="18"/>
              </w:rPr>
            </w:pPr>
          </w:p>
        </w:tc>
        <w:tc>
          <w:tcPr>
            <w:tcW w:w="205" w:type="pct"/>
            <w:shd w:val="clear" w:color="auto" w:fill="auto"/>
          </w:tcPr>
          <w:p w14:paraId="5FE3F801" w14:textId="77777777" w:rsidR="003E6878" w:rsidRPr="002243E1" w:rsidRDefault="003E6878" w:rsidP="00B55453">
            <w:pPr>
              <w:rPr>
                <w:rFonts w:asciiTheme="majorHAnsi" w:hAnsiTheme="majorHAnsi"/>
                <w:sz w:val="18"/>
                <w:szCs w:val="18"/>
              </w:rPr>
            </w:pPr>
          </w:p>
        </w:tc>
        <w:tc>
          <w:tcPr>
            <w:tcW w:w="205" w:type="pct"/>
            <w:shd w:val="clear" w:color="auto" w:fill="auto"/>
          </w:tcPr>
          <w:p w14:paraId="47AE3354" w14:textId="77777777" w:rsidR="003E6878" w:rsidRPr="002243E1" w:rsidRDefault="003E6878" w:rsidP="00B55453">
            <w:pPr>
              <w:rPr>
                <w:rFonts w:asciiTheme="majorHAnsi" w:hAnsiTheme="majorHAnsi"/>
                <w:sz w:val="18"/>
                <w:szCs w:val="18"/>
              </w:rPr>
            </w:pPr>
          </w:p>
        </w:tc>
        <w:tc>
          <w:tcPr>
            <w:tcW w:w="205" w:type="pct"/>
            <w:shd w:val="clear" w:color="auto" w:fill="auto"/>
          </w:tcPr>
          <w:p w14:paraId="00F3E5C0" w14:textId="77777777" w:rsidR="003E6878" w:rsidRPr="002243E1" w:rsidRDefault="003E6878" w:rsidP="00B55453">
            <w:pPr>
              <w:rPr>
                <w:rFonts w:asciiTheme="majorHAnsi" w:hAnsiTheme="majorHAnsi"/>
                <w:sz w:val="18"/>
                <w:szCs w:val="18"/>
              </w:rPr>
            </w:pPr>
          </w:p>
        </w:tc>
        <w:tc>
          <w:tcPr>
            <w:tcW w:w="205" w:type="pct"/>
            <w:shd w:val="clear" w:color="auto" w:fill="auto"/>
          </w:tcPr>
          <w:p w14:paraId="27C1AE20" w14:textId="77777777" w:rsidR="003E6878" w:rsidRPr="002243E1" w:rsidRDefault="003E6878" w:rsidP="00B55453">
            <w:pPr>
              <w:rPr>
                <w:rFonts w:asciiTheme="majorHAnsi" w:hAnsiTheme="majorHAnsi"/>
                <w:sz w:val="18"/>
                <w:szCs w:val="18"/>
              </w:rPr>
            </w:pPr>
          </w:p>
        </w:tc>
        <w:tc>
          <w:tcPr>
            <w:tcW w:w="205" w:type="pct"/>
            <w:shd w:val="clear" w:color="auto" w:fill="auto"/>
          </w:tcPr>
          <w:p w14:paraId="4C41BE05" w14:textId="77777777" w:rsidR="003E6878" w:rsidRPr="002243E1" w:rsidRDefault="003E6878" w:rsidP="00B55453">
            <w:pPr>
              <w:rPr>
                <w:rFonts w:asciiTheme="majorHAnsi" w:hAnsiTheme="majorHAnsi"/>
                <w:sz w:val="18"/>
                <w:szCs w:val="18"/>
              </w:rPr>
            </w:pPr>
          </w:p>
        </w:tc>
        <w:tc>
          <w:tcPr>
            <w:tcW w:w="205" w:type="pct"/>
            <w:shd w:val="clear" w:color="auto" w:fill="auto"/>
          </w:tcPr>
          <w:p w14:paraId="1123943B"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CFA6577"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D134B64"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84007E7"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B7C1B2F" w14:textId="77777777" w:rsidR="003E6878" w:rsidRPr="002243E1" w:rsidRDefault="003E6878" w:rsidP="00B55453">
            <w:pPr>
              <w:rPr>
                <w:rFonts w:asciiTheme="majorHAnsi" w:hAnsiTheme="majorHAnsi"/>
                <w:sz w:val="18"/>
                <w:szCs w:val="18"/>
              </w:rPr>
            </w:pPr>
          </w:p>
        </w:tc>
        <w:tc>
          <w:tcPr>
            <w:tcW w:w="205" w:type="pct"/>
            <w:shd w:val="clear" w:color="auto" w:fill="auto"/>
          </w:tcPr>
          <w:p w14:paraId="732BB40F" w14:textId="77777777" w:rsidR="003E6878" w:rsidRPr="002243E1" w:rsidRDefault="003E6878" w:rsidP="00B55453">
            <w:pPr>
              <w:rPr>
                <w:rFonts w:asciiTheme="majorHAnsi" w:hAnsiTheme="majorHAnsi"/>
                <w:sz w:val="18"/>
                <w:szCs w:val="18"/>
              </w:rPr>
            </w:pPr>
          </w:p>
        </w:tc>
        <w:tc>
          <w:tcPr>
            <w:tcW w:w="205" w:type="pct"/>
            <w:shd w:val="clear" w:color="auto" w:fill="auto"/>
          </w:tcPr>
          <w:p w14:paraId="6EA7A96B" w14:textId="77777777" w:rsidR="003E6878" w:rsidRPr="002243E1" w:rsidRDefault="003E6878" w:rsidP="00B55453">
            <w:pPr>
              <w:rPr>
                <w:rFonts w:asciiTheme="majorHAnsi" w:hAnsiTheme="majorHAnsi"/>
                <w:sz w:val="18"/>
                <w:szCs w:val="18"/>
              </w:rPr>
            </w:pPr>
          </w:p>
        </w:tc>
        <w:tc>
          <w:tcPr>
            <w:tcW w:w="205" w:type="pct"/>
            <w:shd w:val="clear" w:color="auto" w:fill="auto"/>
          </w:tcPr>
          <w:p w14:paraId="311B6562" w14:textId="77777777" w:rsidR="003E6878" w:rsidRPr="002243E1" w:rsidRDefault="003E6878" w:rsidP="00B55453">
            <w:pPr>
              <w:rPr>
                <w:rFonts w:asciiTheme="majorHAnsi" w:hAnsiTheme="majorHAnsi"/>
                <w:sz w:val="18"/>
                <w:szCs w:val="18"/>
              </w:rPr>
            </w:pPr>
          </w:p>
        </w:tc>
        <w:tc>
          <w:tcPr>
            <w:tcW w:w="205" w:type="pct"/>
            <w:shd w:val="clear" w:color="auto" w:fill="auto"/>
          </w:tcPr>
          <w:p w14:paraId="030D2FA8" w14:textId="77777777" w:rsidR="003E6878" w:rsidRPr="002243E1" w:rsidRDefault="003E6878" w:rsidP="00B55453">
            <w:pPr>
              <w:rPr>
                <w:rFonts w:asciiTheme="majorHAnsi" w:hAnsiTheme="majorHAnsi"/>
                <w:sz w:val="18"/>
                <w:szCs w:val="18"/>
              </w:rPr>
            </w:pPr>
          </w:p>
        </w:tc>
        <w:tc>
          <w:tcPr>
            <w:tcW w:w="205" w:type="pct"/>
            <w:shd w:val="clear" w:color="auto" w:fill="auto"/>
          </w:tcPr>
          <w:p w14:paraId="2BE9E559" w14:textId="77777777" w:rsidR="003E6878" w:rsidRPr="002243E1" w:rsidRDefault="003E6878" w:rsidP="00B55453">
            <w:pPr>
              <w:rPr>
                <w:rFonts w:asciiTheme="majorHAnsi" w:hAnsiTheme="majorHAnsi"/>
                <w:sz w:val="18"/>
                <w:szCs w:val="18"/>
              </w:rPr>
            </w:pPr>
          </w:p>
        </w:tc>
        <w:tc>
          <w:tcPr>
            <w:tcW w:w="205" w:type="pct"/>
            <w:shd w:val="clear" w:color="auto" w:fill="auto"/>
          </w:tcPr>
          <w:p w14:paraId="47104C58" w14:textId="77777777" w:rsidR="003E6878" w:rsidRPr="002243E1" w:rsidRDefault="003E6878" w:rsidP="00B55453">
            <w:pPr>
              <w:rPr>
                <w:rFonts w:asciiTheme="majorHAnsi" w:hAnsiTheme="majorHAnsi"/>
                <w:sz w:val="18"/>
                <w:szCs w:val="18"/>
              </w:rPr>
            </w:pPr>
          </w:p>
        </w:tc>
        <w:tc>
          <w:tcPr>
            <w:tcW w:w="205" w:type="pct"/>
            <w:shd w:val="clear" w:color="auto" w:fill="auto"/>
          </w:tcPr>
          <w:p w14:paraId="574DA19C" w14:textId="77777777" w:rsidR="003E6878" w:rsidRPr="002243E1" w:rsidRDefault="003E6878" w:rsidP="00B55453">
            <w:pPr>
              <w:rPr>
                <w:rFonts w:asciiTheme="majorHAnsi" w:hAnsiTheme="majorHAnsi"/>
                <w:sz w:val="18"/>
                <w:szCs w:val="18"/>
              </w:rPr>
            </w:pPr>
          </w:p>
        </w:tc>
        <w:tc>
          <w:tcPr>
            <w:tcW w:w="205" w:type="pct"/>
            <w:shd w:val="clear" w:color="auto" w:fill="auto"/>
          </w:tcPr>
          <w:p w14:paraId="583DCF1D" w14:textId="77777777" w:rsidR="003E6878" w:rsidRPr="002243E1" w:rsidRDefault="003E6878" w:rsidP="00B55453">
            <w:pPr>
              <w:rPr>
                <w:rFonts w:asciiTheme="majorHAnsi" w:hAnsiTheme="majorHAnsi"/>
                <w:sz w:val="18"/>
                <w:szCs w:val="18"/>
              </w:rPr>
            </w:pPr>
          </w:p>
        </w:tc>
      </w:tr>
      <w:tr w:rsidR="003E6878" w:rsidRPr="002243E1" w14:paraId="1493B354" w14:textId="77777777" w:rsidTr="004622EC">
        <w:tc>
          <w:tcPr>
            <w:tcW w:w="485" w:type="pct"/>
            <w:shd w:val="clear" w:color="auto" w:fill="auto"/>
          </w:tcPr>
          <w:p w14:paraId="5926A549" w14:textId="77777777" w:rsidR="003E6878" w:rsidRPr="002243E1" w:rsidRDefault="003E6878" w:rsidP="00B55453">
            <w:pPr>
              <w:rPr>
                <w:rFonts w:asciiTheme="majorHAnsi" w:hAnsiTheme="majorHAnsi"/>
                <w:sz w:val="18"/>
                <w:szCs w:val="18"/>
              </w:rPr>
            </w:pPr>
            <w:r w:rsidRPr="002243E1">
              <w:rPr>
                <w:rFonts w:asciiTheme="majorHAnsi" w:hAnsiTheme="majorHAnsi"/>
                <w:sz w:val="18"/>
                <w:szCs w:val="18"/>
              </w:rPr>
              <w:t>Activity 1.1.9</w:t>
            </w:r>
          </w:p>
        </w:tc>
        <w:tc>
          <w:tcPr>
            <w:tcW w:w="424" w:type="pct"/>
            <w:vMerge/>
            <w:shd w:val="clear" w:color="auto" w:fill="auto"/>
          </w:tcPr>
          <w:p w14:paraId="3A9FD908" w14:textId="77777777" w:rsidR="003E6878" w:rsidRPr="002243E1" w:rsidRDefault="003E6878" w:rsidP="002243E1">
            <w:pPr>
              <w:rPr>
                <w:rFonts w:asciiTheme="majorHAnsi" w:hAnsiTheme="majorHAnsi"/>
                <w:sz w:val="18"/>
                <w:szCs w:val="18"/>
              </w:rPr>
            </w:pPr>
          </w:p>
        </w:tc>
        <w:tc>
          <w:tcPr>
            <w:tcW w:w="190" w:type="pct"/>
            <w:shd w:val="clear" w:color="auto" w:fill="auto"/>
          </w:tcPr>
          <w:p w14:paraId="2155D6E2" w14:textId="77777777" w:rsidR="003E6878" w:rsidRPr="002243E1" w:rsidRDefault="003E6878" w:rsidP="00B55453">
            <w:pPr>
              <w:rPr>
                <w:rFonts w:asciiTheme="majorHAnsi" w:hAnsiTheme="majorHAnsi"/>
                <w:sz w:val="18"/>
                <w:szCs w:val="18"/>
              </w:rPr>
            </w:pPr>
          </w:p>
        </w:tc>
        <w:tc>
          <w:tcPr>
            <w:tcW w:w="219" w:type="pct"/>
            <w:shd w:val="clear" w:color="auto" w:fill="auto"/>
          </w:tcPr>
          <w:p w14:paraId="752160CF" w14:textId="77777777" w:rsidR="003E6878" w:rsidRPr="002243E1" w:rsidRDefault="003E6878" w:rsidP="00B55453">
            <w:pPr>
              <w:rPr>
                <w:rFonts w:asciiTheme="majorHAnsi" w:hAnsiTheme="majorHAnsi"/>
                <w:sz w:val="18"/>
                <w:szCs w:val="18"/>
              </w:rPr>
            </w:pPr>
          </w:p>
        </w:tc>
        <w:tc>
          <w:tcPr>
            <w:tcW w:w="205" w:type="pct"/>
            <w:shd w:val="clear" w:color="auto" w:fill="auto"/>
          </w:tcPr>
          <w:p w14:paraId="1C8BD4B2" w14:textId="77777777" w:rsidR="003E6878" w:rsidRPr="002243E1" w:rsidRDefault="003E6878" w:rsidP="00B55453">
            <w:pPr>
              <w:rPr>
                <w:rFonts w:asciiTheme="majorHAnsi" w:hAnsiTheme="majorHAnsi"/>
                <w:sz w:val="18"/>
                <w:szCs w:val="18"/>
              </w:rPr>
            </w:pPr>
          </w:p>
        </w:tc>
        <w:tc>
          <w:tcPr>
            <w:tcW w:w="205" w:type="pct"/>
            <w:shd w:val="clear" w:color="auto" w:fill="auto"/>
          </w:tcPr>
          <w:p w14:paraId="3B6B6EEE"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38B7821"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88C5165"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A1B6D80"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944B13A" w14:textId="77777777" w:rsidR="003E6878" w:rsidRPr="002243E1" w:rsidRDefault="003E6878" w:rsidP="00B55453">
            <w:pPr>
              <w:rPr>
                <w:rFonts w:asciiTheme="majorHAnsi" w:hAnsiTheme="majorHAnsi"/>
                <w:sz w:val="18"/>
                <w:szCs w:val="18"/>
              </w:rPr>
            </w:pPr>
          </w:p>
        </w:tc>
        <w:tc>
          <w:tcPr>
            <w:tcW w:w="205" w:type="pct"/>
            <w:shd w:val="clear" w:color="auto" w:fill="auto"/>
          </w:tcPr>
          <w:p w14:paraId="2B4FBCF0" w14:textId="77777777" w:rsidR="003E6878" w:rsidRPr="002243E1" w:rsidRDefault="003E6878" w:rsidP="00B55453">
            <w:pPr>
              <w:rPr>
                <w:rFonts w:asciiTheme="majorHAnsi" w:hAnsiTheme="majorHAnsi"/>
                <w:sz w:val="18"/>
                <w:szCs w:val="18"/>
              </w:rPr>
            </w:pPr>
          </w:p>
        </w:tc>
        <w:tc>
          <w:tcPr>
            <w:tcW w:w="205" w:type="pct"/>
            <w:shd w:val="clear" w:color="auto" w:fill="auto"/>
          </w:tcPr>
          <w:p w14:paraId="2D1005E0" w14:textId="77777777" w:rsidR="003E6878" w:rsidRPr="002243E1" w:rsidRDefault="003E6878" w:rsidP="00B55453">
            <w:pPr>
              <w:rPr>
                <w:rFonts w:asciiTheme="majorHAnsi" w:hAnsiTheme="majorHAnsi"/>
                <w:sz w:val="18"/>
                <w:szCs w:val="18"/>
              </w:rPr>
            </w:pPr>
          </w:p>
        </w:tc>
        <w:tc>
          <w:tcPr>
            <w:tcW w:w="205" w:type="pct"/>
            <w:shd w:val="clear" w:color="auto" w:fill="auto"/>
          </w:tcPr>
          <w:p w14:paraId="5ABE2F2D" w14:textId="77777777" w:rsidR="003E6878" w:rsidRPr="002243E1" w:rsidRDefault="003E6878" w:rsidP="00B55453">
            <w:pPr>
              <w:rPr>
                <w:rFonts w:asciiTheme="majorHAnsi" w:hAnsiTheme="majorHAnsi"/>
                <w:sz w:val="18"/>
                <w:szCs w:val="18"/>
              </w:rPr>
            </w:pPr>
          </w:p>
        </w:tc>
        <w:tc>
          <w:tcPr>
            <w:tcW w:w="205" w:type="pct"/>
            <w:shd w:val="clear" w:color="auto" w:fill="auto"/>
          </w:tcPr>
          <w:p w14:paraId="4D24B228" w14:textId="77777777" w:rsidR="003E6878" w:rsidRPr="002243E1" w:rsidRDefault="003E6878" w:rsidP="00B55453">
            <w:pPr>
              <w:rPr>
                <w:rFonts w:asciiTheme="majorHAnsi" w:hAnsiTheme="majorHAnsi"/>
                <w:sz w:val="18"/>
                <w:szCs w:val="18"/>
              </w:rPr>
            </w:pPr>
          </w:p>
        </w:tc>
        <w:tc>
          <w:tcPr>
            <w:tcW w:w="205" w:type="pct"/>
            <w:shd w:val="clear" w:color="auto" w:fill="auto"/>
          </w:tcPr>
          <w:p w14:paraId="13D37616" w14:textId="77777777" w:rsidR="003E6878" w:rsidRPr="002243E1" w:rsidRDefault="003E6878" w:rsidP="00B55453">
            <w:pPr>
              <w:rPr>
                <w:rFonts w:asciiTheme="majorHAnsi" w:hAnsiTheme="majorHAnsi"/>
                <w:sz w:val="18"/>
                <w:szCs w:val="18"/>
              </w:rPr>
            </w:pPr>
          </w:p>
        </w:tc>
        <w:tc>
          <w:tcPr>
            <w:tcW w:w="205" w:type="pct"/>
            <w:shd w:val="clear" w:color="auto" w:fill="auto"/>
          </w:tcPr>
          <w:p w14:paraId="3265DD65" w14:textId="77777777" w:rsidR="003E6878" w:rsidRPr="002243E1" w:rsidRDefault="003E6878" w:rsidP="00B55453">
            <w:pPr>
              <w:rPr>
                <w:rFonts w:asciiTheme="majorHAnsi" w:hAnsiTheme="majorHAnsi"/>
                <w:sz w:val="18"/>
                <w:szCs w:val="18"/>
              </w:rPr>
            </w:pPr>
          </w:p>
        </w:tc>
        <w:tc>
          <w:tcPr>
            <w:tcW w:w="205" w:type="pct"/>
            <w:shd w:val="clear" w:color="auto" w:fill="auto"/>
          </w:tcPr>
          <w:p w14:paraId="08EB3666" w14:textId="77777777" w:rsidR="003E6878" w:rsidRPr="002243E1" w:rsidRDefault="003E6878" w:rsidP="00B55453">
            <w:pPr>
              <w:rPr>
                <w:rFonts w:asciiTheme="majorHAnsi" w:hAnsiTheme="majorHAnsi"/>
                <w:sz w:val="18"/>
                <w:szCs w:val="18"/>
              </w:rPr>
            </w:pPr>
          </w:p>
        </w:tc>
        <w:tc>
          <w:tcPr>
            <w:tcW w:w="205" w:type="pct"/>
            <w:shd w:val="clear" w:color="auto" w:fill="auto"/>
          </w:tcPr>
          <w:p w14:paraId="42929E34" w14:textId="77777777" w:rsidR="003E6878" w:rsidRPr="002243E1" w:rsidRDefault="003E6878" w:rsidP="00B55453">
            <w:pPr>
              <w:rPr>
                <w:rFonts w:asciiTheme="majorHAnsi" w:hAnsiTheme="majorHAnsi"/>
                <w:sz w:val="18"/>
                <w:szCs w:val="18"/>
              </w:rPr>
            </w:pPr>
          </w:p>
        </w:tc>
        <w:tc>
          <w:tcPr>
            <w:tcW w:w="205" w:type="pct"/>
            <w:shd w:val="clear" w:color="auto" w:fill="auto"/>
          </w:tcPr>
          <w:p w14:paraId="0DCBFEBF" w14:textId="77777777" w:rsidR="003E6878" w:rsidRPr="002243E1" w:rsidRDefault="003E6878" w:rsidP="00B55453">
            <w:pPr>
              <w:rPr>
                <w:rFonts w:asciiTheme="majorHAnsi" w:hAnsiTheme="majorHAnsi"/>
                <w:sz w:val="18"/>
                <w:szCs w:val="18"/>
              </w:rPr>
            </w:pPr>
          </w:p>
        </w:tc>
        <w:tc>
          <w:tcPr>
            <w:tcW w:w="205" w:type="pct"/>
            <w:shd w:val="clear" w:color="auto" w:fill="auto"/>
          </w:tcPr>
          <w:p w14:paraId="65F88E4C" w14:textId="77777777" w:rsidR="003E6878" w:rsidRPr="002243E1" w:rsidRDefault="003E6878" w:rsidP="00B55453">
            <w:pPr>
              <w:rPr>
                <w:rFonts w:asciiTheme="majorHAnsi" w:hAnsiTheme="majorHAnsi"/>
                <w:sz w:val="18"/>
                <w:szCs w:val="18"/>
              </w:rPr>
            </w:pPr>
          </w:p>
        </w:tc>
        <w:tc>
          <w:tcPr>
            <w:tcW w:w="205" w:type="pct"/>
            <w:shd w:val="clear" w:color="auto" w:fill="auto"/>
          </w:tcPr>
          <w:p w14:paraId="0B77DA32" w14:textId="77777777" w:rsidR="003E6878" w:rsidRPr="002243E1" w:rsidRDefault="003E6878" w:rsidP="00B55453">
            <w:pPr>
              <w:rPr>
                <w:rFonts w:asciiTheme="majorHAnsi" w:hAnsiTheme="majorHAnsi"/>
                <w:sz w:val="18"/>
                <w:szCs w:val="18"/>
              </w:rPr>
            </w:pPr>
          </w:p>
        </w:tc>
        <w:tc>
          <w:tcPr>
            <w:tcW w:w="205" w:type="pct"/>
            <w:shd w:val="clear" w:color="auto" w:fill="auto"/>
          </w:tcPr>
          <w:p w14:paraId="0FFA68D0" w14:textId="77777777" w:rsidR="003E6878" w:rsidRPr="002243E1" w:rsidRDefault="003E6878" w:rsidP="00B55453">
            <w:pPr>
              <w:rPr>
                <w:rFonts w:asciiTheme="majorHAnsi" w:hAnsiTheme="majorHAnsi"/>
                <w:sz w:val="18"/>
                <w:szCs w:val="18"/>
              </w:rPr>
            </w:pPr>
          </w:p>
        </w:tc>
      </w:tr>
      <w:tr w:rsidR="003E6878" w:rsidRPr="002243E1" w14:paraId="4E136463" w14:textId="77777777" w:rsidTr="004622EC">
        <w:tc>
          <w:tcPr>
            <w:tcW w:w="485" w:type="pct"/>
            <w:shd w:val="clear" w:color="auto" w:fill="auto"/>
          </w:tcPr>
          <w:p w14:paraId="01536719" w14:textId="77777777" w:rsidR="003E6878" w:rsidRPr="002243E1" w:rsidRDefault="003E6878" w:rsidP="00B55453">
            <w:pPr>
              <w:rPr>
                <w:rFonts w:asciiTheme="majorHAnsi" w:hAnsiTheme="majorHAnsi"/>
                <w:sz w:val="18"/>
                <w:szCs w:val="18"/>
              </w:rPr>
            </w:pPr>
            <w:r w:rsidRPr="002243E1">
              <w:rPr>
                <w:rFonts w:asciiTheme="majorHAnsi" w:hAnsiTheme="majorHAnsi" w:cs="Arial"/>
                <w:sz w:val="18"/>
                <w:szCs w:val="18"/>
                <w:lang w:val="en-GB"/>
              </w:rPr>
              <w:t>Activity 1.2.1</w:t>
            </w:r>
          </w:p>
        </w:tc>
        <w:tc>
          <w:tcPr>
            <w:tcW w:w="424" w:type="pct"/>
            <w:vMerge/>
            <w:shd w:val="clear" w:color="auto" w:fill="auto"/>
          </w:tcPr>
          <w:p w14:paraId="77A6EBCB" w14:textId="77777777" w:rsidR="003E6878" w:rsidRPr="002243E1" w:rsidRDefault="003E6878" w:rsidP="002243E1">
            <w:pPr>
              <w:rPr>
                <w:rFonts w:asciiTheme="majorHAnsi" w:hAnsiTheme="majorHAnsi"/>
                <w:sz w:val="18"/>
                <w:szCs w:val="18"/>
              </w:rPr>
            </w:pPr>
          </w:p>
        </w:tc>
        <w:tc>
          <w:tcPr>
            <w:tcW w:w="190" w:type="pct"/>
            <w:shd w:val="clear" w:color="auto" w:fill="auto"/>
          </w:tcPr>
          <w:p w14:paraId="59B0B00D" w14:textId="77777777" w:rsidR="003E6878" w:rsidRPr="002243E1" w:rsidRDefault="003E6878" w:rsidP="00B55453">
            <w:pPr>
              <w:rPr>
                <w:rFonts w:asciiTheme="majorHAnsi" w:hAnsiTheme="majorHAnsi"/>
                <w:sz w:val="18"/>
                <w:szCs w:val="18"/>
              </w:rPr>
            </w:pPr>
          </w:p>
        </w:tc>
        <w:tc>
          <w:tcPr>
            <w:tcW w:w="219" w:type="pct"/>
            <w:shd w:val="clear" w:color="auto" w:fill="auto"/>
          </w:tcPr>
          <w:p w14:paraId="6A5EB7EA"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EC27A01" w14:textId="77777777" w:rsidR="003E6878" w:rsidRPr="002243E1" w:rsidRDefault="003E6878" w:rsidP="00B55453">
            <w:pPr>
              <w:rPr>
                <w:rFonts w:asciiTheme="majorHAnsi" w:hAnsiTheme="majorHAnsi"/>
                <w:sz w:val="18"/>
                <w:szCs w:val="18"/>
              </w:rPr>
            </w:pPr>
          </w:p>
        </w:tc>
        <w:tc>
          <w:tcPr>
            <w:tcW w:w="205" w:type="pct"/>
            <w:shd w:val="clear" w:color="auto" w:fill="auto"/>
          </w:tcPr>
          <w:p w14:paraId="15CF44B8" w14:textId="77777777" w:rsidR="003E6878" w:rsidRPr="002243E1" w:rsidRDefault="003E6878" w:rsidP="00B55453">
            <w:pPr>
              <w:rPr>
                <w:rFonts w:asciiTheme="majorHAnsi" w:hAnsiTheme="majorHAnsi"/>
                <w:sz w:val="18"/>
                <w:szCs w:val="18"/>
              </w:rPr>
            </w:pPr>
          </w:p>
        </w:tc>
        <w:tc>
          <w:tcPr>
            <w:tcW w:w="205" w:type="pct"/>
            <w:shd w:val="clear" w:color="auto" w:fill="auto"/>
          </w:tcPr>
          <w:p w14:paraId="4B8BFDD7" w14:textId="77777777" w:rsidR="003E6878" w:rsidRPr="002243E1" w:rsidRDefault="003E6878" w:rsidP="00B55453">
            <w:pPr>
              <w:rPr>
                <w:rFonts w:asciiTheme="majorHAnsi" w:hAnsiTheme="majorHAnsi"/>
                <w:sz w:val="18"/>
                <w:szCs w:val="18"/>
              </w:rPr>
            </w:pPr>
          </w:p>
        </w:tc>
        <w:tc>
          <w:tcPr>
            <w:tcW w:w="205" w:type="pct"/>
            <w:shd w:val="clear" w:color="auto" w:fill="auto"/>
          </w:tcPr>
          <w:p w14:paraId="54960762"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AA6121F" w14:textId="77777777" w:rsidR="003E6878" w:rsidRPr="002243E1" w:rsidRDefault="003E6878" w:rsidP="00B55453">
            <w:pPr>
              <w:rPr>
                <w:rFonts w:asciiTheme="majorHAnsi" w:hAnsiTheme="majorHAnsi"/>
                <w:sz w:val="18"/>
                <w:szCs w:val="18"/>
              </w:rPr>
            </w:pPr>
          </w:p>
        </w:tc>
        <w:tc>
          <w:tcPr>
            <w:tcW w:w="205" w:type="pct"/>
            <w:shd w:val="clear" w:color="auto" w:fill="auto"/>
          </w:tcPr>
          <w:p w14:paraId="7011E8BB" w14:textId="77777777" w:rsidR="003E6878" w:rsidRPr="002243E1" w:rsidRDefault="003E6878" w:rsidP="00B55453">
            <w:pPr>
              <w:rPr>
                <w:rFonts w:asciiTheme="majorHAnsi" w:hAnsiTheme="majorHAnsi"/>
                <w:sz w:val="18"/>
                <w:szCs w:val="18"/>
              </w:rPr>
            </w:pPr>
          </w:p>
        </w:tc>
        <w:tc>
          <w:tcPr>
            <w:tcW w:w="205" w:type="pct"/>
            <w:shd w:val="clear" w:color="auto" w:fill="auto"/>
          </w:tcPr>
          <w:p w14:paraId="7A1A33FC" w14:textId="77777777" w:rsidR="003E6878" w:rsidRPr="002243E1" w:rsidRDefault="003E6878" w:rsidP="00B55453">
            <w:pPr>
              <w:rPr>
                <w:rFonts w:asciiTheme="majorHAnsi" w:hAnsiTheme="majorHAnsi"/>
                <w:sz w:val="18"/>
                <w:szCs w:val="18"/>
              </w:rPr>
            </w:pPr>
          </w:p>
        </w:tc>
        <w:tc>
          <w:tcPr>
            <w:tcW w:w="205" w:type="pct"/>
            <w:shd w:val="clear" w:color="auto" w:fill="auto"/>
          </w:tcPr>
          <w:p w14:paraId="5A4933A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5502154" w14:textId="77777777" w:rsidR="003E6878" w:rsidRPr="002243E1" w:rsidRDefault="003E6878" w:rsidP="00B55453">
            <w:pPr>
              <w:rPr>
                <w:rFonts w:asciiTheme="majorHAnsi" w:hAnsiTheme="majorHAnsi"/>
                <w:sz w:val="18"/>
                <w:szCs w:val="18"/>
              </w:rPr>
            </w:pPr>
          </w:p>
        </w:tc>
        <w:tc>
          <w:tcPr>
            <w:tcW w:w="205" w:type="pct"/>
            <w:shd w:val="clear" w:color="auto" w:fill="auto"/>
          </w:tcPr>
          <w:p w14:paraId="2E1B772C" w14:textId="77777777" w:rsidR="003E6878" w:rsidRPr="002243E1" w:rsidRDefault="003E6878" w:rsidP="00B55453">
            <w:pPr>
              <w:rPr>
                <w:rFonts w:asciiTheme="majorHAnsi" w:hAnsiTheme="majorHAnsi"/>
                <w:sz w:val="18"/>
                <w:szCs w:val="18"/>
              </w:rPr>
            </w:pPr>
          </w:p>
        </w:tc>
        <w:tc>
          <w:tcPr>
            <w:tcW w:w="205" w:type="pct"/>
            <w:shd w:val="clear" w:color="auto" w:fill="auto"/>
          </w:tcPr>
          <w:p w14:paraId="6EB79CC9" w14:textId="77777777" w:rsidR="003E6878" w:rsidRPr="002243E1" w:rsidRDefault="003E6878" w:rsidP="00B55453">
            <w:pPr>
              <w:rPr>
                <w:rFonts w:asciiTheme="majorHAnsi" w:hAnsiTheme="majorHAnsi"/>
                <w:sz w:val="18"/>
                <w:szCs w:val="18"/>
              </w:rPr>
            </w:pPr>
          </w:p>
        </w:tc>
        <w:tc>
          <w:tcPr>
            <w:tcW w:w="205" w:type="pct"/>
            <w:shd w:val="clear" w:color="auto" w:fill="auto"/>
          </w:tcPr>
          <w:p w14:paraId="1506C801"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03380F1" w14:textId="77777777" w:rsidR="003E6878" w:rsidRPr="002243E1" w:rsidRDefault="003E6878" w:rsidP="00B55453">
            <w:pPr>
              <w:rPr>
                <w:rFonts w:asciiTheme="majorHAnsi" w:hAnsiTheme="majorHAnsi"/>
                <w:sz w:val="18"/>
                <w:szCs w:val="18"/>
              </w:rPr>
            </w:pPr>
          </w:p>
        </w:tc>
        <w:tc>
          <w:tcPr>
            <w:tcW w:w="205" w:type="pct"/>
            <w:shd w:val="clear" w:color="auto" w:fill="auto"/>
          </w:tcPr>
          <w:p w14:paraId="12E66855" w14:textId="77777777" w:rsidR="003E6878" w:rsidRPr="002243E1" w:rsidRDefault="003E6878" w:rsidP="00B55453">
            <w:pPr>
              <w:rPr>
                <w:rFonts w:asciiTheme="majorHAnsi" w:hAnsiTheme="majorHAnsi"/>
                <w:sz w:val="18"/>
                <w:szCs w:val="18"/>
              </w:rPr>
            </w:pPr>
          </w:p>
        </w:tc>
        <w:tc>
          <w:tcPr>
            <w:tcW w:w="205" w:type="pct"/>
            <w:shd w:val="clear" w:color="auto" w:fill="auto"/>
          </w:tcPr>
          <w:p w14:paraId="2C3D42FF" w14:textId="77777777" w:rsidR="003E6878" w:rsidRPr="002243E1" w:rsidRDefault="003E6878" w:rsidP="00B55453">
            <w:pPr>
              <w:rPr>
                <w:rFonts w:asciiTheme="majorHAnsi" w:hAnsiTheme="majorHAnsi"/>
                <w:sz w:val="18"/>
                <w:szCs w:val="18"/>
              </w:rPr>
            </w:pPr>
          </w:p>
        </w:tc>
        <w:tc>
          <w:tcPr>
            <w:tcW w:w="205" w:type="pct"/>
            <w:shd w:val="clear" w:color="auto" w:fill="auto"/>
          </w:tcPr>
          <w:p w14:paraId="453FFA5E"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274B7CC" w14:textId="77777777" w:rsidR="003E6878" w:rsidRPr="002243E1" w:rsidRDefault="003E6878" w:rsidP="00B55453">
            <w:pPr>
              <w:rPr>
                <w:rFonts w:asciiTheme="majorHAnsi" w:hAnsiTheme="majorHAnsi"/>
                <w:sz w:val="18"/>
                <w:szCs w:val="18"/>
              </w:rPr>
            </w:pPr>
          </w:p>
        </w:tc>
        <w:tc>
          <w:tcPr>
            <w:tcW w:w="205" w:type="pct"/>
            <w:shd w:val="clear" w:color="auto" w:fill="auto"/>
          </w:tcPr>
          <w:p w14:paraId="12BBEA2C" w14:textId="77777777" w:rsidR="003E6878" w:rsidRPr="002243E1" w:rsidRDefault="003E6878" w:rsidP="00B55453">
            <w:pPr>
              <w:rPr>
                <w:rFonts w:asciiTheme="majorHAnsi" w:hAnsiTheme="majorHAnsi"/>
                <w:sz w:val="18"/>
                <w:szCs w:val="18"/>
              </w:rPr>
            </w:pPr>
          </w:p>
        </w:tc>
      </w:tr>
      <w:tr w:rsidR="003E6878" w:rsidRPr="002243E1" w14:paraId="1930F5CF" w14:textId="77777777" w:rsidTr="004622EC">
        <w:trPr>
          <w:trHeight w:val="341"/>
        </w:trPr>
        <w:tc>
          <w:tcPr>
            <w:tcW w:w="485" w:type="pct"/>
            <w:shd w:val="clear" w:color="auto" w:fill="auto"/>
          </w:tcPr>
          <w:p w14:paraId="58FF11F7" w14:textId="77777777" w:rsidR="003E6878" w:rsidRPr="002243E1" w:rsidRDefault="003E6878" w:rsidP="00B55453">
            <w:pPr>
              <w:rPr>
                <w:rFonts w:asciiTheme="majorHAnsi" w:hAnsiTheme="majorHAnsi"/>
                <w:sz w:val="18"/>
                <w:szCs w:val="18"/>
              </w:rPr>
            </w:pPr>
            <w:r w:rsidRPr="002243E1">
              <w:rPr>
                <w:rFonts w:asciiTheme="majorHAnsi" w:hAnsiTheme="majorHAnsi" w:cs="Arial"/>
                <w:sz w:val="18"/>
                <w:szCs w:val="18"/>
                <w:lang w:val="en-GB"/>
              </w:rPr>
              <w:t>Activity 1.2.2</w:t>
            </w:r>
          </w:p>
        </w:tc>
        <w:tc>
          <w:tcPr>
            <w:tcW w:w="424" w:type="pct"/>
            <w:vMerge/>
            <w:shd w:val="clear" w:color="auto" w:fill="auto"/>
          </w:tcPr>
          <w:p w14:paraId="4C610F11" w14:textId="77777777" w:rsidR="003E6878" w:rsidRPr="002243E1" w:rsidRDefault="003E6878" w:rsidP="002243E1">
            <w:pPr>
              <w:rPr>
                <w:rFonts w:asciiTheme="majorHAnsi" w:hAnsiTheme="majorHAnsi"/>
                <w:sz w:val="18"/>
                <w:szCs w:val="18"/>
              </w:rPr>
            </w:pPr>
          </w:p>
        </w:tc>
        <w:tc>
          <w:tcPr>
            <w:tcW w:w="190" w:type="pct"/>
            <w:shd w:val="clear" w:color="auto" w:fill="auto"/>
          </w:tcPr>
          <w:p w14:paraId="428BCCF4" w14:textId="77777777" w:rsidR="003E6878" w:rsidRPr="002243E1" w:rsidRDefault="003E6878" w:rsidP="00B55453">
            <w:pPr>
              <w:rPr>
                <w:rFonts w:asciiTheme="majorHAnsi" w:hAnsiTheme="majorHAnsi"/>
                <w:sz w:val="18"/>
                <w:szCs w:val="18"/>
              </w:rPr>
            </w:pPr>
          </w:p>
        </w:tc>
        <w:tc>
          <w:tcPr>
            <w:tcW w:w="219" w:type="pct"/>
            <w:shd w:val="clear" w:color="auto" w:fill="auto"/>
          </w:tcPr>
          <w:p w14:paraId="084274F3" w14:textId="77777777" w:rsidR="003E6878" w:rsidRPr="002243E1" w:rsidRDefault="003E6878" w:rsidP="00B55453">
            <w:pPr>
              <w:rPr>
                <w:rFonts w:asciiTheme="majorHAnsi" w:hAnsiTheme="majorHAnsi"/>
                <w:sz w:val="18"/>
                <w:szCs w:val="18"/>
              </w:rPr>
            </w:pPr>
          </w:p>
        </w:tc>
        <w:tc>
          <w:tcPr>
            <w:tcW w:w="205" w:type="pct"/>
            <w:shd w:val="clear" w:color="auto" w:fill="auto"/>
          </w:tcPr>
          <w:p w14:paraId="788D4C9D"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FC12808" w14:textId="77777777" w:rsidR="003E6878" w:rsidRPr="002243E1" w:rsidRDefault="003E6878" w:rsidP="00B55453">
            <w:pPr>
              <w:rPr>
                <w:rFonts w:asciiTheme="majorHAnsi" w:hAnsiTheme="majorHAnsi"/>
                <w:sz w:val="18"/>
                <w:szCs w:val="18"/>
              </w:rPr>
            </w:pPr>
          </w:p>
        </w:tc>
        <w:tc>
          <w:tcPr>
            <w:tcW w:w="205" w:type="pct"/>
            <w:shd w:val="clear" w:color="auto" w:fill="auto"/>
          </w:tcPr>
          <w:p w14:paraId="1029A4A2" w14:textId="77777777" w:rsidR="003E6878" w:rsidRPr="002243E1" w:rsidRDefault="003E6878" w:rsidP="00B55453">
            <w:pPr>
              <w:rPr>
                <w:rFonts w:asciiTheme="majorHAnsi" w:hAnsiTheme="majorHAnsi"/>
                <w:sz w:val="18"/>
                <w:szCs w:val="18"/>
              </w:rPr>
            </w:pPr>
          </w:p>
        </w:tc>
        <w:tc>
          <w:tcPr>
            <w:tcW w:w="205" w:type="pct"/>
            <w:shd w:val="clear" w:color="auto" w:fill="auto"/>
          </w:tcPr>
          <w:p w14:paraId="289D99A5" w14:textId="77777777" w:rsidR="003E6878" w:rsidRPr="002243E1" w:rsidRDefault="003E6878" w:rsidP="00B55453">
            <w:pPr>
              <w:rPr>
                <w:rFonts w:asciiTheme="majorHAnsi" w:hAnsiTheme="majorHAnsi"/>
                <w:sz w:val="18"/>
                <w:szCs w:val="18"/>
              </w:rPr>
            </w:pPr>
          </w:p>
        </w:tc>
        <w:tc>
          <w:tcPr>
            <w:tcW w:w="205" w:type="pct"/>
            <w:shd w:val="clear" w:color="auto" w:fill="auto"/>
          </w:tcPr>
          <w:p w14:paraId="411C0AA9"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BD1C651" w14:textId="77777777" w:rsidR="003E6878" w:rsidRPr="002243E1" w:rsidRDefault="003E6878" w:rsidP="00B55453">
            <w:pPr>
              <w:rPr>
                <w:rFonts w:asciiTheme="majorHAnsi" w:hAnsiTheme="majorHAnsi"/>
                <w:sz w:val="18"/>
                <w:szCs w:val="18"/>
              </w:rPr>
            </w:pPr>
          </w:p>
        </w:tc>
        <w:tc>
          <w:tcPr>
            <w:tcW w:w="205" w:type="pct"/>
            <w:shd w:val="clear" w:color="auto" w:fill="auto"/>
          </w:tcPr>
          <w:p w14:paraId="69B1F1DB" w14:textId="77777777" w:rsidR="003E6878" w:rsidRPr="002243E1" w:rsidRDefault="003E6878" w:rsidP="00B55453">
            <w:pPr>
              <w:rPr>
                <w:rFonts w:asciiTheme="majorHAnsi" w:hAnsiTheme="majorHAnsi"/>
                <w:sz w:val="18"/>
                <w:szCs w:val="18"/>
              </w:rPr>
            </w:pPr>
          </w:p>
        </w:tc>
        <w:tc>
          <w:tcPr>
            <w:tcW w:w="205" w:type="pct"/>
            <w:shd w:val="clear" w:color="auto" w:fill="auto"/>
          </w:tcPr>
          <w:p w14:paraId="6A985611" w14:textId="77777777" w:rsidR="003E6878" w:rsidRPr="002243E1" w:rsidRDefault="003E6878" w:rsidP="00B55453">
            <w:pPr>
              <w:rPr>
                <w:rFonts w:asciiTheme="majorHAnsi" w:hAnsiTheme="majorHAnsi"/>
                <w:sz w:val="18"/>
                <w:szCs w:val="18"/>
              </w:rPr>
            </w:pPr>
          </w:p>
        </w:tc>
        <w:tc>
          <w:tcPr>
            <w:tcW w:w="205" w:type="pct"/>
            <w:shd w:val="clear" w:color="auto" w:fill="auto"/>
          </w:tcPr>
          <w:p w14:paraId="712ABF83"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001EFAA" w14:textId="77777777" w:rsidR="003E6878" w:rsidRPr="002243E1" w:rsidRDefault="003E6878" w:rsidP="00B55453">
            <w:pPr>
              <w:rPr>
                <w:rFonts w:asciiTheme="majorHAnsi" w:hAnsiTheme="majorHAnsi"/>
                <w:sz w:val="18"/>
                <w:szCs w:val="18"/>
              </w:rPr>
            </w:pPr>
          </w:p>
        </w:tc>
        <w:tc>
          <w:tcPr>
            <w:tcW w:w="205" w:type="pct"/>
            <w:shd w:val="clear" w:color="auto" w:fill="auto"/>
          </w:tcPr>
          <w:p w14:paraId="355415F7" w14:textId="77777777" w:rsidR="003E6878" w:rsidRPr="002243E1" w:rsidRDefault="003E6878" w:rsidP="00B55453">
            <w:pPr>
              <w:rPr>
                <w:rFonts w:asciiTheme="majorHAnsi" w:hAnsiTheme="majorHAnsi"/>
                <w:sz w:val="18"/>
                <w:szCs w:val="18"/>
              </w:rPr>
            </w:pPr>
          </w:p>
        </w:tc>
        <w:tc>
          <w:tcPr>
            <w:tcW w:w="205" w:type="pct"/>
            <w:shd w:val="clear" w:color="auto" w:fill="auto"/>
          </w:tcPr>
          <w:p w14:paraId="75DB69F6" w14:textId="77777777" w:rsidR="003E6878" w:rsidRPr="002243E1" w:rsidRDefault="003E6878" w:rsidP="00B55453">
            <w:pPr>
              <w:rPr>
                <w:rFonts w:asciiTheme="majorHAnsi" w:hAnsiTheme="majorHAnsi"/>
                <w:sz w:val="18"/>
                <w:szCs w:val="18"/>
              </w:rPr>
            </w:pPr>
          </w:p>
        </w:tc>
        <w:tc>
          <w:tcPr>
            <w:tcW w:w="205" w:type="pct"/>
            <w:shd w:val="clear" w:color="auto" w:fill="auto"/>
          </w:tcPr>
          <w:p w14:paraId="7D7CFC46"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EE6F7A6" w14:textId="77777777" w:rsidR="003E6878" w:rsidRPr="002243E1" w:rsidRDefault="003E6878" w:rsidP="00B55453">
            <w:pPr>
              <w:rPr>
                <w:rFonts w:asciiTheme="majorHAnsi" w:hAnsiTheme="majorHAnsi"/>
                <w:sz w:val="18"/>
                <w:szCs w:val="18"/>
              </w:rPr>
            </w:pPr>
          </w:p>
        </w:tc>
        <w:tc>
          <w:tcPr>
            <w:tcW w:w="205" w:type="pct"/>
            <w:shd w:val="clear" w:color="auto" w:fill="auto"/>
          </w:tcPr>
          <w:p w14:paraId="3DB77CA3" w14:textId="77777777" w:rsidR="003E6878" w:rsidRPr="002243E1" w:rsidRDefault="003E6878" w:rsidP="00B55453">
            <w:pPr>
              <w:rPr>
                <w:rFonts w:asciiTheme="majorHAnsi" w:hAnsiTheme="majorHAnsi"/>
                <w:sz w:val="18"/>
                <w:szCs w:val="18"/>
              </w:rPr>
            </w:pPr>
          </w:p>
        </w:tc>
        <w:tc>
          <w:tcPr>
            <w:tcW w:w="205" w:type="pct"/>
            <w:shd w:val="clear" w:color="auto" w:fill="auto"/>
          </w:tcPr>
          <w:p w14:paraId="4335512E" w14:textId="77777777" w:rsidR="003E6878" w:rsidRPr="002243E1" w:rsidRDefault="003E6878" w:rsidP="00B55453">
            <w:pPr>
              <w:rPr>
                <w:rFonts w:asciiTheme="majorHAnsi" w:hAnsiTheme="majorHAnsi"/>
                <w:sz w:val="18"/>
                <w:szCs w:val="18"/>
              </w:rPr>
            </w:pPr>
          </w:p>
        </w:tc>
        <w:tc>
          <w:tcPr>
            <w:tcW w:w="205" w:type="pct"/>
            <w:shd w:val="clear" w:color="auto" w:fill="auto"/>
          </w:tcPr>
          <w:p w14:paraId="6F7834FD"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195C199" w14:textId="77777777" w:rsidR="003E6878" w:rsidRPr="002243E1" w:rsidRDefault="003E6878" w:rsidP="00B55453">
            <w:pPr>
              <w:rPr>
                <w:rFonts w:asciiTheme="majorHAnsi" w:hAnsiTheme="majorHAnsi"/>
                <w:sz w:val="18"/>
                <w:szCs w:val="18"/>
              </w:rPr>
            </w:pPr>
          </w:p>
        </w:tc>
      </w:tr>
      <w:tr w:rsidR="003E6878" w:rsidRPr="002243E1" w14:paraId="2E42782D" w14:textId="77777777" w:rsidTr="004622EC">
        <w:tc>
          <w:tcPr>
            <w:tcW w:w="5000" w:type="pct"/>
            <w:gridSpan w:val="22"/>
            <w:shd w:val="clear" w:color="auto" w:fill="auto"/>
          </w:tcPr>
          <w:p w14:paraId="0652B6FB" w14:textId="77777777" w:rsidR="003E6878" w:rsidRPr="002243E1" w:rsidRDefault="003E6878" w:rsidP="002243E1">
            <w:pPr>
              <w:rPr>
                <w:rFonts w:asciiTheme="majorHAnsi" w:hAnsiTheme="majorHAnsi"/>
                <w:b/>
                <w:sz w:val="18"/>
                <w:szCs w:val="18"/>
              </w:rPr>
            </w:pPr>
            <w:r w:rsidRPr="002243E1">
              <w:rPr>
                <w:rFonts w:asciiTheme="majorHAnsi" w:hAnsiTheme="majorHAnsi"/>
                <w:b/>
                <w:sz w:val="18"/>
                <w:szCs w:val="18"/>
              </w:rPr>
              <w:t>Component 2</w:t>
            </w:r>
          </w:p>
        </w:tc>
      </w:tr>
      <w:tr w:rsidR="00715B3D" w:rsidRPr="002243E1" w14:paraId="77BA0FC8" w14:textId="77777777" w:rsidTr="00621087">
        <w:tc>
          <w:tcPr>
            <w:tcW w:w="485" w:type="pct"/>
            <w:shd w:val="clear" w:color="auto" w:fill="auto"/>
          </w:tcPr>
          <w:p w14:paraId="47092AA4" w14:textId="77777777" w:rsidR="003E6878" w:rsidRPr="002243E1" w:rsidRDefault="003E6878" w:rsidP="00B55453">
            <w:pPr>
              <w:rPr>
                <w:rFonts w:asciiTheme="majorHAnsi" w:hAnsiTheme="majorHAnsi"/>
                <w:sz w:val="18"/>
                <w:szCs w:val="18"/>
              </w:rPr>
            </w:pPr>
            <w:r w:rsidRPr="002243E1">
              <w:rPr>
                <w:rFonts w:asciiTheme="majorHAnsi" w:hAnsiTheme="majorHAnsi" w:cs="Arial"/>
                <w:sz w:val="18"/>
                <w:szCs w:val="18"/>
                <w:lang w:val="en-GB"/>
              </w:rPr>
              <w:t>Activity 2.1.1</w:t>
            </w:r>
          </w:p>
        </w:tc>
        <w:tc>
          <w:tcPr>
            <w:tcW w:w="424" w:type="pct"/>
            <w:vMerge w:val="restart"/>
            <w:tcBorders>
              <w:bottom w:val="nil"/>
            </w:tcBorders>
            <w:shd w:val="clear" w:color="auto" w:fill="auto"/>
          </w:tcPr>
          <w:p w14:paraId="45B5BCAE" w14:textId="77777777" w:rsidR="003E6878" w:rsidRPr="002243E1" w:rsidRDefault="003E6878" w:rsidP="002243E1">
            <w:pPr>
              <w:rPr>
                <w:rFonts w:asciiTheme="majorHAnsi" w:hAnsiTheme="majorHAnsi"/>
                <w:sz w:val="18"/>
                <w:szCs w:val="18"/>
              </w:rPr>
            </w:pPr>
            <w:r w:rsidRPr="002243E1">
              <w:rPr>
                <w:rFonts w:asciiTheme="majorHAnsi" w:hAnsiTheme="majorHAnsi"/>
                <w:sz w:val="18"/>
                <w:szCs w:val="18"/>
              </w:rPr>
              <w:t>PMU, Task Manager Small- Scale</w:t>
            </w:r>
          </w:p>
        </w:tc>
        <w:tc>
          <w:tcPr>
            <w:tcW w:w="190" w:type="pct"/>
            <w:shd w:val="clear" w:color="auto" w:fill="auto"/>
          </w:tcPr>
          <w:p w14:paraId="681436A6" w14:textId="77777777" w:rsidR="003E6878" w:rsidRPr="002243E1" w:rsidRDefault="003E6878" w:rsidP="00B55453">
            <w:pPr>
              <w:rPr>
                <w:rFonts w:asciiTheme="majorHAnsi" w:hAnsiTheme="majorHAnsi"/>
                <w:sz w:val="18"/>
                <w:szCs w:val="18"/>
              </w:rPr>
            </w:pPr>
          </w:p>
        </w:tc>
        <w:tc>
          <w:tcPr>
            <w:tcW w:w="219" w:type="pct"/>
            <w:shd w:val="clear" w:color="auto" w:fill="9BBB59" w:themeFill="accent3"/>
          </w:tcPr>
          <w:p w14:paraId="6A817D88"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4B9B495"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3517A5D"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7D03181"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907F509"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1502592"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ABE40EE"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FCDE412"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8B358D0"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362E7FA"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46A0F15"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3D14103"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DB80C9F"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8C90567"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2E131D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4429EEA"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AD73042"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C62FEC2"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CD44DD0" w14:textId="77777777" w:rsidR="003E6878" w:rsidRPr="002243E1" w:rsidRDefault="003E6878" w:rsidP="00B55453">
            <w:pPr>
              <w:rPr>
                <w:rFonts w:asciiTheme="majorHAnsi" w:hAnsiTheme="majorHAnsi"/>
                <w:sz w:val="18"/>
                <w:szCs w:val="18"/>
              </w:rPr>
            </w:pPr>
          </w:p>
        </w:tc>
      </w:tr>
      <w:tr w:rsidR="00715B3D" w:rsidRPr="002243E1" w14:paraId="08939C0B" w14:textId="77777777" w:rsidTr="00621087">
        <w:tc>
          <w:tcPr>
            <w:tcW w:w="485" w:type="pct"/>
            <w:shd w:val="clear" w:color="auto" w:fill="auto"/>
          </w:tcPr>
          <w:p w14:paraId="37FC6929" w14:textId="77777777" w:rsidR="003E6878" w:rsidRPr="002243E1" w:rsidRDefault="003E6878" w:rsidP="00B55453">
            <w:pPr>
              <w:jc w:val="center"/>
              <w:rPr>
                <w:rFonts w:asciiTheme="majorHAnsi" w:hAnsiTheme="majorHAnsi"/>
                <w:sz w:val="18"/>
                <w:szCs w:val="18"/>
              </w:rPr>
            </w:pPr>
            <w:r w:rsidRPr="002243E1">
              <w:rPr>
                <w:rFonts w:asciiTheme="majorHAnsi" w:hAnsiTheme="majorHAnsi" w:cs="Arial"/>
                <w:sz w:val="18"/>
                <w:szCs w:val="18"/>
                <w:lang w:val="en-GB"/>
              </w:rPr>
              <w:t>Activity 2.1.2</w:t>
            </w:r>
          </w:p>
        </w:tc>
        <w:tc>
          <w:tcPr>
            <w:tcW w:w="424" w:type="pct"/>
            <w:vMerge/>
            <w:tcBorders>
              <w:bottom w:val="nil"/>
            </w:tcBorders>
            <w:shd w:val="clear" w:color="auto" w:fill="auto"/>
          </w:tcPr>
          <w:p w14:paraId="695B2D52" w14:textId="77777777" w:rsidR="003E6878" w:rsidRPr="002243E1" w:rsidRDefault="003E6878" w:rsidP="002243E1">
            <w:pPr>
              <w:rPr>
                <w:rFonts w:asciiTheme="majorHAnsi" w:hAnsiTheme="majorHAnsi"/>
                <w:sz w:val="18"/>
                <w:szCs w:val="18"/>
              </w:rPr>
            </w:pPr>
          </w:p>
        </w:tc>
        <w:tc>
          <w:tcPr>
            <w:tcW w:w="190" w:type="pct"/>
            <w:shd w:val="clear" w:color="auto" w:fill="auto"/>
          </w:tcPr>
          <w:p w14:paraId="69E6A46A" w14:textId="77777777" w:rsidR="003E6878" w:rsidRPr="002243E1" w:rsidRDefault="003E6878" w:rsidP="00B55453">
            <w:pPr>
              <w:rPr>
                <w:rFonts w:asciiTheme="majorHAnsi" w:hAnsiTheme="majorHAnsi"/>
                <w:sz w:val="18"/>
                <w:szCs w:val="18"/>
              </w:rPr>
            </w:pPr>
          </w:p>
        </w:tc>
        <w:tc>
          <w:tcPr>
            <w:tcW w:w="219" w:type="pct"/>
            <w:shd w:val="clear" w:color="auto" w:fill="auto"/>
          </w:tcPr>
          <w:p w14:paraId="503E597D"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2FBE83B"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508CE6B"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DE38E15"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DCE7060"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3BA0E49"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3C2C04A" w14:textId="77777777" w:rsidR="003E6878" w:rsidRPr="002243E1" w:rsidRDefault="003E6878" w:rsidP="00B55453">
            <w:pPr>
              <w:rPr>
                <w:rFonts w:asciiTheme="majorHAnsi" w:hAnsiTheme="majorHAnsi"/>
                <w:sz w:val="18"/>
                <w:szCs w:val="18"/>
              </w:rPr>
            </w:pPr>
          </w:p>
        </w:tc>
        <w:tc>
          <w:tcPr>
            <w:tcW w:w="205" w:type="pct"/>
            <w:shd w:val="clear" w:color="auto" w:fill="auto"/>
          </w:tcPr>
          <w:p w14:paraId="5157B272" w14:textId="77777777" w:rsidR="003E6878" w:rsidRPr="002243E1" w:rsidRDefault="003E6878" w:rsidP="00B55453">
            <w:pPr>
              <w:rPr>
                <w:rFonts w:asciiTheme="majorHAnsi" w:hAnsiTheme="majorHAnsi"/>
                <w:sz w:val="18"/>
                <w:szCs w:val="18"/>
              </w:rPr>
            </w:pPr>
          </w:p>
        </w:tc>
        <w:tc>
          <w:tcPr>
            <w:tcW w:w="205" w:type="pct"/>
            <w:shd w:val="clear" w:color="auto" w:fill="auto"/>
          </w:tcPr>
          <w:p w14:paraId="2C6597E8" w14:textId="77777777" w:rsidR="003E6878" w:rsidRPr="002243E1" w:rsidRDefault="003E6878" w:rsidP="00B55453">
            <w:pPr>
              <w:rPr>
                <w:rFonts w:asciiTheme="majorHAnsi" w:hAnsiTheme="majorHAnsi"/>
                <w:sz w:val="18"/>
                <w:szCs w:val="18"/>
              </w:rPr>
            </w:pPr>
          </w:p>
        </w:tc>
        <w:tc>
          <w:tcPr>
            <w:tcW w:w="205" w:type="pct"/>
            <w:shd w:val="clear" w:color="auto" w:fill="auto"/>
          </w:tcPr>
          <w:p w14:paraId="5081669D" w14:textId="77777777" w:rsidR="003E6878" w:rsidRPr="002243E1" w:rsidRDefault="003E6878" w:rsidP="00B55453">
            <w:pPr>
              <w:rPr>
                <w:rFonts w:asciiTheme="majorHAnsi" w:hAnsiTheme="majorHAnsi"/>
                <w:sz w:val="18"/>
                <w:szCs w:val="18"/>
              </w:rPr>
            </w:pPr>
          </w:p>
        </w:tc>
        <w:tc>
          <w:tcPr>
            <w:tcW w:w="205" w:type="pct"/>
            <w:shd w:val="clear" w:color="auto" w:fill="auto"/>
          </w:tcPr>
          <w:p w14:paraId="0F4A6BE1" w14:textId="77777777" w:rsidR="003E6878" w:rsidRPr="002243E1" w:rsidRDefault="003E6878" w:rsidP="00B55453">
            <w:pPr>
              <w:rPr>
                <w:rFonts w:asciiTheme="majorHAnsi" w:hAnsiTheme="majorHAnsi"/>
                <w:sz w:val="18"/>
                <w:szCs w:val="18"/>
              </w:rPr>
            </w:pPr>
          </w:p>
        </w:tc>
        <w:tc>
          <w:tcPr>
            <w:tcW w:w="205" w:type="pct"/>
            <w:shd w:val="clear" w:color="auto" w:fill="auto"/>
          </w:tcPr>
          <w:p w14:paraId="35195E39" w14:textId="77777777" w:rsidR="003E6878" w:rsidRPr="002243E1" w:rsidRDefault="003E6878" w:rsidP="00B55453">
            <w:pPr>
              <w:rPr>
                <w:rFonts w:asciiTheme="majorHAnsi" w:hAnsiTheme="majorHAnsi"/>
                <w:sz w:val="18"/>
                <w:szCs w:val="18"/>
              </w:rPr>
            </w:pPr>
          </w:p>
        </w:tc>
        <w:tc>
          <w:tcPr>
            <w:tcW w:w="205" w:type="pct"/>
            <w:shd w:val="clear" w:color="auto" w:fill="auto"/>
          </w:tcPr>
          <w:p w14:paraId="29406F20" w14:textId="77777777" w:rsidR="003E6878" w:rsidRPr="002243E1" w:rsidRDefault="003E6878" w:rsidP="00B55453">
            <w:pPr>
              <w:rPr>
                <w:rFonts w:asciiTheme="majorHAnsi" w:hAnsiTheme="majorHAnsi"/>
                <w:sz w:val="18"/>
                <w:szCs w:val="18"/>
              </w:rPr>
            </w:pPr>
          </w:p>
        </w:tc>
        <w:tc>
          <w:tcPr>
            <w:tcW w:w="205" w:type="pct"/>
            <w:shd w:val="clear" w:color="auto" w:fill="auto"/>
          </w:tcPr>
          <w:p w14:paraId="27F3DDDE" w14:textId="77777777" w:rsidR="003E6878" w:rsidRPr="002243E1" w:rsidRDefault="003E6878" w:rsidP="00B55453">
            <w:pPr>
              <w:rPr>
                <w:rFonts w:asciiTheme="majorHAnsi" w:hAnsiTheme="majorHAnsi"/>
                <w:sz w:val="18"/>
                <w:szCs w:val="18"/>
              </w:rPr>
            </w:pPr>
          </w:p>
        </w:tc>
        <w:tc>
          <w:tcPr>
            <w:tcW w:w="205" w:type="pct"/>
            <w:shd w:val="clear" w:color="auto" w:fill="auto"/>
          </w:tcPr>
          <w:p w14:paraId="51934CD0" w14:textId="77777777" w:rsidR="003E6878" w:rsidRPr="002243E1" w:rsidRDefault="003E6878" w:rsidP="00B55453">
            <w:pPr>
              <w:rPr>
                <w:rFonts w:asciiTheme="majorHAnsi" w:hAnsiTheme="majorHAnsi"/>
                <w:sz w:val="18"/>
                <w:szCs w:val="18"/>
              </w:rPr>
            </w:pPr>
          </w:p>
        </w:tc>
        <w:tc>
          <w:tcPr>
            <w:tcW w:w="205" w:type="pct"/>
            <w:shd w:val="clear" w:color="auto" w:fill="auto"/>
          </w:tcPr>
          <w:p w14:paraId="1AF6A620" w14:textId="77777777" w:rsidR="003E6878" w:rsidRPr="002243E1" w:rsidRDefault="003E6878" w:rsidP="00B55453">
            <w:pPr>
              <w:rPr>
                <w:rFonts w:asciiTheme="majorHAnsi" w:hAnsiTheme="majorHAnsi"/>
                <w:sz w:val="18"/>
                <w:szCs w:val="18"/>
              </w:rPr>
            </w:pPr>
          </w:p>
        </w:tc>
        <w:tc>
          <w:tcPr>
            <w:tcW w:w="205" w:type="pct"/>
            <w:shd w:val="clear" w:color="auto" w:fill="auto"/>
          </w:tcPr>
          <w:p w14:paraId="034FD5F2" w14:textId="77777777" w:rsidR="003E6878" w:rsidRPr="002243E1" w:rsidRDefault="003E6878" w:rsidP="00B55453">
            <w:pPr>
              <w:rPr>
                <w:rFonts w:asciiTheme="majorHAnsi" w:hAnsiTheme="majorHAnsi"/>
                <w:sz w:val="18"/>
                <w:szCs w:val="18"/>
              </w:rPr>
            </w:pPr>
          </w:p>
        </w:tc>
        <w:tc>
          <w:tcPr>
            <w:tcW w:w="205" w:type="pct"/>
            <w:shd w:val="clear" w:color="auto" w:fill="auto"/>
          </w:tcPr>
          <w:p w14:paraId="28CF60DC" w14:textId="77777777" w:rsidR="003E6878" w:rsidRPr="002243E1" w:rsidRDefault="003E6878" w:rsidP="00B55453">
            <w:pPr>
              <w:rPr>
                <w:rFonts w:asciiTheme="majorHAnsi" w:hAnsiTheme="majorHAnsi"/>
                <w:sz w:val="18"/>
                <w:szCs w:val="18"/>
              </w:rPr>
            </w:pPr>
          </w:p>
        </w:tc>
        <w:tc>
          <w:tcPr>
            <w:tcW w:w="205" w:type="pct"/>
            <w:shd w:val="clear" w:color="auto" w:fill="auto"/>
          </w:tcPr>
          <w:p w14:paraId="36C39764" w14:textId="77777777" w:rsidR="003E6878" w:rsidRPr="002243E1" w:rsidRDefault="003E6878" w:rsidP="00B55453">
            <w:pPr>
              <w:rPr>
                <w:rFonts w:asciiTheme="majorHAnsi" w:hAnsiTheme="majorHAnsi"/>
                <w:sz w:val="18"/>
                <w:szCs w:val="18"/>
              </w:rPr>
            </w:pPr>
          </w:p>
        </w:tc>
      </w:tr>
      <w:tr w:rsidR="003E6878" w:rsidRPr="002243E1" w14:paraId="5EFE822E" w14:textId="77777777" w:rsidTr="004622EC">
        <w:tc>
          <w:tcPr>
            <w:tcW w:w="485" w:type="pct"/>
            <w:shd w:val="clear" w:color="auto" w:fill="auto"/>
          </w:tcPr>
          <w:p w14:paraId="21D5F4C4" w14:textId="77777777" w:rsidR="003E6878" w:rsidRPr="002243E1" w:rsidRDefault="003E6878" w:rsidP="00B55453">
            <w:pPr>
              <w:jc w:val="center"/>
              <w:rPr>
                <w:rFonts w:asciiTheme="majorHAnsi" w:hAnsiTheme="majorHAnsi"/>
                <w:sz w:val="18"/>
                <w:szCs w:val="18"/>
              </w:rPr>
            </w:pPr>
            <w:r w:rsidRPr="002243E1">
              <w:rPr>
                <w:rFonts w:asciiTheme="majorHAnsi" w:hAnsiTheme="majorHAnsi" w:cs="Arial"/>
                <w:sz w:val="18"/>
                <w:szCs w:val="18"/>
                <w:lang w:val="en-GB"/>
              </w:rPr>
              <w:t>Activity 2.1.3</w:t>
            </w:r>
          </w:p>
        </w:tc>
        <w:tc>
          <w:tcPr>
            <w:tcW w:w="424" w:type="pct"/>
            <w:vMerge/>
            <w:tcBorders>
              <w:bottom w:val="nil"/>
            </w:tcBorders>
            <w:shd w:val="clear" w:color="auto" w:fill="auto"/>
          </w:tcPr>
          <w:p w14:paraId="281BC178" w14:textId="77777777" w:rsidR="003E6878" w:rsidRPr="002243E1" w:rsidRDefault="003E6878" w:rsidP="002243E1">
            <w:pPr>
              <w:rPr>
                <w:rFonts w:asciiTheme="majorHAnsi" w:hAnsiTheme="majorHAnsi"/>
                <w:sz w:val="18"/>
                <w:szCs w:val="18"/>
              </w:rPr>
            </w:pPr>
          </w:p>
        </w:tc>
        <w:tc>
          <w:tcPr>
            <w:tcW w:w="190" w:type="pct"/>
            <w:shd w:val="clear" w:color="auto" w:fill="auto"/>
          </w:tcPr>
          <w:p w14:paraId="4BD9F042" w14:textId="77777777" w:rsidR="003E6878" w:rsidRPr="002243E1" w:rsidRDefault="003E6878" w:rsidP="00B55453">
            <w:pPr>
              <w:rPr>
                <w:rFonts w:asciiTheme="majorHAnsi" w:hAnsiTheme="majorHAnsi"/>
                <w:sz w:val="18"/>
                <w:szCs w:val="18"/>
              </w:rPr>
            </w:pPr>
          </w:p>
        </w:tc>
        <w:tc>
          <w:tcPr>
            <w:tcW w:w="219" w:type="pct"/>
            <w:shd w:val="clear" w:color="auto" w:fill="auto"/>
          </w:tcPr>
          <w:p w14:paraId="02E301C0" w14:textId="77777777" w:rsidR="003E6878" w:rsidRPr="002243E1" w:rsidRDefault="003E6878" w:rsidP="00B55453">
            <w:pPr>
              <w:rPr>
                <w:rFonts w:asciiTheme="majorHAnsi" w:hAnsiTheme="majorHAnsi"/>
                <w:sz w:val="18"/>
                <w:szCs w:val="18"/>
              </w:rPr>
            </w:pPr>
          </w:p>
        </w:tc>
        <w:tc>
          <w:tcPr>
            <w:tcW w:w="205" w:type="pct"/>
            <w:shd w:val="clear" w:color="auto" w:fill="auto"/>
          </w:tcPr>
          <w:p w14:paraId="59C6DA32"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CAD99E4"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AF5959E"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A79CDC6" w14:textId="77777777" w:rsidR="003E6878" w:rsidRPr="002243E1" w:rsidRDefault="003E6878" w:rsidP="00B55453">
            <w:pPr>
              <w:rPr>
                <w:rFonts w:asciiTheme="majorHAnsi" w:hAnsiTheme="majorHAnsi"/>
                <w:sz w:val="18"/>
                <w:szCs w:val="18"/>
              </w:rPr>
            </w:pPr>
          </w:p>
        </w:tc>
        <w:tc>
          <w:tcPr>
            <w:tcW w:w="205" w:type="pct"/>
            <w:shd w:val="clear" w:color="auto" w:fill="auto"/>
          </w:tcPr>
          <w:p w14:paraId="5DD81D0A" w14:textId="77777777" w:rsidR="003E6878" w:rsidRPr="002243E1" w:rsidRDefault="003E6878" w:rsidP="00B55453">
            <w:pPr>
              <w:rPr>
                <w:rFonts w:asciiTheme="majorHAnsi" w:hAnsiTheme="majorHAnsi"/>
                <w:sz w:val="18"/>
                <w:szCs w:val="18"/>
              </w:rPr>
            </w:pPr>
          </w:p>
        </w:tc>
        <w:tc>
          <w:tcPr>
            <w:tcW w:w="205" w:type="pct"/>
            <w:shd w:val="clear" w:color="auto" w:fill="auto"/>
          </w:tcPr>
          <w:p w14:paraId="46DEE8FE" w14:textId="77777777" w:rsidR="003E6878" w:rsidRPr="002243E1" w:rsidRDefault="003E6878" w:rsidP="00B55453">
            <w:pPr>
              <w:rPr>
                <w:rFonts w:asciiTheme="majorHAnsi" w:hAnsiTheme="majorHAnsi"/>
                <w:sz w:val="18"/>
                <w:szCs w:val="18"/>
              </w:rPr>
            </w:pPr>
          </w:p>
        </w:tc>
        <w:tc>
          <w:tcPr>
            <w:tcW w:w="205" w:type="pct"/>
            <w:shd w:val="clear" w:color="auto" w:fill="auto"/>
          </w:tcPr>
          <w:p w14:paraId="709D2260" w14:textId="77777777" w:rsidR="003E6878" w:rsidRPr="002243E1" w:rsidRDefault="003E6878" w:rsidP="00B55453">
            <w:pPr>
              <w:rPr>
                <w:rFonts w:asciiTheme="majorHAnsi" w:hAnsiTheme="majorHAnsi"/>
                <w:sz w:val="18"/>
                <w:szCs w:val="18"/>
              </w:rPr>
            </w:pPr>
          </w:p>
        </w:tc>
        <w:tc>
          <w:tcPr>
            <w:tcW w:w="205" w:type="pct"/>
            <w:shd w:val="clear" w:color="auto" w:fill="auto"/>
          </w:tcPr>
          <w:p w14:paraId="573CAF5D" w14:textId="77777777" w:rsidR="003E6878" w:rsidRPr="002243E1" w:rsidRDefault="003E6878" w:rsidP="00B55453">
            <w:pPr>
              <w:rPr>
                <w:rFonts w:asciiTheme="majorHAnsi" w:hAnsiTheme="majorHAnsi"/>
                <w:sz w:val="18"/>
                <w:szCs w:val="18"/>
              </w:rPr>
            </w:pPr>
          </w:p>
        </w:tc>
        <w:tc>
          <w:tcPr>
            <w:tcW w:w="205" w:type="pct"/>
            <w:shd w:val="clear" w:color="auto" w:fill="auto"/>
          </w:tcPr>
          <w:p w14:paraId="4E20719B" w14:textId="77777777" w:rsidR="003E6878" w:rsidRPr="002243E1" w:rsidRDefault="003E6878" w:rsidP="00B55453">
            <w:pPr>
              <w:rPr>
                <w:rFonts w:asciiTheme="majorHAnsi" w:hAnsiTheme="majorHAnsi"/>
                <w:sz w:val="18"/>
                <w:szCs w:val="18"/>
              </w:rPr>
            </w:pPr>
          </w:p>
        </w:tc>
        <w:tc>
          <w:tcPr>
            <w:tcW w:w="205" w:type="pct"/>
            <w:shd w:val="clear" w:color="auto" w:fill="auto"/>
          </w:tcPr>
          <w:p w14:paraId="4DB31396" w14:textId="77777777" w:rsidR="003E6878" w:rsidRPr="002243E1" w:rsidRDefault="003E6878" w:rsidP="00B55453">
            <w:pPr>
              <w:rPr>
                <w:rFonts w:asciiTheme="majorHAnsi" w:hAnsiTheme="majorHAnsi"/>
                <w:sz w:val="18"/>
                <w:szCs w:val="18"/>
              </w:rPr>
            </w:pPr>
          </w:p>
        </w:tc>
        <w:tc>
          <w:tcPr>
            <w:tcW w:w="205" w:type="pct"/>
            <w:shd w:val="clear" w:color="auto" w:fill="auto"/>
          </w:tcPr>
          <w:p w14:paraId="6A0337E2" w14:textId="77777777" w:rsidR="003E6878" w:rsidRPr="002243E1" w:rsidRDefault="003E6878" w:rsidP="00B55453">
            <w:pPr>
              <w:rPr>
                <w:rFonts w:asciiTheme="majorHAnsi" w:hAnsiTheme="majorHAnsi"/>
                <w:sz w:val="18"/>
                <w:szCs w:val="18"/>
              </w:rPr>
            </w:pPr>
          </w:p>
        </w:tc>
        <w:tc>
          <w:tcPr>
            <w:tcW w:w="205" w:type="pct"/>
            <w:shd w:val="clear" w:color="auto" w:fill="auto"/>
          </w:tcPr>
          <w:p w14:paraId="1883C381" w14:textId="77777777" w:rsidR="003E6878" w:rsidRPr="002243E1" w:rsidRDefault="003E6878" w:rsidP="00B55453">
            <w:pPr>
              <w:rPr>
                <w:rFonts w:asciiTheme="majorHAnsi" w:hAnsiTheme="majorHAnsi"/>
                <w:sz w:val="18"/>
                <w:szCs w:val="18"/>
              </w:rPr>
            </w:pPr>
          </w:p>
        </w:tc>
        <w:tc>
          <w:tcPr>
            <w:tcW w:w="205" w:type="pct"/>
            <w:shd w:val="clear" w:color="auto" w:fill="auto"/>
          </w:tcPr>
          <w:p w14:paraId="11EFDCA5" w14:textId="77777777" w:rsidR="003E6878" w:rsidRPr="002243E1" w:rsidRDefault="003E6878" w:rsidP="00B55453">
            <w:pPr>
              <w:rPr>
                <w:rFonts w:asciiTheme="majorHAnsi" w:hAnsiTheme="majorHAnsi"/>
                <w:sz w:val="18"/>
                <w:szCs w:val="18"/>
              </w:rPr>
            </w:pPr>
          </w:p>
        </w:tc>
        <w:tc>
          <w:tcPr>
            <w:tcW w:w="205" w:type="pct"/>
            <w:shd w:val="clear" w:color="auto" w:fill="auto"/>
          </w:tcPr>
          <w:p w14:paraId="39F062EF" w14:textId="77777777" w:rsidR="003E6878" w:rsidRPr="002243E1" w:rsidRDefault="003E6878" w:rsidP="00B55453">
            <w:pPr>
              <w:rPr>
                <w:rFonts w:asciiTheme="majorHAnsi" w:hAnsiTheme="majorHAnsi"/>
                <w:sz w:val="18"/>
                <w:szCs w:val="18"/>
              </w:rPr>
            </w:pPr>
          </w:p>
        </w:tc>
        <w:tc>
          <w:tcPr>
            <w:tcW w:w="205" w:type="pct"/>
            <w:shd w:val="clear" w:color="auto" w:fill="auto"/>
          </w:tcPr>
          <w:p w14:paraId="56103F1E" w14:textId="77777777" w:rsidR="003E6878" w:rsidRPr="002243E1" w:rsidRDefault="003E6878" w:rsidP="00B55453">
            <w:pPr>
              <w:rPr>
                <w:rFonts w:asciiTheme="majorHAnsi" w:hAnsiTheme="majorHAnsi"/>
                <w:sz w:val="18"/>
                <w:szCs w:val="18"/>
              </w:rPr>
            </w:pPr>
          </w:p>
        </w:tc>
        <w:tc>
          <w:tcPr>
            <w:tcW w:w="205" w:type="pct"/>
            <w:shd w:val="clear" w:color="auto" w:fill="auto"/>
          </w:tcPr>
          <w:p w14:paraId="48524900" w14:textId="77777777" w:rsidR="003E6878" w:rsidRPr="002243E1" w:rsidRDefault="003E6878" w:rsidP="00B55453">
            <w:pPr>
              <w:rPr>
                <w:rFonts w:asciiTheme="majorHAnsi" w:hAnsiTheme="majorHAnsi"/>
                <w:sz w:val="18"/>
                <w:szCs w:val="18"/>
              </w:rPr>
            </w:pPr>
          </w:p>
        </w:tc>
        <w:tc>
          <w:tcPr>
            <w:tcW w:w="205" w:type="pct"/>
            <w:shd w:val="clear" w:color="auto" w:fill="auto"/>
          </w:tcPr>
          <w:p w14:paraId="17C75C72" w14:textId="77777777" w:rsidR="003E6878" w:rsidRPr="002243E1" w:rsidRDefault="003E6878" w:rsidP="00B55453">
            <w:pPr>
              <w:rPr>
                <w:rFonts w:asciiTheme="majorHAnsi" w:hAnsiTheme="majorHAnsi"/>
                <w:sz w:val="18"/>
                <w:szCs w:val="18"/>
              </w:rPr>
            </w:pPr>
          </w:p>
        </w:tc>
        <w:tc>
          <w:tcPr>
            <w:tcW w:w="205" w:type="pct"/>
            <w:shd w:val="clear" w:color="auto" w:fill="auto"/>
          </w:tcPr>
          <w:p w14:paraId="563233EA" w14:textId="77777777" w:rsidR="003E6878" w:rsidRPr="002243E1" w:rsidRDefault="003E6878" w:rsidP="00B55453">
            <w:pPr>
              <w:rPr>
                <w:rFonts w:asciiTheme="majorHAnsi" w:hAnsiTheme="majorHAnsi"/>
                <w:sz w:val="18"/>
                <w:szCs w:val="18"/>
              </w:rPr>
            </w:pPr>
          </w:p>
        </w:tc>
      </w:tr>
      <w:tr w:rsidR="003E6878" w:rsidRPr="002243E1" w14:paraId="68379121" w14:textId="77777777" w:rsidTr="004622EC">
        <w:tc>
          <w:tcPr>
            <w:tcW w:w="485" w:type="pct"/>
            <w:shd w:val="clear" w:color="auto" w:fill="auto"/>
          </w:tcPr>
          <w:p w14:paraId="64D5074F" w14:textId="77777777" w:rsidR="003E6878" w:rsidRPr="002243E1" w:rsidRDefault="003E6878" w:rsidP="00B55453">
            <w:pPr>
              <w:rPr>
                <w:rFonts w:asciiTheme="majorHAnsi" w:hAnsiTheme="majorHAnsi"/>
                <w:sz w:val="18"/>
                <w:szCs w:val="18"/>
              </w:rPr>
            </w:pPr>
            <w:r w:rsidRPr="002243E1">
              <w:rPr>
                <w:rFonts w:asciiTheme="majorHAnsi" w:hAnsiTheme="majorHAnsi" w:cs="Arial"/>
                <w:sz w:val="18"/>
                <w:szCs w:val="18"/>
                <w:lang w:val="en-GB"/>
              </w:rPr>
              <w:t>Activity 2.2.1</w:t>
            </w:r>
          </w:p>
        </w:tc>
        <w:tc>
          <w:tcPr>
            <w:tcW w:w="424" w:type="pct"/>
            <w:vMerge/>
            <w:tcBorders>
              <w:bottom w:val="nil"/>
            </w:tcBorders>
            <w:shd w:val="clear" w:color="auto" w:fill="auto"/>
          </w:tcPr>
          <w:p w14:paraId="5B86516A" w14:textId="77777777" w:rsidR="003E6878" w:rsidRPr="002243E1" w:rsidRDefault="003E6878" w:rsidP="002243E1">
            <w:pPr>
              <w:rPr>
                <w:rFonts w:asciiTheme="majorHAnsi" w:hAnsiTheme="majorHAnsi"/>
                <w:sz w:val="18"/>
                <w:szCs w:val="18"/>
              </w:rPr>
            </w:pPr>
          </w:p>
        </w:tc>
        <w:tc>
          <w:tcPr>
            <w:tcW w:w="190" w:type="pct"/>
            <w:shd w:val="clear" w:color="auto" w:fill="auto"/>
          </w:tcPr>
          <w:p w14:paraId="4AEE490B" w14:textId="77777777" w:rsidR="003E6878" w:rsidRPr="002243E1" w:rsidRDefault="003E6878" w:rsidP="00B55453">
            <w:pPr>
              <w:rPr>
                <w:rFonts w:asciiTheme="majorHAnsi" w:hAnsiTheme="majorHAnsi"/>
                <w:sz w:val="18"/>
                <w:szCs w:val="18"/>
              </w:rPr>
            </w:pPr>
          </w:p>
        </w:tc>
        <w:tc>
          <w:tcPr>
            <w:tcW w:w="219" w:type="pct"/>
            <w:shd w:val="clear" w:color="auto" w:fill="auto"/>
          </w:tcPr>
          <w:p w14:paraId="3274F64D"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C19B081"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095181D"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2CABC71" w14:textId="77777777" w:rsidR="003E6878" w:rsidRPr="002243E1" w:rsidRDefault="003E6878" w:rsidP="00B55453">
            <w:pPr>
              <w:rPr>
                <w:rFonts w:asciiTheme="majorHAnsi" w:hAnsiTheme="majorHAnsi"/>
                <w:sz w:val="18"/>
                <w:szCs w:val="18"/>
              </w:rPr>
            </w:pPr>
          </w:p>
        </w:tc>
        <w:tc>
          <w:tcPr>
            <w:tcW w:w="205" w:type="pct"/>
            <w:shd w:val="clear" w:color="auto" w:fill="auto"/>
          </w:tcPr>
          <w:p w14:paraId="76AC25D2" w14:textId="77777777" w:rsidR="003E6878" w:rsidRPr="002243E1" w:rsidRDefault="003E6878" w:rsidP="00B55453">
            <w:pPr>
              <w:rPr>
                <w:rFonts w:asciiTheme="majorHAnsi" w:hAnsiTheme="majorHAnsi"/>
                <w:sz w:val="18"/>
                <w:szCs w:val="18"/>
              </w:rPr>
            </w:pPr>
          </w:p>
        </w:tc>
        <w:tc>
          <w:tcPr>
            <w:tcW w:w="205" w:type="pct"/>
            <w:shd w:val="clear" w:color="auto" w:fill="auto"/>
          </w:tcPr>
          <w:p w14:paraId="4533E346" w14:textId="77777777" w:rsidR="003E6878" w:rsidRPr="002243E1" w:rsidRDefault="003E6878" w:rsidP="00B55453">
            <w:pPr>
              <w:rPr>
                <w:rFonts w:asciiTheme="majorHAnsi" w:hAnsiTheme="majorHAnsi"/>
                <w:sz w:val="18"/>
                <w:szCs w:val="18"/>
              </w:rPr>
            </w:pPr>
          </w:p>
        </w:tc>
        <w:tc>
          <w:tcPr>
            <w:tcW w:w="205" w:type="pct"/>
            <w:shd w:val="clear" w:color="auto" w:fill="auto"/>
          </w:tcPr>
          <w:p w14:paraId="72A2C32D" w14:textId="77777777" w:rsidR="003E6878" w:rsidRPr="002243E1" w:rsidRDefault="003E6878" w:rsidP="00B55453">
            <w:pPr>
              <w:rPr>
                <w:rFonts w:asciiTheme="majorHAnsi" w:hAnsiTheme="majorHAnsi"/>
                <w:sz w:val="18"/>
                <w:szCs w:val="18"/>
              </w:rPr>
            </w:pPr>
          </w:p>
        </w:tc>
        <w:tc>
          <w:tcPr>
            <w:tcW w:w="205" w:type="pct"/>
            <w:shd w:val="clear" w:color="auto" w:fill="auto"/>
          </w:tcPr>
          <w:p w14:paraId="692691E0" w14:textId="77777777" w:rsidR="003E6878" w:rsidRPr="002243E1" w:rsidRDefault="003E6878" w:rsidP="00B55453">
            <w:pPr>
              <w:rPr>
                <w:rFonts w:asciiTheme="majorHAnsi" w:hAnsiTheme="majorHAnsi"/>
                <w:sz w:val="18"/>
                <w:szCs w:val="18"/>
              </w:rPr>
            </w:pPr>
          </w:p>
        </w:tc>
        <w:tc>
          <w:tcPr>
            <w:tcW w:w="205" w:type="pct"/>
            <w:shd w:val="clear" w:color="auto" w:fill="auto"/>
          </w:tcPr>
          <w:p w14:paraId="07B73A63" w14:textId="77777777" w:rsidR="003E6878" w:rsidRPr="002243E1" w:rsidRDefault="003E6878" w:rsidP="00B55453">
            <w:pPr>
              <w:rPr>
                <w:rFonts w:asciiTheme="majorHAnsi" w:hAnsiTheme="majorHAnsi"/>
                <w:sz w:val="18"/>
                <w:szCs w:val="18"/>
              </w:rPr>
            </w:pPr>
          </w:p>
        </w:tc>
        <w:tc>
          <w:tcPr>
            <w:tcW w:w="205" w:type="pct"/>
            <w:shd w:val="clear" w:color="auto" w:fill="auto"/>
          </w:tcPr>
          <w:p w14:paraId="1B478CAF" w14:textId="77777777" w:rsidR="003E6878" w:rsidRPr="002243E1" w:rsidRDefault="003E6878" w:rsidP="00B55453">
            <w:pPr>
              <w:rPr>
                <w:rFonts w:asciiTheme="majorHAnsi" w:hAnsiTheme="majorHAnsi"/>
                <w:sz w:val="18"/>
                <w:szCs w:val="18"/>
              </w:rPr>
            </w:pPr>
          </w:p>
        </w:tc>
        <w:tc>
          <w:tcPr>
            <w:tcW w:w="205" w:type="pct"/>
            <w:shd w:val="clear" w:color="auto" w:fill="auto"/>
          </w:tcPr>
          <w:p w14:paraId="22ECC934" w14:textId="77777777" w:rsidR="003E6878" w:rsidRPr="002243E1" w:rsidRDefault="003E6878" w:rsidP="00B55453">
            <w:pPr>
              <w:rPr>
                <w:rFonts w:asciiTheme="majorHAnsi" w:hAnsiTheme="majorHAnsi"/>
                <w:sz w:val="18"/>
                <w:szCs w:val="18"/>
              </w:rPr>
            </w:pPr>
          </w:p>
        </w:tc>
        <w:tc>
          <w:tcPr>
            <w:tcW w:w="205" w:type="pct"/>
            <w:shd w:val="clear" w:color="auto" w:fill="auto"/>
          </w:tcPr>
          <w:p w14:paraId="70EF8922" w14:textId="77777777" w:rsidR="003E6878" w:rsidRPr="002243E1" w:rsidRDefault="003E6878" w:rsidP="00B55453">
            <w:pPr>
              <w:rPr>
                <w:rFonts w:asciiTheme="majorHAnsi" w:hAnsiTheme="majorHAnsi"/>
                <w:sz w:val="18"/>
                <w:szCs w:val="18"/>
              </w:rPr>
            </w:pPr>
          </w:p>
        </w:tc>
        <w:tc>
          <w:tcPr>
            <w:tcW w:w="205" w:type="pct"/>
            <w:shd w:val="clear" w:color="auto" w:fill="auto"/>
          </w:tcPr>
          <w:p w14:paraId="306CD4DD" w14:textId="77777777" w:rsidR="003E6878" w:rsidRPr="002243E1" w:rsidRDefault="003E6878" w:rsidP="00B55453">
            <w:pPr>
              <w:rPr>
                <w:rFonts w:asciiTheme="majorHAnsi" w:hAnsiTheme="majorHAnsi"/>
                <w:sz w:val="18"/>
                <w:szCs w:val="18"/>
              </w:rPr>
            </w:pPr>
          </w:p>
        </w:tc>
        <w:tc>
          <w:tcPr>
            <w:tcW w:w="205" w:type="pct"/>
            <w:shd w:val="clear" w:color="auto" w:fill="auto"/>
          </w:tcPr>
          <w:p w14:paraId="5A2EF155" w14:textId="77777777" w:rsidR="003E6878" w:rsidRPr="002243E1" w:rsidRDefault="003E6878" w:rsidP="00B55453">
            <w:pPr>
              <w:rPr>
                <w:rFonts w:asciiTheme="majorHAnsi" w:hAnsiTheme="majorHAnsi"/>
                <w:sz w:val="18"/>
                <w:szCs w:val="18"/>
              </w:rPr>
            </w:pPr>
          </w:p>
        </w:tc>
        <w:tc>
          <w:tcPr>
            <w:tcW w:w="205" w:type="pct"/>
            <w:shd w:val="clear" w:color="auto" w:fill="auto"/>
          </w:tcPr>
          <w:p w14:paraId="55ED3BEB" w14:textId="77777777" w:rsidR="003E6878" w:rsidRPr="002243E1" w:rsidRDefault="003E6878" w:rsidP="00B55453">
            <w:pPr>
              <w:rPr>
                <w:rFonts w:asciiTheme="majorHAnsi" w:hAnsiTheme="majorHAnsi"/>
                <w:sz w:val="18"/>
                <w:szCs w:val="18"/>
              </w:rPr>
            </w:pPr>
          </w:p>
        </w:tc>
        <w:tc>
          <w:tcPr>
            <w:tcW w:w="205" w:type="pct"/>
            <w:shd w:val="clear" w:color="auto" w:fill="auto"/>
          </w:tcPr>
          <w:p w14:paraId="092091BF" w14:textId="77777777" w:rsidR="003E6878" w:rsidRPr="002243E1" w:rsidRDefault="003E6878" w:rsidP="00B55453">
            <w:pPr>
              <w:rPr>
                <w:rFonts w:asciiTheme="majorHAnsi" w:hAnsiTheme="majorHAnsi"/>
                <w:sz w:val="18"/>
                <w:szCs w:val="18"/>
              </w:rPr>
            </w:pPr>
          </w:p>
        </w:tc>
        <w:tc>
          <w:tcPr>
            <w:tcW w:w="205" w:type="pct"/>
            <w:shd w:val="clear" w:color="auto" w:fill="auto"/>
          </w:tcPr>
          <w:p w14:paraId="41840B07" w14:textId="77777777" w:rsidR="003E6878" w:rsidRPr="002243E1" w:rsidRDefault="003E6878" w:rsidP="00B55453">
            <w:pPr>
              <w:rPr>
                <w:rFonts w:asciiTheme="majorHAnsi" w:hAnsiTheme="majorHAnsi"/>
                <w:sz w:val="18"/>
                <w:szCs w:val="18"/>
              </w:rPr>
            </w:pPr>
          </w:p>
        </w:tc>
        <w:tc>
          <w:tcPr>
            <w:tcW w:w="205" w:type="pct"/>
            <w:shd w:val="clear" w:color="auto" w:fill="auto"/>
          </w:tcPr>
          <w:p w14:paraId="01A7DFB1" w14:textId="77777777" w:rsidR="003E6878" w:rsidRPr="002243E1" w:rsidRDefault="003E6878" w:rsidP="00B55453">
            <w:pPr>
              <w:rPr>
                <w:rFonts w:asciiTheme="majorHAnsi" w:hAnsiTheme="majorHAnsi"/>
                <w:sz w:val="18"/>
                <w:szCs w:val="18"/>
              </w:rPr>
            </w:pPr>
          </w:p>
        </w:tc>
        <w:tc>
          <w:tcPr>
            <w:tcW w:w="205" w:type="pct"/>
            <w:shd w:val="clear" w:color="auto" w:fill="auto"/>
          </w:tcPr>
          <w:p w14:paraId="203D3C1B" w14:textId="77777777" w:rsidR="003E6878" w:rsidRPr="002243E1" w:rsidRDefault="003E6878" w:rsidP="00B55453">
            <w:pPr>
              <w:rPr>
                <w:rFonts w:asciiTheme="majorHAnsi" w:hAnsiTheme="majorHAnsi"/>
                <w:sz w:val="18"/>
                <w:szCs w:val="18"/>
              </w:rPr>
            </w:pPr>
          </w:p>
        </w:tc>
      </w:tr>
      <w:tr w:rsidR="00715B3D" w:rsidRPr="002243E1" w14:paraId="7CE0CA16" w14:textId="77777777" w:rsidTr="00621087">
        <w:tc>
          <w:tcPr>
            <w:tcW w:w="485" w:type="pct"/>
            <w:shd w:val="clear" w:color="auto" w:fill="auto"/>
          </w:tcPr>
          <w:p w14:paraId="36C7829B" w14:textId="77777777" w:rsidR="003E6878" w:rsidRPr="002243E1" w:rsidRDefault="003E6878" w:rsidP="00B55453">
            <w:pPr>
              <w:jc w:val="center"/>
              <w:rPr>
                <w:rFonts w:asciiTheme="majorHAnsi" w:hAnsiTheme="majorHAnsi" w:cs="Arial"/>
                <w:sz w:val="18"/>
                <w:szCs w:val="18"/>
                <w:lang w:val="en-GB"/>
              </w:rPr>
            </w:pPr>
            <w:r w:rsidRPr="002243E1">
              <w:rPr>
                <w:rFonts w:asciiTheme="majorHAnsi" w:hAnsiTheme="majorHAnsi" w:cs="Arial"/>
                <w:sz w:val="18"/>
                <w:szCs w:val="18"/>
                <w:lang w:val="en-GB"/>
              </w:rPr>
              <w:t>Activity 2.2.2</w:t>
            </w:r>
          </w:p>
        </w:tc>
        <w:tc>
          <w:tcPr>
            <w:tcW w:w="424" w:type="pct"/>
            <w:vMerge/>
            <w:tcBorders>
              <w:bottom w:val="nil"/>
            </w:tcBorders>
            <w:shd w:val="clear" w:color="auto" w:fill="auto"/>
          </w:tcPr>
          <w:p w14:paraId="1EEA4DC6" w14:textId="77777777" w:rsidR="003E6878" w:rsidRPr="002243E1" w:rsidRDefault="003E6878" w:rsidP="002243E1">
            <w:pPr>
              <w:rPr>
                <w:rFonts w:asciiTheme="majorHAnsi" w:hAnsiTheme="majorHAnsi"/>
                <w:sz w:val="18"/>
                <w:szCs w:val="18"/>
              </w:rPr>
            </w:pPr>
          </w:p>
        </w:tc>
        <w:tc>
          <w:tcPr>
            <w:tcW w:w="190" w:type="pct"/>
            <w:shd w:val="clear" w:color="auto" w:fill="auto"/>
          </w:tcPr>
          <w:p w14:paraId="1DB67A20" w14:textId="77777777" w:rsidR="003E6878" w:rsidRPr="002243E1" w:rsidRDefault="003E6878" w:rsidP="00B55453">
            <w:pPr>
              <w:rPr>
                <w:rFonts w:asciiTheme="majorHAnsi" w:hAnsiTheme="majorHAnsi"/>
                <w:sz w:val="18"/>
                <w:szCs w:val="18"/>
              </w:rPr>
            </w:pPr>
          </w:p>
        </w:tc>
        <w:tc>
          <w:tcPr>
            <w:tcW w:w="219" w:type="pct"/>
            <w:shd w:val="clear" w:color="auto" w:fill="auto"/>
          </w:tcPr>
          <w:p w14:paraId="7C77E541" w14:textId="77777777" w:rsidR="003E6878" w:rsidRPr="002243E1" w:rsidRDefault="003E6878" w:rsidP="00B55453">
            <w:pPr>
              <w:rPr>
                <w:rFonts w:asciiTheme="majorHAnsi" w:hAnsiTheme="majorHAnsi"/>
                <w:sz w:val="18"/>
                <w:szCs w:val="18"/>
              </w:rPr>
            </w:pPr>
          </w:p>
        </w:tc>
        <w:tc>
          <w:tcPr>
            <w:tcW w:w="205" w:type="pct"/>
            <w:shd w:val="clear" w:color="auto" w:fill="auto"/>
          </w:tcPr>
          <w:p w14:paraId="1EA2E155" w14:textId="77777777" w:rsidR="003E6878" w:rsidRPr="002243E1" w:rsidRDefault="003E6878" w:rsidP="00B55453">
            <w:pPr>
              <w:rPr>
                <w:rFonts w:asciiTheme="majorHAnsi" w:hAnsiTheme="majorHAnsi"/>
                <w:sz w:val="18"/>
                <w:szCs w:val="18"/>
              </w:rPr>
            </w:pPr>
          </w:p>
        </w:tc>
        <w:tc>
          <w:tcPr>
            <w:tcW w:w="205" w:type="pct"/>
            <w:shd w:val="clear" w:color="auto" w:fill="auto"/>
          </w:tcPr>
          <w:p w14:paraId="69AB30F3"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781C785"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8D03312"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644401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35C54B3"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82A51C2"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A8F6D8C" w14:textId="77777777" w:rsidR="003E6878" w:rsidRPr="002243E1" w:rsidRDefault="003E6878" w:rsidP="00B55453">
            <w:pPr>
              <w:rPr>
                <w:rFonts w:asciiTheme="majorHAnsi" w:hAnsiTheme="majorHAnsi"/>
                <w:sz w:val="18"/>
                <w:szCs w:val="18"/>
              </w:rPr>
            </w:pPr>
          </w:p>
        </w:tc>
        <w:tc>
          <w:tcPr>
            <w:tcW w:w="205" w:type="pct"/>
            <w:shd w:val="clear" w:color="auto" w:fill="auto"/>
          </w:tcPr>
          <w:p w14:paraId="2B6A672E" w14:textId="77777777" w:rsidR="003E6878" w:rsidRPr="002243E1" w:rsidRDefault="003E6878" w:rsidP="00B55453">
            <w:pPr>
              <w:rPr>
                <w:rFonts w:asciiTheme="majorHAnsi" w:hAnsiTheme="majorHAnsi"/>
                <w:sz w:val="18"/>
                <w:szCs w:val="18"/>
              </w:rPr>
            </w:pPr>
          </w:p>
        </w:tc>
        <w:tc>
          <w:tcPr>
            <w:tcW w:w="205" w:type="pct"/>
            <w:shd w:val="clear" w:color="auto" w:fill="auto"/>
          </w:tcPr>
          <w:p w14:paraId="2C0528F4" w14:textId="77777777" w:rsidR="003E6878" w:rsidRPr="002243E1" w:rsidRDefault="003E6878" w:rsidP="00B55453">
            <w:pPr>
              <w:rPr>
                <w:rFonts w:asciiTheme="majorHAnsi" w:hAnsiTheme="majorHAnsi"/>
                <w:sz w:val="18"/>
                <w:szCs w:val="18"/>
              </w:rPr>
            </w:pPr>
          </w:p>
        </w:tc>
        <w:tc>
          <w:tcPr>
            <w:tcW w:w="205" w:type="pct"/>
            <w:shd w:val="clear" w:color="auto" w:fill="auto"/>
          </w:tcPr>
          <w:p w14:paraId="5D00D8ED" w14:textId="77777777" w:rsidR="003E6878" w:rsidRPr="002243E1" w:rsidRDefault="003E6878" w:rsidP="00B55453">
            <w:pPr>
              <w:rPr>
                <w:rFonts w:asciiTheme="majorHAnsi" w:hAnsiTheme="majorHAnsi"/>
                <w:sz w:val="18"/>
                <w:szCs w:val="18"/>
              </w:rPr>
            </w:pPr>
          </w:p>
        </w:tc>
        <w:tc>
          <w:tcPr>
            <w:tcW w:w="205" w:type="pct"/>
            <w:shd w:val="clear" w:color="auto" w:fill="auto"/>
          </w:tcPr>
          <w:p w14:paraId="048EF676" w14:textId="77777777" w:rsidR="003E6878" w:rsidRPr="002243E1" w:rsidRDefault="003E6878" w:rsidP="00B55453">
            <w:pPr>
              <w:rPr>
                <w:rFonts w:asciiTheme="majorHAnsi" w:hAnsiTheme="majorHAnsi"/>
                <w:sz w:val="18"/>
                <w:szCs w:val="18"/>
              </w:rPr>
            </w:pPr>
          </w:p>
        </w:tc>
        <w:tc>
          <w:tcPr>
            <w:tcW w:w="205" w:type="pct"/>
            <w:shd w:val="clear" w:color="auto" w:fill="auto"/>
          </w:tcPr>
          <w:p w14:paraId="7B91B1BB" w14:textId="77777777" w:rsidR="003E6878" w:rsidRPr="002243E1" w:rsidRDefault="003E6878" w:rsidP="00B55453">
            <w:pPr>
              <w:rPr>
                <w:rFonts w:asciiTheme="majorHAnsi" w:hAnsiTheme="majorHAnsi"/>
                <w:sz w:val="18"/>
                <w:szCs w:val="18"/>
              </w:rPr>
            </w:pPr>
          </w:p>
        </w:tc>
        <w:tc>
          <w:tcPr>
            <w:tcW w:w="205" w:type="pct"/>
            <w:shd w:val="clear" w:color="auto" w:fill="auto"/>
          </w:tcPr>
          <w:p w14:paraId="1F5C3ADD" w14:textId="77777777" w:rsidR="003E6878" w:rsidRPr="002243E1" w:rsidRDefault="003E6878" w:rsidP="00B55453">
            <w:pPr>
              <w:rPr>
                <w:rFonts w:asciiTheme="majorHAnsi" w:hAnsiTheme="majorHAnsi"/>
                <w:sz w:val="18"/>
                <w:szCs w:val="18"/>
              </w:rPr>
            </w:pPr>
          </w:p>
        </w:tc>
        <w:tc>
          <w:tcPr>
            <w:tcW w:w="205" w:type="pct"/>
            <w:shd w:val="clear" w:color="auto" w:fill="auto"/>
          </w:tcPr>
          <w:p w14:paraId="304AE15D" w14:textId="77777777" w:rsidR="003E6878" w:rsidRPr="002243E1" w:rsidRDefault="003E6878" w:rsidP="00B55453">
            <w:pPr>
              <w:rPr>
                <w:rFonts w:asciiTheme="majorHAnsi" w:hAnsiTheme="majorHAnsi"/>
                <w:sz w:val="18"/>
                <w:szCs w:val="18"/>
              </w:rPr>
            </w:pPr>
          </w:p>
        </w:tc>
        <w:tc>
          <w:tcPr>
            <w:tcW w:w="205" w:type="pct"/>
            <w:shd w:val="clear" w:color="auto" w:fill="auto"/>
          </w:tcPr>
          <w:p w14:paraId="43B485A6" w14:textId="77777777" w:rsidR="003E6878" w:rsidRPr="002243E1" w:rsidRDefault="003E6878" w:rsidP="00B55453">
            <w:pPr>
              <w:rPr>
                <w:rFonts w:asciiTheme="majorHAnsi" w:hAnsiTheme="majorHAnsi"/>
                <w:sz w:val="18"/>
                <w:szCs w:val="18"/>
              </w:rPr>
            </w:pPr>
          </w:p>
        </w:tc>
        <w:tc>
          <w:tcPr>
            <w:tcW w:w="205" w:type="pct"/>
            <w:shd w:val="clear" w:color="auto" w:fill="auto"/>
          </w:tcPr>
          <w:p w14:paraId="7F781B79" w14:textId="77777777" w:rsidR="003E6878" w:rsidRPr="002243E1" w:rsidRDefault="003E6878" w:rsidP="00B55453">
            <w:pPr>
              <w:rPr>
                <w:rFonts w:asciiTheme="majorHAnsi" w:hAnsiTheme="majorHAnsi"/>
                <w:sz w:val="18"/>
                <w:szCs w:val="18"/>
              </w:rPr>
            </w:pPr>
          </w:p>
        </w:tc>
        <w:tc>
          <w:tcPr>
            <w:tcW w:w="205" w:type="pct"/>
            <w:shd w:val="clear" w:color="auto" w:fill="auto"/>
          </w:tcPr>
          <w:p w14:paraId="3DC2FFEC" w14:textId="77777777" w:rsidR="003E6878" w:rsidRPr="002243E1" w:rsidRDefault="003E6878" w:rsidP="00B55453">
            <w:pPr>
              <w:rPr>
                <w:rFonts w:asciiTheme="majorHAnsi" w:hAnsiTheme="majorHAnsi"/>
                <w:sz w:val="18"/>
                <w:szCs w:val="18"/>
              </w:rPr>
            </w:pPr>
          </w:p>
        </w:tc>
      </w:tr>
      <w:tr w:rsidR="003E6878" w:rsidRPr="002243E1" w14:paraId="21B09D20" w14:textId="77777777" w:rsidTr="004622EC">
        <w:tc>
          <w:tcPr>
            <w:tcW w:w="485" w:type="pct"/>
            <w:shd w:val="clear" w:color="auto" w:fill="auto"/>
          </w:tcPr>
          <w:p w14:paraId="56B5A786" w14:textId="77777777" w:rsidR="003E6878" w:rsidRPr="002243E1" w:rsidRDefault="003E6878" w:rsidP="00B55453">
            <w:pPr>
              <w:jc w:val="center"/>
              <w:rPr>
                <w:rFonts w:asciiTheme="majorHAnsi" w:hAnsiTheme="majorHAnsi" w:cs="Arial"/>
                <w:sz w:val="18"/>
                <w:szCs w:val="18"/>
                <w:lang w:val="en-GB"/>
              </w:rPr>
            </w:pPr>
            <w:r w:rsidRPr="002243E1">
              <w:rPr>
                <w:rFonts w:asciiTheme="majorHAnsi" w:hAnsiTheme="majorHAnsi" w:cs="Arial"/>
                <w:sz w:val="18"/>
                <w:szCs w:val="18"/>
                <w:lang w:val="en-GB"/>
              </w:rPr>
              <w:t>Activity 2.2.3</w:t>
            </w:r>
          </w:p>
        </w:tc>
        <w:tc>
          <w:tcPr>
            <w:tcW w:w="424" w:type="pct"/>
            <w:vMerge/>
            <w:tcBorders>
              <w:bottom w:val="nil"/>
            </w:tcBorders>
            <w:shd w:val="clear" w:color="auto" w:fill="auto"/>
          </w:tcPr>
          <w:p w14:paraId="11E8B180" w14:textId="77777777" w:rsidR="003E6878" w:rsidRPr="002243E1" w:rsidRDefault="003E6878" w:rsidP="002243E1">
            <w:pPr>
              <w:rPr>
                <w:rFonts w:asciiTheme="majorHAnsi" w:hAnsiTheme="majorHAnsi"/>
                <w:sz w:val="18"/>
                <w:szCs w:val="18"/>
              </w:rPr>
            </w:pPr>
          </w:p>
        </w:tc>
        <w:tc>
          <w:tcPr>
            <w:tcW w:w="190" w:type="pct"/>
            <w:shd w:val="clear" w:color="auto" w:fill="auto"/>
          </w:tcPr>
          <w:p w14:paraId="26EE2B9B" w14:textId="77777777" w:rsidR="003E6878" w:rsidRPr="002243E1" w:rsidRDefault="003E6878" w:rsidP="00B55453">
            <w:pPr>
              <w:rPr>
                <w:rFonts w:asciiTheme="majorHAnsi" w:hAnsiTheme="majorHAnsi"/>
                <w:sz w:val="18"/>
                <w:szCs w:val="18"/>
              </w:rPr>
            </w:pPr>
          </w:p>
        </w:tc>
        <w:tc>
          <w:tcPr>
            <w:tcW w:w="219" w:type="pct"/>
            <w:shd w:val="clear" w:color="auto" w:fill="auto"/>
          </w:tcPr>
          <w:p w14:paraId="1A0BA451" w14:textId="77777777" w:rsidR="003E6878" w:rsidRPr="002243E1" w:rsidRDefault="003E6878" w:rsidP="00B55453">
            <w:pPr>
              <w:rPr>
                <w:rFonts w:asciiTheme="majorHAnsi" w:hAnsiTheme="majorHAnsi"/>
                <w:sz w:val="18"/>
                <w:szCs w:val="18"/>
              </w:rPr>
            </w:pPr>
          </w:p>
        </w:tc>
        <w:tc>
          <w:tcPr>
            <w:tcW w:w="205" w:type="pct"/>
            <w:shd w:val="clear" w:color="auto" w:fill="auto"/>
          </w:tcPr>
          <w:p w14:paraId="4BAB6415" w14:textId="77777777" w:rsidR="003E6878" w:rsidRPr="002243E1" w:rsidRDefault="003E6878" w:rsidP="00B55453">
            <w:pPr>
              <w:rPr>
                <w:rFonts w:asciiTheme="majorHAnsi" w:hAnsiTheme="majorHAnsi"/>
                <w:sz w:val="18"/>
                <w:szCs w:val="18"/>
              </w:rPr>
            </w:pPr>
          </w:p>
        </w:tc>
        <w:tc>
          <w:tcPr>
            <w:tcW w:w="205" w:type="pct"/>
            <w:shd w:val="clear" w:color="auto" w:fill="auto"/>
          </w:tcPr>
          <w:p w14:paraId="092B5D5D" w14:textId="77777777" w:rsidR="003E6878" w:rsidRPr="002243E1" w:rsidRDefault="003E6878" w:rsidP="00B55453">
            <w:pPr>
              <w:rPr>
                <w:rFonts w:asciiTheme="majorHAnsi" w:hAnsiTheme="majorHAnsi"/>
                <w:sz w:val="18"/>
                <w:szCs w:val="18"/>
              </w:rPr>
            </w:pPr>
          </w:p>
        </w:tc>
        <w:tc>
          <w:tcPr>
            <w:tcW w:w="205" w:type="pct"/>
            <w:shd w:val="clear" w:color="auto" w:fill="auto"/>
          </w:tcPr>
          <w:p w14:paraId="5FA96331" w14:textId="77777777" w:rsidR="003E6878" w:rsidRPr="002243E1" w:rsidRDefault="003E6878" w:rsidP="00B55453">
            <w:pPr>
              <w:rPr>
                <w:rFonts w:asciiTheme="majorHAnsi" w:hAnsiTheme="majorHAnsi"/>
                <w:sz w:val="18"/>
                <w:szCs w:val="18"/>
              </w:rPr>
            </w:pPr>
          </w:p>
        </w:tc>
        <w:tc>
          <w:tcPr>
            <w:tcW w:w="205" w:type="pct"/>
            <w:shd w:val="clear" w:color="auto" w:fill="auto"/>
          </w:tcPr>
          <w:p w14:paraId="004F47AA"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C7CF7B5"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137C860"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40EE936"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B158A65" w14:textId="77777777" w:rsidR="003E6878" w:rsidRPr="002243E1" w:rsidRDefault="003E6878" w:rsidP="00B55453">
            <w:pPr>
              <w:rPr>
                <w:rFonts w:asciiTheme="majorHAnsi" w:hAnsiTheme="majorHAnsi"/>
                <w:sz w:val="18"/>
                <w:szCs w:val="18"/>
              </w:rPr>
            </w:pPr>
          </w:p>
        </w:tc>
        <w:tc>
          <w:tcPr>
            <w:tcW w:w="205" w:type="pct"/>
            <w:shd w:val="clear" w:color="auto" w:fill="auto"/>
          </w:tcPr>
          <w:p w14:paraId="446B0CFF" w14:textId="77777777" w:rsidR="003E6878" w:rsidRPr="002243E1" w:rsidRDefault="003E6878" w:rsidP="00B55453">
            <w:pPr>
              <w:rPr>
                <w:rFonts w:asciiTheme="majorHAnsi" w:hAnsiTheme="majorHAnsi"/>
                <w:sz w:val="18"/>
                <w:szCs w:val="18"/>
              </w:rPr>
            </w:pPr>
          </w:p>
        </w:tc>
        <w:tc>
          <w:tcPr>
            <w:tcW w:w="205" w:type="pct"/>
            <w:shd w:val="clear" w:color="auto" w:fill="auto"/>
          </w:tcPr>
          <w:p w14:paraId="59DE7757" w14:textId="77777777" w:rsidR="003E6878" w:rsidRPr="002243E1" w:rsidRDefault="003E6878" w:rsidP="00B55453">
            <w:pPr>
              <w:rPr>
                <w:rFonts w:asciiTheme="majorHAnsi" w:hAnsiTheme="majorHAnsi"/>
                <w:sz w:val="18"/>
                <w:szCs w:val="18"/>
              </w:rPr>
            </w:pPr>
          </w:p>
        </w:tc>
        <w:tc>
          <w:tcPr>
            <w:tcW w:w="205" w:type="pct"/>
            <w:shd w:val="clear" w:color="auto" w:fill="auto"/>
          </w:tcPr>
          <w:p w14:paraId="4695233D" w14:textId="77777777" w:rsidR="003E6878" w:rsidRPr="002243E1" w:rsidRDefault="003E6878" w:rsidP="00B55453">
            <w:pPr>
              <w:rPr>
                <w:rFonts w:asciiTheme="majorHAnsi" w:hAnsiTheme="majorHAnsi"/>
                <w:sz w:val="18"/>
                <w:szCs w:val="18"/>
              </w:rPr>
            </w:pPr>
          </w:p>
        </w:tc>
        <w:tc>
          <w:tcPr>
            <w:tcW w:w="205" w:type="pct"/>
            <w:shd w:val="clear" w:color="auto" w:fill="auto"/>
          </w:tcPr>
          <w:p w14:paraId="6275C4CF" w14:textId="77777777" w:rsidR="003E6878" w:rsidRPr="002243E1" w:rsidRDefault="003E6878" w:rsidP="00B55453">
            <w:pPr>
              <w:rPr>
                <w:rFonts w:asciiTheme="majorHAnsi" w:hAnsiTheme="majorHAnsi"/>
                <w:sz w:val="18"/>
                <w:szCs w:val="18"/>
              </w:rPr>
            </w:pPr>
          </w:p>
        </w:tc>
        <w:tc>
          <w:tcPr>
            <w:tcW w:w="205" w:type="pct"/>
            <w:shd w:val="clear" w:color="auto" w:fill="auto"/>
          </w:tcPr>
          <w:p w14:paraId="5B0C1762" w14:textId="77777777" w:rsidR="003E6878" w:rsidRPr="002243E1" w:rsidRDefault="003E6878" w:rsidP="00B55453">
            <w:pPr>
              <w:rPr>
                <w:rFonts w:asciiTheme="majorHAnsi" w:hAnsiTheme="majorHAnsi"/>
                <w:sz w:val="18"/>
                <w:szCs w:val="18"/>
              </w:rPr>
            </w:pPr>
          </w:p>
        </w:tc>
        <w:tc>
          <w:tcPr>
            <w:tcW w:w="205" w:type="pct"/>
            <w:shd w:val="clear" w:color="auto" w:fill="auto"/>
          </w:tcPr>
          <w:p w14:paraId="79E9F0CD" w14:textId="77777777" w:rsidR="003E6878" w:rsidRPr="002243E1" w:rsidRDefault="003E6878" w:rsidP="00B55453">
            <w:pPr>
              <w:rPr>
                <w:rFonts w:asciiTheme="majorHAnsi" w:hAnsiTheme="majorHAnsi"/>
                <w:sz w:val="18"/>
                <w:szCs w:val="18"/>
              </w:rPr>
            </w:pPr>
          </w:p>
        </w:tc>
        <w:tc>
          <w:tcPr>
            <w:tcW w:w="205" w:type="pct"/>
            <w:shd w:val="clear" w:color="auto" w:fill="auto"/>
          </w:tcPr>
          <w:p w14:paraId="1EC7DF63" w14:textId="77777777" w:rsidR="003E6878" w:rsidRPr="002243E1" w:rsidRDefault="003E6878" w:rsidP="00B55453">
            <w:pPr>
              <w:rPr>
                <w:rFonts w:asciiTheme="majorHAnsi" w:hAnsiTheme="majorHAnsi"/>
                <w:sz w:val="18"/>
                <w:szCs w:val="18"/>
              </w:rPr>
            </w:pPr>
          </w:p>
        </w:tc>
        <w:tc>
          <w:tcPr>
            <w:tcW w:w="205" w:type="pct"/>
            <w:shd w:val="clear" w:color="auto" w:fill="auto"/>
          </w:tcPr>
          <w:p w14:paraId="74D196A1" w14:textId="77777777" w:rsidR="003E6878" w:rsidRPr="002243E1" w:rsidRDefault="003E6878" w:rsidP="00B55453">
            <w:pPr>
              <w:rPr>
                <w:rFonts w:asciiTheme="majorHAnsi" w:hAnsiTheme="majorHAnsi"/>
                <w:sz w:val="18"/>
                <w:szCs w:val="18"/>
              </w:rPr>
            </w:pPr>
          </w:p>
        </w:tc>
        <w:tc>
          <w:tcPr>
            <w:tcW w:w="205" w:type="pct"/>
            <w:shd w:val="clear" w:color="auto" w:fill="auto"/>
          </w:tcPr>
          <w:p w14:paraId="278C8B23" w14:textId="77777777" w:rsidR="003E6878" w:rsidRPr="002243E1" w:rsidRDefault="003E6878" w:rsidP="00B55453">
            <w:pPr>
              <w:rPr>
                <w:rFonts w:asciiTheme="majorHAnsi" w:hAnsiTheme="majorHAnsi"/>
                <w:sz w:val="18"/>
                <w:szCs w:val="18"/>
              </w:rPr>
            </w:pPr>
          </w:p>
        </w:tc>
        <w:tc>
          <w:tcPr>
            <w:tcW w:w="205" w:type="pct"/>
            <w:shd w:val="clear" w:color="auto" w:fill="auto"/>
          </w:tcPr>
          <w:p w14:paraId="55C27FE0" w14:textId="77777777" w:rsidR="003E6878" w:rsidRPr="002243E1" w:rsidRDefault="003E6878" w:rsidP="00B55453">
            <w:pPr>
              <w:rPr>
                <w:rFonts w:asciiTheme="majorHAnsi" w:hAnsiTheme="majorHAnsi"/>
                <w:sz w:val="18"/>
                <w:szCs w:val="18"/>
              </w:rPr>
            </w:pPr>
          </w:p>
        </w:tc>
      </w:tr>
      <w:tr w:rsidR="003E6878" w:rsidRPr="002243E1" w14:paraId="1911ED61" w14:textId="77777777" w:rsidTr="004622EC">
        <w:tc>
          <w:tcPr>
            <w:tcW w:w="485" w:type="pct"/>
            <w:shd w:val="clear" w:color="auto" w:fill="auto"/>
          </w:tcPr>
          <w:p w14:paraId="0F88ABEB" w14:textId="77777777" w:rsidR="003E6878" w:rsidRPr="002243E1" w:rsidRDefault="003E6878" w:rsidP="00B55453">
            <w:pPr>
              <w:jc w:val="center"/>
              <w:rPr>
                <w:rFonts w:asciiTheme="majorHAnsi" w:hAnsiTheme="majorHAnsi" w:cs="Arial"/>
                <w:sz w:val="18"/>
                <w:szCs w:val="18"/>
                <w:lang w:val="en-GB"/>
              </w:rPr>
            </w:pPr>
            <w:r w:rsidRPr="002243E1">
              <w:rPr>
                <w:rFonts w:asciiTheme="majorHAnsi" w:hAnsiTheme="majorHAnsi" w:cs="Arial"/>
                <w:sz w:val="18"/>
                <w:szCs w:val="18"/>
                <w:lang w:val="en-GB"/>
              </w:rPr>
              <w:t>Activity 2.2.4</w:t>
            </w:r>
          </w:p>
        </w:tc>
        <w:tc>
          <w:tcPr>
            <w:tcW w:w="424" w:type="pct"/>
            <w:vMerge/>
            <w:tcBorders>
              <w:bottom w:val="nil"/>
            </w:tcBorders>
            <w:shd w:val="clear" w:color="auto" w:fill="auto"/>
          </w:tcPr>
          <w:p w14:paraId="0938214E" w14:textId="77777777" w:rsidR="003E6878" w:rsidRPr="002243E1" w:rsidRDefault="003E6878" w:rsidP="002243E1">
            <w:pPr>
              <w:rPr>
                <w:rFonts w:asciiTheme="majorHAnsi" w:hAnsiTheme="majorHAnsi"/>
                <w:sz w:val="18"/>
                <w:szCs w:val="18"/>
              </w:rPr>
            </w:pPr>
          </w:p>
        </w:tc>
        <w:tc>
          <w:tcPr>
            <w:tcW w:w="190" w:type="pct"/>
            <w:shd w:val="clear" w:color="auto" w:fill="auto"/>
          </w:tcPr>
          <w:p w14:paraId="49625306" w14:textId="77777777" w:rsidR="003E6878" w:rsidRPr="002243E1" w:rsidRDefault="003E6878" w:rsidP="00B55453">
            <w:pPr>
              <w:rPr>
                <w:rFonts w:asciiTheme="majorHAnsi" w:hAnsiTheme="majorHAnsi"/>
                <w:sz w:val="18"/>
                <w:szCs w:val="18"/>
              </w:rPr>
            </w:pPr>
          </w:p>
        </w:tc>
        <w:tc>
          <w:tcPr>
            <w:tcW w:w="219" w:type="pct"/>
            <w:shd w:val="clear" w:color="auto" w:fill="auto"/>
          </w:tcPr>
          <w:p w14:paraId="5C17F507" w14:textId="77777777" w:rsidR="003E6878" w:rsidRPr="002243E1" w:rsidRDefault="003E6878" w:rsidP="00B55453">
            <w:pPr>
              <w:rPr>
                <w:rFonts w:asciiTheme="majorHAnsi" w:hAnsiTheme="majorHAnsi"/>
                <w:sz w:val="18"/>
                <w:szCs w:val="18"/>
              </w:rPr>
            </w:pPr>
          </w:p>
        </w:tc>
        <w:tc>
          <w:tcPr>
            <w:tcW w:w="205" w:type="pct"/>
            <w:shd w:val="clear" w:color="auto" w:fill="auto"/>
          </w:tcPr>
          <w:p w14:paraId="1E20044F" w14:textId="77777777" w:rsidR="003E6878" w:rsidRPr="002243E1" w:rsidRDefault="003E6878" w:rsidP="00B55453">
            <w:pPr>
              <w:rPr>
                <w:rFonts w:asciiTheme="majorHAnsi" w:hAnsiTheme="majorHAnsi"/>
                <w:sz w:val="18"/>
                <w:szCs w:val="18"/>
              </w:rPr>
            </w:pPr>
          </w:p>
        </w:tc>
        <w:tc>
          <w:tcPr>
            <w:tcW w:w="205" w:type="pct"/>
            <w:shd w:val="clear" w:color="auto" w:fill="auto"/>
          </w:tcPr>
          <w:p w14:paraId="4D51FA5A" w14:textId="77777777" w:rsidR="003E6878" w:rsidRPr="002243E1" w:rsidRDefault="003E6878" w:rsidP="00B55453">
            <w:pPr>
              <w:rPr>
                <w:rFonts w:asciiTheme="majorHAnsi" w:hAnsiTheme="majorHAnsi"/>
                <w:sz w:val="18"/>
                <w:szCs w:val="18"/>
              </w:rPr>
            </w:pPr>
          </w:p>
        </w:tc>
        <w:tc>
          <w:tcPr>
            <w:tcW w:w="205" w:type="pct"/>
            <w:shd w:val="clear" w:color="auto" w:fill="auto"/>
          </w:tcPr>
          <w:p w14:paraId="5CFE3C9D" w14:textId="77777777" w:rsidR="003E6878" w:rsidRPr="002243E1" w:rsidRDefault="003E6878" w:rsidP="00B55453">
            <w:pPr>
              <w:rPr>
                <w:rFonts w:asciiTheme="majorHAnsi" w:hAnsiTheme="majorHAnsi"/>
                <w:sz w:val="18"/>
                <w:szCs w:val="18"/>
              </w:rPr>
            </w:pPr>
          </w:p>
        </w:tc>
        <w:tc>
          <w:tcPr>
            <w:tcW w:w="205" w:type="pct"/>
            <w:shd w:val="clear" w:color="auto" w:fill="auto"/>
          </w:tcPr>
          <w:p w14:paraId="20683EC9" w14:textId="77777777" w:rsidR="003E6878" w:rsidRPr="002243E1" w:rsidRDefault="003E6878" w:rsidP="00B55453">
            <w:pPr>
              <w:rPr>
                <w:rFonts w:asciiTheme="majorHAnsi" w:hAnsiTheme="majorHAnsi"/>
                <w:sz w:val="18"/>
                <w:szCs w:val="18"/>
              </w:rPr>
            </w:pPr>
          </w:p>
        </w:tc>
        <w:tc>
          <w:tcPr>
            <w:tcW w:w="205" w:type="pct"/>
            <w:shd w:val="clear" w:color="auto" w:fill="auto"/>
          </w:tcPr>
          <w:p w14:paraId="5A3D6023" w14:textId="77777777" w:rsidR="003E6878" w:rsidRPr="002243E1" w:rsidRDefault="003E6878" w:rsidP="00B55453">
            <w:pPr>
              <w:rPr>
                <w:rFonts w:asciiTheme="majorHAnsi" w:hAnsiTheme="majorHAnsi"/>
                <w:sz w:val="18"/>
                <w:szCs w:val="18"/>
              </w:rPr>
            </w:pPr>
          </w:p>
        </w:tc>
        <w:tc>
          <w:tcPr>
            <w:tcW w:w="205" w:type="pct"/>
            <w:shd w:val="clear" w:color="auto" w:fill="auto"/>
          </w:tcPr>
          <w:p w14:paraId="7F9E049D" w14:textId="77777777" w:rsidR="003E6878" w:rsidRPr="002243E1" w:rsidRDefault="003E6878" w:rsidP="00B55453">
            <w:pPr>
              <w:rPr>
                <w:rFonts w:asciiTheme="majorHAnsi" w:hAnsiTheme="majorHAnsi"/>
                <w:sz w:val="18"/>
                <w:szCs w:val="18"/>
              </w:rPr>
            </w:pPr>
          </w:p>
        </w:tc>
        <w:tc>
          <w:tcPr>
            <w:tcW w:w="205" w:type="pct"/>
            <w:shd w:val="clear" w:color="auto" w:fill="auto"/>
          </w:tcPr>
          <w:p w14:paraId="6C23FC6F" w14:textId="77777777" w:rsidR="003E6878" w:rsidRPr="002243E1" w:rsidRDefault="003E6878" w:rsidP="00B55453">
            <w:pPr>
              <w:rPr>
                <w:rFonts w:asciiTheme="majorHAnsi" w:hAnsiTheme="majorHAnsi"/>
                <w:sz w:val="18"/>
                <w:szCs w:val="18"/>
              </w:rPr>
            </w:pPr>
          </w:p>
        </w:tc>
        <w:tc>
          <w:tcPr>
            <w:tcW w:w="205" w:type="pct"/>
            <w:shd w:val="clear" w:color="auto" w:fill="auto"/>
          </w:tcPr>
          <w:p w14:paraId="3B9822D7"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67D56F7"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17E18CD" w14:textId="77777777" w:rsidR="003E6878" w:rsidRPr="002243E1" w:rsidRDefault="003E6878" w:rsidP="00B55453">
            <w:pPr>
              <w:rPr>
                <w:rFonts w:asciiTheme="majorHAnsi" w:hAnsiTheme="majorHAnsi"/>
                <w:sz w:val="18"/>
                <w:szCs w:val="18"/>
              </w:rPr>
            </w:pPr>
          </w:p>
        </w:tc>
        <w:tc>
          <w:tcPr>
            <w:tcW w:w="205" w:type="pct"/>
            <w:shd w:val="clear" w:color="auto" w:fill="auto"/>
          </w:tcPr>
          <w:p w14:paraId="7D8A267E" w14:textId="77777777" w:rsidR="003E6878" w:rsidRPr="002243E1" w:rsidRDefault="003E6878" w:rsidP="00B55453">
            <w:pPr>
              <w:rPr>
                <w:rFonts w:asciiTheme="majorHAnsi" w:hAnsiTheme="majorHAnsi"/>
                <w:sz w:val="18"/>
                <w:szCs w:val="18"/>
              </w:rPr>
            </w:pPr>
          </w:p>
        </w:tc>
        <w:tc>
          <w:tcPr>
            <w:tcW w:w="205" w:type="pct"/>
            <w:shd w:val="clear" w:color="auto" w:fill="auto"/>
          </w:tcPr>
          <w:p w14:paraId="37F3AE8E" w14:textId="77777777" w:rsidR="003E6878" w:rsidRPr="002243E1" w:rsidRDefault="003E6878" w:rsidP="00B55453">
            <w:pPr>
              <w:rPr>
                <w:rFonts w:asciiTheme="majorHAnsi" w:hAnsiTheme="majorHAnsi"/>
                <w:sz w:val="18"/>
                <w:szCs w:val="18"/>
              </w:rPr>
            </w:pPr>
          </w:p>
        </w:tc>
        <w:tc>
          <w:tcPr>
            <w:tcW w:w="205" w:type="pct"/>
            <w:shd w:val="clear" w:color="auto" w:fill="auto"/>
          </w:tcPr>
          <w:p w14:paraId="1A7C3DF4" w14:textId="77777777" w:rsidR="003E6878" w:rsidRPr="002243E1" w:rsidRDefault="003E6878" w:rsidP="00B55453">
            <w:pPr>
              <w:rPr>
                <w:rFonts w:asciiTheme="majorHAnsi" w:hAnsiTheme="majorHAnsi"/>
                <w:sz w:val="18"/>
                <w:szCs w:val="18"/>
              </w:rPr>
            </w:pPr>
          </w:p>
        </w:tc>
        <w:tc>
          <w:tcPr>
            <w:tcW w:w="205" w:type="pct"/>
            <w:shd w:val="clear" w:color="auto" w:fill="auto"/>
          </w:tcPr>
          <w:p w14:paraId="2B616E3E" w14:textId="77777777" w:rsidR="003E6878" w:rsidRPr="002243E1" w:rsidRDefault="003E6878" w:rsidP="00B55453">
            <w:pPr>
              <w:rPr>
                <w:rFonts w:asciiTheme="majorHAnsi" w:hAnsiTheme="majorHAnsi"/>
                <w:sz w:val="18"/>
                <w:szCs w:val="18"/>
              </w:rPr>
            </w:pPr>
          </w:p>
        </w:tc>
        <w:tc>
          <w:tcPr>
            <w:tcW w:w="205" w:type="pct"/>
            <w:shd w:val="clear" w:color="auto" w:fill="auto"/>
          </w:tcPr>
          <w:p w14:paraId="53CF07A1" w14:textId="77777777" w:rsidR="003E6878" w:rsidRPr="002243E1" w:rsidRDefault="003E6878" w:rsidP="00B55453">
            <w:pPr>
              <w:rPr>
                <w:rFonts w:asciiTheme="majorHAnsi" w:hAnsiTheme="majorHAnsi"/>
                <w:sz w:val="18"/>
                <w:szCs w:val="18"/>
              </w:rPr>
            </w:pPr>
          </w:p>
        </w:tc>
        <w:tc>
          <w:tcPr>
            <w:tcW w:w="205" w:type="pct"/>
            <w:shd w:val="clear" w:color="auto" w:fill="auto"/>
          </w:tcPr>
          <w:p w14:paraId="486493CA" w14:textId="77777777" w:rsidR="003E6878" w:rsidRPr="002243E1" w:rsidRDefault="003E6878" w:rsidP="00B55453">
            <w:pPr>
              <w:rPr>
                <w:rFonts w:asciiTheme="majorHAnsi" w:hAnsiTheme="majorHAnsi"/>
                <w:sz w:val="18"/>
                <w:szCs w:val="18"/>
              </w:rPr>
            </w:pPr>
          </w:p>
        </w:tc>
        <w:tc>
          <w:tcPr>
            <w:tcW w:w="205" w:type="pct"/>
            <w:shd w:val="clear" w:color="auto" w:fill="auto"/>
          </w:tcPr>
          <w:p w14:paraId="5586803A" w14:textId="77777777" w:rsidR="003E6878" w:rsidRPr="002243E1" w:rsidRDefault="003E6878" w:rsidP="00B55453">
            <w:pPr>
              <w:rPr>
                <w:rFonts w:asciiTheme="majorHAnsi" w:hAnsiTheme="majorHAnsi"/>
                <w:sz w:val="18"/>
                <w:szCs w:val="18"/>
              </w:rPr>
            </w:pPr>
          </w:p>
        </w:tc>
        <w:tc>
          <w:tcPr>
            <w:tcW w:w="205" w:type="pct"/>
            <w:shd w:val="clear" w:color="auto" w:fill="auto"/>
          </w:tcPr>
          <w:p w14:paraId="23F214BA" w14:textId="77777777" w:rsidR="003E6878" w:rsidRPr="002243E1" w:rsidRDefault="003E6878" w:rsidP="00B55453">
            <w:pPr>
              <w:rPr>
                <w:rFonts w:asciiTheme="majorHAnsi" w:hAnsiTheme="majorHAnsi"/>
                <w:sz w:val="18"/>
                <w:szCs w:val="18"/>
              </w:rPr>
            </w:pPr>
          </w:p>
        </w:tc>
      </w:tr>
      <w:tr w:rsidR="003E6878" w:rsidRPr="002243E1" w14:paraId="16DF93F2" w14:textId="77777777" w:rsidTr="004622EC">
        <w:tc>
          <w:tcPr>
            <w:tcW w:w="485" w:type="pct"/>
            <w:shd w:val="clear" w:color="auto" w:fill="auto"/>
          </w:tcPr>
          <w:p w14:paraId="5FCC527E" w14:textId="77777777" w:rsidR="003E6878" w:rsidRPr="002243E1" w:rsidRDefault="003E6878" w:rsidP="00B55453">
            <w:pPr>
              <w:jc w:val="center"/>
              <w:rPr>
                <w:rFonts w:asciiTheme="majorHAnsi" w:hAnsiTheme="majorHAnsi" w:cs="Arial"/>
                <w:sz w:val="18"/>
                <w:szCs w:val="18"/>
                <w:lang w:val="en-GB"/>
              </w:rPr>
            </w:pPr>
            <w:r w:rsidRPr="002243E1">
              <w:rPr>
                <w:rFonts w:asciiTheme="majorHAnsi" w:hAnsiTheme="majorHAnsi" w:cs="Arial"/>
                <w:sz w:val="18"/>
                <w:szCs w:val="18"/>
                <w:lang w:val="en-GB"/>
              </w:rPr>
              <w:t>Activity 2.3.1</w:t>
            </w:r>
          </w:p>
        </w:tc>
        <w:tc>
          <w:tcPr>
            <w:tcW w:w="424" w:type="pct"/>
            <w:vMerge/>
            <w:tcBorders>
              <w:bottom w:val="nil"/>
            </w:tcBorders>
            <w:shd w:val="clear" w:color="auto" w:fill="auto"/>
          </w:tcPr>
          <w:p w14:paraId="3C8584B7" w14:textId="77777777" w:rsidR="003E6878" w:rsidRPr="002243E1" w:rsidRDefault="003E6878" w:rsidP="002243E1">
            <w:pPr>
              <w:rPr>
                <w:rFonts w:asciiTheme="majorHAnsi" w:hAnsiTheme="majorHAnsi"/>
                <w:sz w:val="18"/>
                <w:szCs w:val="18"/>
              </w:rPr>
            </w:pPr>
          </w:p>
        </w:tc>
        <w:tc>
          <w:tcPr>
            <w:tcW w:w="190" w:type="pct"/>
            <w:shd w:val="clear" w:color="auto" w:fill="9BBB59" w:themeFill="accent3"/>
          </w:tcPr>
          <w:p w14:paraId="69412B42" w14:textId="77777777" w:rsidR="003E6878" w:rsidRPr="002243E1" w:rsidRDefault="003E6878" w:rsidP="00B55453">
            <w:pPr>
              <w:rPr>
                <w:rFonts w:asciiTheme="majorHAnsi" w:hAnsiTheme="majorHAnsi"/>
                <w:sz w:val="18"/>
                <w:szCs w:val="18"/>
              </w:rPr>
            </w:pPr>
          </w:p>
        </w:tc>
        <w:tc>
          <w:tcPr>
            <w:tcW w:w="219" w:type="pct"/>
            <w:shd w:val="clear" w:color="auto" w:fill="9BBB59" w:themeFill="accent3"/>
          </w:tcPr>
          <w:p w14:paraId="04256776"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9FEBD3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CAE7672" w14:textId="77777777" w:rsidR="003E6878" w:rsidRPr="002243E1" w:rsidRDefault="003E6878" w:rsidP="00B55453">
            <w:pPr>
              <w:rPr>
                <w:rFonts w:asciiTheme="majorHAnsi" w:hAnsiTheme="majorHAnsi"/>
                <w:sz w:val="18"/>
                <w:szCs w:val="18"/>
              </w:rPr>
            </w:pPr>
          </w:p>
        </w:tc>
        <w:tc>
          <w:tcPr>
            <w:tcW w:w="205" w:type="pct"/>
            <w:shd w:val="clear" w:color="auto" w:fill="auto"/>
          </w:tcPr>
          <w:p w14:paraId="3C02D07A" w14:textId="77777777" w:rsidR="003E6878" w:rsidRPr="002243E1" w:rsidRDefault="003E6878" w:rsidP="00B55453">
            <w:pPr>
              <w:rPr>
                <w:rFonts w:asciiTheme="majorHAnsi" w:hAnsiTheme="majorHAnsi"/>
                <w:sz w:val="18"/>
                <w:szCs w:val="18"/>
              </w:rPr>
            </w:pPr>
          </w:p>
        </w:tc>
        <w:tc>
          <w:tcPr>
            <w:tcW w:w="205" w:type="pct"/>
            <w:shd w:val="clear" w:color="auto" w:fill="auto"/>
          </w:tcPr>
          <w:p w14:paraId="5304A2B9" w14:textId="77777777" w:rsidR="003E6878" w:rsidRPr="002243E1" w:rsidRDefault="003E6878" w:rsidP="00B55453">
            <w:pPr>
              <w:rPr>
                <w:rFonts w:asciiTheme="majorHAnsi" w:hAnsiTheme="majorHAnsi"/>
                <w:sz w:val="18"/>
                <w:szCs w:val="18"/>
              </w:rPr>
            </w:pPr>
          </w:p>
        </w:tc>
        <w:tc>
          <w:tcPr>
            <w:tcW w:w="205" w:type="pct"/>
            <w:shd w:val="clear" w:color="auto" w:fill="auto"/>
          </w:tcPr>
          <w:p w14:paraId="73E37B34" w14:textId="77777777" w:rsidR="003E6878" w:rsidRPr="002243E1" w:rsidRDefault="003E6878" w:rsidP="00B55453">
            <w:pPr>
              <w:rPr>
                <w:rFonts w:asciiTheme="majorHAnsi" w:hAnsiTheme="majorHAnsi"/>
                <w:sz w:val="18"/>
                <w:szCs w:val="18"/>
              </w:rPr>
            </w:pPr>
          </w:p>
        </w:tc>
        <w:tc>
          <w:tcPr>
            <w:tcW w:w="205" w:type="pct"/>
            <w:shd w:val="clear" w:color="auto" w:fill="auto"/>
          </w:tcPr>
          <w:p w14:paraId="78FA7E96" w14:textId="77777777" w:rsidR="003E6878" w:rsidRPr="002243E1" w:rsidRDefault="003E6878" w:rsidP="00B55453">
            <w:pPr>
              <w:rPr>
                <w:rFonts w:asciiTheme="majorHAnsi" w:hAnsiTheme="majorHAnsi"/>
                <w:sz w:val="18"/>
                <w:szCs w:val="18"/>
              </w:rPr>
            </w:pPr>
          </w:p>
        </w:tc>
        <w:tc>
          <w:tcPr>
            <w:tcW w:w="205" w:type="pct"/>
            <w:shd w:val="clear" w:color="auto" w:fill="auto"/>
          </w:tcPr>
          <w:p w14:paraId="3CD734B5" w14:textId="77777777" w:rsidR="003E6878" w:rsidRPr="002243E1" w:rsidRDefault="003E6878" w:rsidP="00B55453">
            <w:pPr>
              <w:rPr>
                <w:rFonts w:asciiTheme="majorHAnsi" w:hAnsiTheme="majorHAnsi"/>
                <w:sz w:val="18"/>
                <w:szCs w:val="18"/>
              </w:rPr>
            </w:pPr>
          </w:p>
        </w:tc>
        <w:tc>
          <w:tcPr>
            <w:tcW w:w="205" w:type="pct"/>
            <w:shd w:val="clear" w:color="auto" w:fill="auto"/>
          </w:tcPr>
          <w:p w14:paraId="270DD31B" w14:textId="77777777" w:rsidR="003E6878" w:rsidRPr="002243E1" w:rsidRDefault="003E6878" w:rsidP="00B55453">
            <w:pPr>
              <w:rPr>
                <w:rFonts w:asciiTheme="majorHAnsi" w:hAnsiTheme="majorHAnsi"/>
                <w:sz w:val="18"/>
                <w:szCs w:val="18"/>
              </w:rPr>
            </w:pPr>
          </w:p>
        </w:tc>
        <w:tc>
          <w:tcPr>
            <w:tcW w:w="205" w:type="pct"/>
            <w:shd w:val="clear" w:color="auto" w:fill="auto"/>
          </w:tcPr>
          <w:p w14:paraId="586873FF" w14:textId="77777777" w:rsidR="003E6878" w:rsidRPr="002243E1" w:rsidRDefault="003E6878" w:rsidP="00B55453">
            <w:pPr>
              <w:rPr>
                <w:rFonts w:asciiTheme="majorHAnsi" w:hAnsiTheme="majorHAnsi"/>
                <w:sz w:val="18"/>
                <w:szCs w:val="18"/>
              </w:rPr>
            </w:pPr>
          </w:p>
        </w:tc>
        <w:tc>
          <w:tcPr>
            <w:tcW w:w="205" w:type="pct"/>
            <w:shd w:val="clear" w:color="auto" w:fill="auto"/>
          </w:tcPr>
          <w:p w14:paraId="3A36D887" w14:textId="77777777" w:rsidR="003E6878" w:rsidRPr="002243E1" w:rsidRDefault="003E6878" w:rsidP="00B55453">
            <w:pPr>
              <w:rPr>
                <w:rFonts w:asciiTheme="majorHAnsi" w:hAnsiTheme="majorHAnsi"/>
                <w:sz w:val="18"/>
                <w:szCs w:val="18"/>
              </w:rPr>
            </w:pPr>
          </w:p>
        </w:tc>
        <w:tc>
          <w:tcPr>
            <w:tcW w:w="205" w:type="pct"/>
            <w:shd w:val="clear" w:color="auto" w:fill="auto"/>
          </w:tcPr>
          <w:p w14:paraId="651D732E" w14:textId="77777777" w:rsidR="003E6878" w:rsidRPr="002243E1" w:rsidRDefault="003E6878" w:rsidP="00B55453">
            <w:pPr>
              <w:rPr>
                <w:rFonts w:asciiTheme="majorHAnsi" w:hAnsiTheme="majorHAnsi"/>
                <w:sz w:val="18"/>
                <w:szCs w:val="18"/>
              </w:rPr>
            </w:pPr>
          </w:p>
        </w:tc>
        <w:tc>
          <w:tcPr>
            <w:tcW w:w="205" w:type="pct"/>
            <w:shd w:val="clear" w:color="auto" w:fill="auto"/>
          </w:tcPr>
          <w:p w14:paraId="35D89822" w14:textId="77777777" w:rsidR="003E6878" w:rsidRPr="002243E1" w:rsidRDefault="003E6878" w:rsidP="00B55453">
            <w:pPr>
              <w:rPr>
                <w:rFonts w:asciiTheme="majorHAnsi" w:hAnsiTheme="majorHAnsi"/>
                <w:sz w:val="18"/>
                <w:szCs w:val="18"/>
              </w:rPr>
            </w:pPr>
          </w:p>
        </w:tc>
        <w:tc>
          <w:tcPr>
            <w:tcW w:w="205" w:type="pct"/>
            <w:shd w:val="clear" w:color="auto" w:fill="auto"/>
          </w:tcPr>
          <w:p w14:paraId="515123D2" w14:textId="77777777" w:rsidR="003E6878" w:rsidRPr="002243E1" w:rsidRDefault="003E6878" w:rsidP="00B55453">
            <w:pPr>
              <w:rPr>
                <w:rFonts w:asciiTheme="majorHAnsi" w:hAnsiTheme="majorHAnsi"/>
                <w:sz w:val="18"/>
                <w:szCs w:val="18"/>
              </w:rPr>
            </w:pPr>
          </w:p>
        </w:tc>
        <w:tc>
          <w:tcPr>
            <w:tcW w:w="205" w:type="pct"/>
            <w:shd w:val="clear" w:color="auto" w:fill="auto"/>
          </w:tcPr>
          <w:p w14:paraId="30D81677" w14:textId="77777777" w:rsidR="003E6878" w:rsidRPr="002243E1" w:rsidRDefault="003E6878" w:rsidP="00B55453">
            <w:pPr>
              <w:rPr>
                <w:rFonts w:asciiTheme="majorHAnsi" w:hAnsiTheme="majorHAnsi"/>
                <w:sz w:val="18"/>
                <w:szCs w:val="18"/>
              </w:rPr>
            </w:pPr>
          </w:p>
        </w:tc>
        <w:tc>
          <w:tcPr>
            <w:tcW w:w="205" w:type="pct"/>
            <w:shd w:val="clear" w:color="auto" w:fill="auto"/>
          </w:tcPr>
          <w:p w14:paraId="6CE2B1A3" w14:textId="77777777" w:rsidR="003E6878" w:rsidRPr="002243E1" w:rsidRDefault="003E6878" w:rsidP="00B55453">
            <w:pPr>
              <w:rPr>
                <w:rFonts w:asciiTheme="majorHAnsi" w:hAnsiTheme="majorHAnsi"/>
                <w:sz w:val="18"/>
                <w:szCs w:val="18"/>
              </w:rPr>
            </w:pPr>
          </w:p>
        </w:tc>
        <w:tc>
          <w:tcPr>
            <w:tcW w:w="205" w:type="pct"/>
            <w:shd w:val="clear" w:color="auto" w:fill="auto"/>
          </w:tcPr>
          <w:p w14:paraId="4FC5B552" w14:textId="77777777" w:rsidR="003E6878" w:rsidRPr="002243E1" w:rsidRDefault="003E6878" w:rsidP="00B55453">
            <w:pPr>
              <w:rPr>
                <w:rFonts w:asciiTheme="majorHAnsi" w:hAnsiTheme="majorHAnsi"/>
                <w:sz w:val="18"/>
                <w:szCs w:val="18"/>
              </w:rPr>
            </w:pPr>
          </w:p>
        </w:tc>
        <w:tc>
          <w:tcPr>
            <w:tcW w:w="205" w:type="pct"/>
            <w:shd w:val="clear" w:color="auto" w:fill="auto"/>
          </w:tcPr>
          <w:p w14:paraId="6EC9F569" w14:textId="77777777" w:rsidR="003E6878" w:rsidRPr="002243E1" w:rsidRDefault="003E6878" w:rsidP="00B55453">
            <w:pPr>
              <w:rPr>
                <w:rFonts w:asciiTheme="majorHAnsi" w:hAnsiTheme="majorHAnsi"/>
                <w:sz w:val="18"/>
                <w:szCs w:val="18"/>
              </w:rPr>
            </w:pPr>
          </w:p>
        </w:tc>
        <w:tc>
          <w:tcPr>
            <w:tcW w:w="205" w:type="pct"/>
            <w:shd w:val="clear" w:color="auto" w:fill="auto"/>
          </w:tcPr>
          <w:p w14:paraId="54D8A931" w14:textId="77777777" w:rsidR="003E6878" w:rsidRPr="002243E1" w:rsidRDefault="003E6878" w:rsidP="00B55453">
            <w:pPr>
              <w:rPr>
                <w:rFonts w:asciiTheme="majorHAnsi" w:hAnsiTheme="majorHAnsi"/>
                <w:sz w:val="18"/>
                <w:szCs w:val="18"/>
              </w:rPr>
            </w:pPr>
          </w:p>
        </w:tc>
      </w:tr>
      <w:tr w:rsidR="003E6878" w:rsidRPr="002243E1" w14:paraId="6DE9F8C1" w14:textId="77777777" w:rsidTr="004622EC">
        <w:tc>
          <w:tcPr>
            <w:tcW w:w="485" w:type="pct"/>
            <w:shd w:val="clear" w:color="auto" w:fill="auto"/>
          </w:tcPr>
          <w:p w14:paraId="1A3B67E9" w14:textId="77777777" w:rsidR="003E6878" w:rsidRPr="002243E1" w:rsidRDefault="003E6878" w:rsidP="00B55453">
            <w:pPr>
              <w:jc w:val="center"/>
              <w:rPr>
                <w:rFonts w:asciiTheme="majorHAnsi" w:hAnsiTheme="majorHAnsi" w:cs="Arial"/>
                <w:sz w:val="18"/>
                <w:szCs w:val="18"/>
                <w:lang w:val="en-GB"/>
              </w:rPr>
            </w:pPr>
            <w:r w:rsidRPr="002243E1">
              <w:rPr>
                <w:rFonts w:asciiTheme="majorHAnsi" w:hAnsiTheme="majorHAnsi" w:cs="Arial"/>
                <w:sz w:val="18"/>
                <w:szCs w:val="18"/>
                <w:lang w:val="en-GB"/>
              </w:rPr>
              <w:t>Activity 2.3.2</w:t>
            </w:r>
          </w:p>
        </w:tc>
        <w:tc>
          <w:tcPr>
            <w:tcW w:w="424" w:type="pct"/>
            <w:vMerge w:val="restart"/>
            <w:tcBorders>
              <w:top w:val="nil"/>
            </w:tcBorders>
            <w:shd w:val="clear" w:color="auto" w:fill="auto"/>
          </w:tcPr>
          <w:p w14:paraId="740E0393" w14:textId="77777777" w:rsidR="003E6878" w:rsidRPr="002243E1" w:rsidRDefault="003E6878" w:rsidP="002243E1">
            <w:pPr>
              <w:rPr>
                <w:rFonts w:asciiTheme="majorHAnsi" w:hAnsiTheme="majorHAnsi"/>
                <w:sz w:val="18"/>
                <w:szCs w:val="18"/>
              </w:rPr>
            </w:pPr>
          </w:p>
        </w:tc>
        <w:tc>
          <w:tcPr>
            <w:tcW w:w="190" w:type="pct"/>
            <w:shd w:val="clear" w:color="auto" w:fill="auto"/>
          </w:tcPr>
          <w:p w14:paraId="58AC0581" w14:textId="77777777" w:rsidR="003E6878" w:rsidRPr="002243E1" w:rsidRDefault="003E6878" w:rsidP="00B55453">
            <w:pPr>
              <w:rPr>
                <w:rFonts w:asciiTheme="majorHAnsi" w:hAnsiTheme="majorHAnsi"/>
                <w:sz w:val="18"/>
                <w:szCs w:val="18"/>
              </w:rPr>
            </w:pPr>
          </w:p>
        </w:tc>
        <w:tc>
          <w:tcPr>
            <w:tcW w:w="219" w:type="pct"/>
            <w:shd w:val="clear" w:color="auto" w:fill="9BBB59" w:themeFill="accent3"/>
          </w:tcPr>
          <w:p w14:paraId="5A5BFD4E"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6117234"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656F8B4" w14:textId="77777777" w:rsidR="003E6878" w:rsidRPr="002243E1" w:rsidRDefault="003E6878" w:rsidP="00B55453">
            <w:pPr>
              <w:rPr>
                <w:rFonts w:asciiTheme="majorHAnsi" w:hAnsiTheme="majorHAnsi"/>
                <w:sz w:val="18"/>
                <w:szCs w:val="18"/>
              </w:rPr>
            </w:pPr>
          </w:p>
        </w:tc>
        <w:tc>
          <w:tcPr>
            <w:tcW w:w="205" w:type="pct"/>
            <w:shd w:val="clear" w:color="auto" w:fill="auto"/>
          </w:tcPr>
          <w:p w14:paraId="418FD3A1" w14:textId="77777777" w:rsidR="003E6878" w:rsidRPr="002243E1" w:rsidRDefault="003E6878" w:rsidP="00B55453">
            <w:pPr>
              <w:rPr>
                <w:rFonts w:asciiTheme="majorHAnsi" w:hAnsiTheme="majorHAnsi"/>
                <w:sz w:val="18"/>
                <w:szCs w:val="18"/>
              </w:rPr>
            </w:pPr>
          </w:p>
        </w:tc>
        <w:tc>
          <w:tcPr>
            <w:tcW w:w="205" w:type="pct"/>
            <w:shd w:val="clear" w:color="auto" w:fill="auto"/>
          </w:tcPr>
          <w:p w14:paraId="45B690D8" w14:textId="77777777" w:rsidR="003E6878" w:rsidRPr="002243E1" w:rsidRDefault="003E6878" w:rsidP="00B55453">
            <w:pPr>
              <w:rPr>
                <w:rFonts w:asciiTheme="majorHAnsi" w:hAnsiTheme="majorHAnsi"/>
                <w:sz w:val="18"/>
                <w:szCs w:val="18"/>
              </w:rPr>
            </w:pPr>
          </w:p>
        </w:tc>
        <w:tc>
          <w:tcPr>
            <w:tcW w:w="205" w:type="pct"/>
            <w:shd w:val="clear" w:color="auto" w:fill="auto"/>
          </w:tcPr>
          <w:p w14:paraId="07DF81A5" w14:textId="77777777" w:rsidR="003E6878" w:rsidRPr="002243E1" w:rsidRDefault="003E6878" w:rsidP="00B55453">
            <w:pPr>
              <w:rPr>
                <w:rFonts w:asciiTheme="majorHAnsi" w:hAnsiTheme="majorHAnsi"/>
                <w:sz w:val="18"/>
                <w:szCs w:val="18"/>
              </w:rPr>
            </w:pPr>
          </w:p>
        </w:tc>
        <w:tc>
          <w:tcPr>
            <w:tcW w:w="205" w:type="pct"/>
            <w:shd w:val="clear" w:color="auto" w:fill="auto"/>
          </w:tcPr>
          <w:p w14:paraId="247D3BE2" w14:textId="77777777" w:rsidR="003E6878" w:rsidRPr="002243E1" w:rsidRDefault="003E6878" w:rsidP="00B55453">
            <w:pPr>
              <w:rPr>
                <w:rFonts w:asciiTheme="majorHAnsi" w:hAnsiTheme="majorHAnsi"/>
                <w:sz w:val="18"/>
                <w:szCs w:val="18"/>
              </w:rPr>
            </w:pPr>
          </w:p>
        </w:tc>
        <w:tc>
          <w:tcPr>
            <w:tcW w:w="205" w:type="pct"/>
            <w:shd w:val="clear" w:color="auto" w:fill="auto"/>
          </w:tcPr>
          <w:p w14:paraId="736F15A1" w14:textId="77777777" w:rsidR="003E6878" w:rsidRPr="002243E1" w:rsidRDefault="003E6878" w:rsidP="00B55453">
            <w:pPr>
              <w:rPr>
                <w:rFonts w:asciiTheme="majorHAnsi" w:hAnsiTheme="majorHAnsi"/>
                <w:sz w:val="18"/>
                <w:szCs w:val="18"/>
              </w:rPr>
            </w:pPr>
          </w:p>
        </w:tc>
        <w:tc>
          <w:tcPr>
            <w:tcW w:w="205" w:type="pct"/>
            <w:shd w:val="clear" w:color="auto" w:fill="auto"/>
          </w:tcPr>
          <w:p w14:paraId="079DBB1A" w14:textId="77777777" w:rsidR="003E6878" w:rsidRPr="002243E1" w:rsidRDefault="003E6878" w:rsidP="00B55453">
            <w:pPr>
              <w:rPr>
                <w:rFonts w:asciiTheme="majorHAnsi" w:hAnsiTheme="majorHAnsi"/>
                <w:sz w:val="18"/>
                <w:szCs w:val="18"/>
              </w:rPr>
            </w:pPr>
          </w:p>
        </w:tc>
        <w:tc>
          <w:tcPr>
            <w:tcW w:w="205" w:type="pct"/>
            <w:shd w:val="clear" w:color="auto" w:fill="auto"/>
          </w:tcPr>
          <w:p w14:paraId="491F806E" w14:textId="77777777" w:rsidR="003E6878" w:rsidRPr="002243E1" w:rsidRDefault="003E6878" w:rsidP="00B55453">
            <w:pPr>
              <w:rPr>
                <w:rFonts w:asciiTheme="majorHAnsi" w:hAnsiTheme="majorHAnsi"/>
                <w:sz w:val="18"/>
                <w:szCs w:val="18"/>
              </w:rPr>
            </w:pPr>
          </w:p>
        </w:tc>
        <w:tc>
          <w:tcPr>
            <w:tcW w:w="205" w:type="pct"/>
            <w:shd w:val="clear" w:color="auto" w:fill="auto"/>
          </w:tcPr>
          <w:p w14:paraId="588EC756" w14:textId="77777777" w:rsidR="003E6878" w:rsidRPr="002243E1" w:rsidRDefault="003E6878" w:rsidP="00B55453">
            <w:pPr>
              <w:rPr>
                <w:rFonts w:asciiTheme="majorHAnsi" w:hAnsiTheme="majorHAnsi"/>
                <w:sz w:val="18"/>
                <w:szCs w:val="18"/>
              </w:rPr>
            </w:pPr>
          </w:p>
        </w:tc>
        <w:tc>
          <w:tcPr>
            <w:tcW w:w="205" w:type="pct"/>
            <w:shd w:val="clear" w:color="auto" w:fill="auto"/>
          </w:tcPr>
          <w:p w14:paraId="7882241A" w14:textId="77777777" w:rsidR="003E6878" w:rsidRPr="002243E1" w:rsidRDefault="003E6878" w:rsidP="00B55453">
            <w:pPr>
              <w:rPr>
                <w:rFonts w:asciiTheme="majorHAnsi" w:hAnsiTheme="majorHAnsi"/>
                <w:sz w:val="18"/>
                <w:szCs w:val="18"/>
              </w:rPr>
            </w:pPr>
          </w:p>
        </w:tc>
        <w:tc>
          <w:tcPr>
            <w:tcW w:w="205" w:type="pct"/>
            <w:shd w:val="clear" w:color="auto" w:fill="auto"/>
          </w:tcPr>
          <w:p w14:paraId="33AFEEEF" w14:textId="77777777" w:rsidR="003E6878" w:rsidRPr="002243E1" w:rsidRDefault="003E6878" w:rsidP="00B55453">
            <w:pPr>
              <w:rPr>
                <w:rFonts w:asciiTheme="majorHAnsi" w:hAnsiTheme="majorHAnsi"/>
                <w:sz w:val="18"/>
                <w:szCs w:val="18"/>
              </w:rPr>
            </w:pPr>
          </w:p>
        </w:tc>
        <w:tc>
          <w:tcPr>
            <w:tcW w:w="205" w:type="pct"/>
            <w:shd w:val="clear" w:color="auto" w:fill="auto"/>
          </w:tcPr>
          <w:p w14:paraId="7F6E1977" w14:textId="77777777" w:rsidR="003E6878" w:rsidRPr="002243E1" w:rsidRDefault="003E6878" w:rsidP="00B55453">
            <w:pPr>
              <w:rPr>
                <w:rFonts w:asciiTheme="majorHAnsi" w:hAnsiTheme="majorHAnsi"/>
                <w:sz w:val="18"/>
                <w:szCs w:val="18"/>
              </w:rPr>
            </w:pPr>
          </w:p>
        </w:tc>
        <w:tc>
          <w:tcPr>
            <w:tcW w:w="205" w:type="pct"/>
            <w:shd w:val="clear" w:color="auto" w:fill="auto"/>
          </w:tcPr>
          <w:p w14:paraId="3DD3F7D8" w14:textId="77777777" w:rsidR="003E6878" w:rsidRPr="002243E1" w:rsidRDefault="003E6878" w:rsidP="00B55453">
            <w:pPr>
              <w:rPr>
                <w:rFonts w:asciiTheme="majorHAnsi" w:hAnsiTheme="majorHAnsi"/>
                <w:sz w:val="18"/>
                <w:szCs w:val="18"/>
              </w:rPr>
            </w:pPr>
          </w:p>
        </w:tc>
        <w:tc>
          <w:tcPr>
            <w:tcW w:w="205" w:type="pct"/>
            <w:shd w:val="clear" w:color="auto" w:fill="auto"/>
          </w:tcPr>
          <w:p w14:paraId="07D7FF00" w14:textId="77777777" w:rsidR="003E6878" w:rsidRPr="002243E1" w:rsidRDefault="003E6878" w:rsidP="00B55453">
            <w:pPr>
              <w:rPr>
                <w:rFonts w:asciiTheme="majorHAnsi" w:hAnsiTheme="majorHAnsi"/>
                <w:sz w:val="18"/>
                <w:szCs w:val="18"/>
              </w:rPr>
            </w:pPr>
          </w:p>
        </w:tc>
        <w:tc>
          <w:tcPr>
            <w:tcW w:w="205" w:type="pct"/>
            <w:shd w:val="clear" w:color="auto" w:fill="auto"/>
          </w:tcPr>
          <w:p w14:paraId="045E5B33" w14:textId="77777777" w:rsidR="003E6878" w:rsidRPr="002243E1" w:rsidRDefault="003E6878" w:rsidP="00B55453">
            <w:pPr>
              <w:rPr>
                <w:rFonts w:asciiTheme="majorHAnsi" w:hAnsiTheme="majorHAnsi"/>
                <w:sz w:val="18"/>
                <w:szCs w:val="18"/>
              </w:rPr>
            </w:pPr>
          </w:p>
        </w:tc>
        <w:tc>
          <w:tcPr>
            <w:tcW w:w="205" w:type="pct"/>
            <w:shd w:val="clear" w:color="auto" w:fill="auto"/>
          </w:tcPr>
          <w:p w14:paraId="32DD6FD9" w14:textId="77777777" w:rsidR="003E6878" w:rsidRPr="002243E1" w:rsidRDefault="003E6878" w:rsidP="00B55453">
            <w:pPr>
              <w:rPr>
                <w:rFonts w:asciiTheme="majorHAnsi" w:hAnsiTheme="majorHAnsi"/>
                <w:sz w:val="18"/>
                <w:szCs w:val="18"/>
              </w:rPr>
            </w:pPr>
          </w:p>
        </w:tc>
        <w:tc>
          <w:tcPr>
            <w:tcW w:w="205" w:type="pct"/>
            <w:shd w:val="clear" w:color="auto" w:fill="auto"/>
          </w:tcPr>
          <w:p w14:paraId="741893C6" w14:textId="77777777" w:rsidR="003E6878" w:rsidRPr="002243E1" w:rsidRDefault="003E6878" w:rsidP="00B55453">
            <w:pPr>
              <w:rPr>
                <w:rFonts w:asciiTheme="majorHAnsi" w:hAnsiTheme="majorHAnsi"/>
                <w:sz w:val="18"/>
                <w:szCs w:val="18"/>
              </w:rPr>
            </w:pPr>
          </w:p>
        </w:tc>
      </w:tr>
      <w:tr w:rsidR="00715B3D" w:rsidRPr="002243E1" w14:paraId="130E99D5" w14:textId="77777777" w:rsidTr="00621087">
        <w:tc>
          <w:tcPr>
            <w:tcW w:w="485" w:type="pct"/>
            <w:shd w:val="clear" w:color="auto" w:fill="auto"/>
          </w:tcPr>
          <w:p w14:paraId="43F8FE9F" w14:textId="77777777" w:rsidR="003E6878" w:rsidRPr="002243E1" w:rsidRDefault="003E6878" w:rsidP="00B55453">
            <w:pPr>
              <w:jc w:val="center"/>
              <w:rPr>
                <w:rFonts w:asciiTheme="majorHAnsi" w:hAnsiTheme="majorHAnsi" w:cs="Arial"/>
                <w:sz w:val="18"/>
                <w:szCs w:val="18"/>
                <w:lang w:val="en-GB"/>
              </w:rPr>
            </w:pPr>
            <w:r w:rsidRPr="002243E1">
              <w:rPr>
                <w:rFonts w:asciiTheme="majorHAnsi" w:hAnsiTheme="majorHAnsi" w:cs="Arial"/>
                <w:sz w:val="18"/>
                <w:szCs w:val="18"/>
                <w:lang w:val="en-GB"/>
              </w:rPr>
              <w:t>Activity 2.3.3</w:t>
            </w:r>
          </w:p>
        </w:tc>
        <w:tc>
          <w:tcPr>
            <w:tcW w:w="424" w:type="pct"/>
            <w:vMerge/>
            <w:shd w:val="clear" w:color="auto" w:fill="auto"/>
          </w:tcPr>
          <w:p w14:paraId="424CF300" w14:textId="77777777" w:rsidR="003E6878" w:rsidRPr="002243E1" w:rsidRDefault="003E6878" w:rsidP="002243E1">
            <w:pPr>
              <w:rPr>
                <w:rFonts w:asciiTheme="majorHAnsi" w:hAnsiTheme="majorHAnsi"/>
                <w:sz w:val="18"/>
                <w:szCs w:val="18"/>
              </w:rPr>
            </w:pPr>
          </w:p>
        </w:tc>
        <w:tc>
          <w:tcPr>
            <w:tcW w:w="190" w:type="pct"/>
            <w:shd w:val="clear" w:color="auto" w:fill="auto"/>
          </w:tcPr>
          <w:p w14:paraId="1D132DA7" w14:textId="77777777" w:rsidR="003E6878" w:rsidRPr="002243E1" w:rsidRDefault="003E6878" w:rsidP="00B55453">
            <w:pPr>
              <w:rPr>
                <w:rFonts w:asciiTheme="majorHAnsi" w:hAnsiTheme="majorHAnsi"/>
                <w:sz w:val="18"/>
                <w:szCs w:val="18"/>
              </w:rPr>
            </w:pPr>
          </w:p>
        </w:tc>
        <w:tc>
          <w:tcPr>
            <w:tcW w:w="219" w:type="pct"/>
            <w:shd w:val="clear" w:color="auto" w:fill="auto"/>
          </w:tcPr>
          <w:p w14:paraId="03CB33AB" w14:textId="77777777" w:rsidR="003E6878" w:rsidRPr="002243E1" w:rsidRDefault="003E6878" w:rsidP="00B55453">
            <w:pPr>
              <w:rPr>
                <w:rFonts w:asciiTheme="majorHAnsi" w:hAnsiTheme="majorHAnsi"/>
                <w:sz w:val="18"/>
                <w:szCs w:val="18"/>
              </w:rPr>
            </w:pPr>
          </w:p>
        </w:tc>
        <w:tc>
          <w:tcPr>
            <w:tcW w:w="205" w:type="pct"/>
            <w:shd w:val="clear" w:color="auto" w:fill="auto"/>
          </w:tcPr>
          <w:p w14:paraId="2589CBFD" w14:textId="77777777" w:rsidR="003E6878" w:rsidRPr="002243E1" w:rsidRDefault="003E6878" w:rsidP="00B55453">
            <w:pPr>
              <w:rPr>
                <w:rFonts w:asciiTheme="majorHAnsi" w:hAnsiTheme="majorHAnsi"/>
                <w:sz w:val="18"/>
                <w:szCs w:val="18"/>
              </w:rPr>
            </w:pPr>
          </w:p>
        </w:tc>
        <w:tc>
          <w:tcPr>
            <w:tcW w:w="205" w:type="pct"/>
            <w:shd w:val="clear" w:color="auto" w:fill="auto"/>
          </w:tcPr>
          <w:p w14:paraId="32636A79"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AF87B53"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99FF10D"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7EF47A8"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19CB9E5"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4945312"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9439AF4"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19C4C12"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41F28AD"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A686264"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19385BF"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37ECE0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2B37E26"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AFB3ED5"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3A67914"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47FA5F1"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00DF8CC" w14:textId="77777777" w:rsidR="003E6878" w:rsidRPr="002243E1" w:rsidRDefault="003E6878" w:rsidP="00B55453">
            <w:pPr>
              <w:rPr>
                <w:rFonts w:asciiTheme="majorHAnsi" w:hAnsiTheme="majorHAnsi"/>
                <w:sz w:val="18"/>
                <w:szCs w:val="18"/>
              </w:rPr>
            </w:pPr>
          </w:p>
        </w:tc>
      </w:tr>
      <w:tr w:rsidR="00715B3D" w:rsidRPr="002243E1" w14:paraId="5CB025B8" w14:textId="77777777" w:rsidTr="00621087">
        <w:tc>
          <w:tcPr>
            <w:tcW w:w="485" w:type="pct"/>
            <w:shd w:val="clear" w:color="auto" w:fill="auto"/>
          </w:tcPr>
          <w:p w14:paraId="32302D30" w14:textId="77777777" w:rsidR="003E6878" w:rsidRPr="002243E1" w:rsidRDefault="003E6878" w:rsidP="00B55453">
            <w:pPr>
              <w:tabs>
                <w:tab w:val="left" w:pos="1080"/>
              </w:tabs>
              <w:rPr>
                <w:rFonts w:asciiTheme="majorHAnsi" w:hAnsiTheme="majorHAnsi" w:cs="Arial"/>
                <w:sz w:val="18"/>
                <w:szCs w:val="18"/>
                <w:lang w:val="en-GB"/>
              </w:rPr>
            </w:pPr>
            <w:r w:rsidRPr="002243E1">
              <w:rPr>
                <w:rFonts w:asciiTheme="majorHAnsi" w:hAnsiTheme="majorHAnsi" w:cs="Arial"/>
                <w:sz w:val="18"/>
                <w:szCs w:val="18"/>
                <w:lang w:val="en-GB"/>
              </w:rPr>
              <w:t>Activity 2.3.4</w:t>
            </w:r>
          </w:p>
        </w:tc>
        <w:tc>
          <w:tcPr>
            <w:tcW w:w="424" w:type="pct"/>
            <w:vMerge/>
            <w:shd w:val="clear" w:color="auto" w:fill="auto"/>
          </w:tcPr>
          <w:p w14:paraId="7D4255BD" w14:textId="77777777" w:rsidR="003E6878" w:rsidRPr="002243E1" w:rsidRDefault="003E6878" w:rsidP="002243E1">
            <w:pPr>
              <w:rPr>
                <w:rFonts w:asciiTheme="majorHAnsi" w:hAnsiTheme="majorHAnsi"/>
                <w:sz w:val="18"/>
                <w:szCs w:val="18"/>
              </w:rPr>
            </w:pPr>
          </w:p>
        </w:tc>
        <w:tc>
          <w:tcPr>
            <w:tcW w:w="190" w:type="pct"/>
            <w:shd w:val="clear" w:color="auto" w:fill="9BBB59" w:themeFill="accent3"/>
          </w:tcPr>
          <w:p w14:paraId="74E0228D" w14:textId="77777777" w:rsidR="003E6878" w:rsidRPr="002243E1" w:rsidRDefault="003E6878" w:rsidP="00B55453">
            <w:pPr>
              <w:rPr>
                <w:rFonts w:asciiTheme="majorHAnsi" w:hAnsiTheme="majorHAnsi"/>
                <w:sz w:val="18"/>
                <w:szCs w:val="18"/>
              </w:rPr>
            </w:pPr>
          </w:p>
        </w:tc>
        <w:tc>
          <w:tcPr>
            <w:tcW w:w="219" w:type="pct"/>
            <w:shd w:val="clear" w:color="auto" w:fill="9BBB59" w:themeFill="accent3"/>
          </w:tcPr>
          <w:p w14:paraId="559A74D5"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180E1BA"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86067F2"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580A4C6"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33E356B"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4941C84"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116DB35"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4E43F44"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35C0AB1"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D12F854"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BCD61B0"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1299F77"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4D75BE5"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4ED147E"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637F75F"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C19C9EF"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464A82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4946B5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CE79E48" w14:textId="77777777" w:rsidR="003E6878" w:rsidRPr="002243E1" w:rsidRDefault="003E6878" w:rsidP="00B55453">
            <w:pPr>
              <w:rPr>
                <w:rFonts w:asciiTheme="majorHAnsi" w:hAnsiTheme="majorHAnsi"/>
                <w:sz w:val="18"/>
                <w:szCs w:val="18"/>
              </w:rPr>
            </w:pPr>
          </w:p>
        </w:tc>
      </w:tr>
      <w:tr w:rsidR="00715B3D" w:rsidRPr="002243E1" w14:paraId="3856137D" w14:textId="77777777" w:rsidTr="00621087">
        <w:tc>
          <w:tcPr>
            <w:tcW w:w="485" w:type="pct"/>
            <w:shd w:val="clear" w:color="auto" w:fill="auto"/>
          </w:tcPr>
          <w:p w14:paraId="6CA3DD88" w14:textId="77777777" w:rsidR="003E6878" w:rsidRPr="002243E1" w:rsidRDefault="003E6878" w:rsidP="00B55453">
            <w:pPr>
              <w:tabs>
                <w:tab w:val="left" w:pos="1107"/>
              </w:tabs>
              <w:rPr>
                <w:rFonts w:asciiTheme="majorHAnsi" w:hAnsiTheme="majorHAnsi" w:cs="Arial"/>
                <w:sz w:val="18"/>
                <w:szCs w:val="18"/>
                <w:lang w:val="en-GB"/>
              </w:rPr>
            </w:pPr>
            <w:r w:rsidRPr="002243E1">
              <w:rPr>
                <w:rFonts w:asciiTheme="majorHAnsi" w:eastAsia="Times New Roman" w:hAnsiTheme="majorHAnsi"/>
                <w:sz w:val="18"/>
                <w:szCs w:val="18"/>
              </w:rPr>
              <w:t>Activity 2.4.1</w:t>
            </w:r>
          </w:p>
        </w:tc>
        <w:tc>
          <w:tcPr>
            <w:tcW w:w="424" w:type="pct"/>
            <w:vMerge/>
            <w:shd w:val="clear" w:color="auto" w:fill="auto"/>
          </w:tcPr>
          <w:p w14:paraId="65769481" w14:textId="77777777" w:rsidR="003E6878" w:rsidRPr="002243E1" w:rsidRDefault="003E6878" w:rsidP="002243E1">
            <w:pPr>
              <w:rPr>
                <w:rFonts w:asciiTheme="majorHAnsi" w:hAnsiTheme="majorHAnsi"/>
                <w:sz w:val="18"/>
                <w:szCs w:val="18"/>
              </w:rPr>
            </w:pPr>
          </w:p>
        </w:tc>
        <w:tc>
          <w:tcPr>
            <w:tcW w:w="190" w:type="pct"/>
            <w:shd w:val="clear" w:color="auto" w:fill="9BBB59" w:themeFill="accent3"/>
          </w:tcPr>
          <w:p w14:paraId="112BFA7F" w14:textId="77777777" w:rsidR="003E6878" w:rsidRPr="002243E1" w:rsidRDefault="003E6878" w:rsidP="00B55453">
            <w:pPr>
              <w:rPr>
                <w:rFonts w:asciiTheme="majorHAnsi" w:hAnsiTheme="majorHAnsi"/>
                <w:sz w:val="18"/>
                <w:szCs w:val="18"/>
              </w:rPr>
            </w:pPr>
          </w:p>
        </w:tc>
        <w:tc>
          <w:tcPr>
            <w:tcW w:w="219" w:type="pct"/>
            <w:shd w:val="clear" w:color="auto" w:fill="9BBB59" w:themeFill="accent3"/>
          </w:tcPr>
          <w:p w14:paraId="5F35A79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86C04D5"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3022E34"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5B35E08"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D2B03EB"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6420BE4"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ECEE22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1C7A29A"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2B5C816"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2C9BB2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01E7641"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BAB6B56"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A41A646"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39491B7"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5A6DB7E"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D3F4B97"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0439906"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C526BB8"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0FB6B74" w14:textId="77777777" w:rsidR="003E6878" w:rsidRPr="002243E1" w:rsidRDefault="003E6878" w:rsidP="00B55453">
            <w:pPr>
              <w:rPr>
                <w:rFonts w:asciiTheme="majorHAnsi" w:hAnsiTheme="majorHAnsi"/>
                <w:sz w:val="18"/>
                <w:szCs w:val="18"/>
              </w:rPr>
            </w:pPr>
          </w:p>
        </w:tc>
      </w:tr>
      <w:tr w:rsidR="003E6878" w:rsidRPr="002243E1" w14:paraId="2289626A" w14:textId="77777777" w:rsidTr="004622EC">
        <w:tc>
          <w:tcPr>
            <w:tcW w:w="485" w:type="pct"/>
            <w:shd w:val="clear" w:color="auto" w:fill="auto"/>
          </w:tcPr>
          <w:p w14:paraId="59366DC9" w14:textId="77777777" w:rsidR="003E6878" w:rsidRPr="002243E1" w:rsidRDefault="003E6878" w:rsidP="00B55453">
            <w:pPr>
              <w:tabs>
                <w:tab w:val="left" w:pos="1107"/>
              </w:tabs>
              <w:jc w:val="center"/>
              <w:rPr>
                <w:rFonts w:asciiTheme="majorHAnsi" w:eastAsia="Times New Roman" w:hAnsiTheme="majorHAnsi"/>
                <w:sz w:val="18"/>
                <w:szCs w:val="18"/>
              </w:rPr>
            </w:pPr>
            <w:r w:rsidRPr="002243E1">
              <w:rPr>
                <w:rFonts w:asciiTheme="majorHAnsi" w:eastAsia="Times New Roman" w:hAnsiTheme="majorHAnsi"/>
                <w:sz w:val="18"/>
                <w:szCs w:val="18"/>
              </w:rPr>
              <w:t>Activity 2.4.2</w:t>
            </w:r>
          </w:p>
        </w:tc>
        <w:tc>
          <w:tcPr>
            <w:tcW w:w="424" w:type="pct"/>
            <w:vMerge/>
            <w:shd w:val="clear" w:color="auto" w:fill="auto"/>
          </w:tcPr>
          <w:p w14:paraId="181EADE2" w14:textId="77777777" w:rsidR="003E6878" w:rsidRPr="002243E1" w:rsidRDefault="003E6878" w:rsidP="002243E1">
            <w:pPr>
              <w:rPr>
                <w:rFonts w:asciiTheme="majorHAnsi" w:hAnsiTheme="majorHAnsi"/>
                <w:sz w:val="18"/>
                <w:szCs w:val="18"/>
              </w:rPr>
            </w:pPr>
          </w:p>
        </w:tc>
        <w:tc>
          <w:tcPr>
            <w:tcW w:w="190" w:type="pct"/>
            <w:shd w:val="clear" w:color="auto" w:fill="auto"/>
          </w:tcPr>
          <w:p w14:paraId="6C018639" w14:textId="77777777" w:rsidR="003E6878" w:rsidRPr="002243E1" w:rsidRDefault="003E6878" w:rsidP="00B55453">
            <w:pPr>
              <w:rPr>
                <w:rFonts w:asciiTheme="majorHAnsi" w:hAnsiTheme="majorHAnsi"/>
                <w:sz w:val="18"/>
                <w:szCs w:val="18"/>
              </w:rPr>
            </w:pPr>
          </w:p>
        </w:tc>
        <w:tc>
          <w:tcPr>
            <w:tcW w:w="219" w:type="pct"/>
            <w:shd w:val="clear" w:color="auto" w:fill="auto"/>
          </w:tcPr>
          <w:p w14:paraId="118731B8" w14:textId="77777777" w:rsidR="003E6878" w:rsidRPr="002243E1" w:rsidRDefault="003E6878" w:rsidP="00B55453">
            <w:pPr>
              <w:rPr>
                <w:rFonts w:asciiTheme="majorHAnsi" w:hAnsiTheme="majorHAnsi"/>
                <w:sz w:val="18"/>
                <w:szCs w:val="18"/>
              </w:rPr>
            </w:pPr>
          </w:p>
        </w:tc>
        <w:tc>
          <w:tcPr>
            <w:tcW w:w="205" w:type="pct"/>
            <w:shd w:val="clear" w:color="auto" w:fill="auto"/>
          </w:tcPr>
          <w:p w14:paraId="0A8B20CF"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6766B2F"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7FAB693"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83B10B3"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CFC8111" w14:textId="77777777" w:rsidR="003E6878" w:rsidRPr="002243E1" w:rsidRDefault="003E6878" w:rsidP="00B55453">
            <w:pPr>
              <w:rPr>
                <w:rFonts w:asciiTheme="majorHAnsi" w:hAnsiTheme="majorHAnsi"/>
                <w:sz w:val="18"/>
                <w:szCs w:val="18"/>
              </w:rPr>
            </w:pPr>
          </w:p>
        </w:tc>
        <w:tc>
          <w:tcPr>
            <w:tcW w:w="205" w:type="pct"/>
            <w:shd w:val="clear" w:color="auto" w:fill="auto"/>
          </w:tcPr>
          <w:p w14:paraId="1DF01B15" w14:textId="77777777" w:rsidR="003E6878" w:rsidRPr="002243E1" w:rsidRDefault="003E6878" w:rsidP="00B55453">
            <w:pPr>
              <w:rPr>
                <w:rFonts w:asciiTheme="majorHAnsi" w:hAnsiTheme="majorHAnsi"/>
                <w:sz w:val="18"/>
                <w:szCs w:val="18"/>
              </w:rPr>
            </w:pPr>
          </w:p>
        </w:tc>
        <w:tc>
          <w:tcPr>
            <w:tcW w:w="205" w:type="pct"/>
            <w:shd w:val="clear" w:color="auto" w:fill="auto"/>
          </w:tcPr>
          <w:p w14:paraId="1F4BA70F" w14:textId="77777777" w:rsidR="003E6878" w:rsidRPr="002243E1" w:rsidRDefault="003E6878" w:rsidP="00B55453">
            <w:pPr>
              <w:rPr>
                <w:rFonts w:asciiTheme="majorHAnsi" w:hAnsiTheme="majorHAnsi"/>
                <w:sz w:val="18"/>
                <w:szCs w:val="18"/>
              </w:rPr>
            </w:pPr>
          </w:p>
        </w:tc>
        <w:tc>
          <w:tcPr>
            <w:tcW w:w="205" w:type="pct"/>
            <w:shd w:val="clear" w:color="auto" w:fill="auto"/>
          </w:tcPr>
          <w:p w14:paraId="3454A74B" w14:textId="77777777" w:rsidR="003E6878" w:rsidRPr="002243E1" w:rsidRDefault="003E6878" w:rsidP="00B55453">
            <w:pPr>
              <w:rPr>
                <w:rFonts w:asciiTheme="majorHAnsi" w:hAnsiTheme="majorHAnsi"/>
                <w:sz w:val="18"/>
                <w:szCs w:val="18"/>
              </w:rPr>
            </w:pPr>
          </w:p>
        </w:tc>
        <w:tc>
          <w:tcPr>
            <w:tcW w:w="205" w:type="pct"/>
            <w:shd w:val="clear" w:color="auto" w:fill="auto"/>
          </w:tcPr>
          <w:p w14:paraId="2EA2AE9B" w14:textId="77777777" w:rsidR="003E6878" w:rsidRPr="002243E1" w:rsidRDefault="003E6878" w:rsidP="00B55453">
            <w:pPr>
              <w:rPr>
                <w:rFonts w:asciiTheme="majorHAnsi" w:hAnsiTheme="majorHAnsi"/>
                <w:sz w:val="18"/>
                <w:szCs w:val="18"/>
              </w:rPr>
            </w:pPr>
          </w:p>
        </w:tc>
        <w:tc>
          <w:tcPr>
            <w:tcW w:w="205" w:type="pct"/>
            <w:shd w:val="clear" w:color="auto" w:fill="auto"/>
          </w:tcPr>
          <w:p w14:paraId="3211394A" w14:textId="77777777" w:rsidR="003E6878" w:rsidRPr="002243E1" w:rsidRDefault="003E6878" w:rsidP="00B55453">
            <w:pPr>
              <w:rPr>
                <w:rFonts w:asciiTheme="majorHAnsi" w:hAnsiTheme="majorHAnsi"/>
                <w:sz w:val="18"/>
                <w:szCs w:val="18"/>
              </w:rPr>
            </w:pPr>
          </w:p>
        </w:tc>
        <w:tc>
          <w:tcPr>
            <w:tcW w:w="205" w:type="pct"/>
            <w:shd w:val="clear" w:color="auto" w:fill="auto"/>
          </w:tcPr>
          <w:p w14:paraId="59CFA293" w14:textId="77777777" w:rsidR="003E6878" w:rsidRPr="002243E1" w:rsidRDefault="003E6878" w:rsidP="00B55453">
            <w:pPr>
              <w:rPr>
                <w:rFonts w:asciiTheme="majorHAnsi" w:hAnsiTheme="majorHAnsi"/>
                <w:sz w:val="18"/>
                <w:szCs w:val="18"/>
              </w:rPr>
            </w:pPr>
          </w:p>
        </w:tc>
        <w:tc>
          <w:tcPr>
            <w:tcW w:w="205" w:type="pct"/>
            <w:shd w:val="clear" w:color="auto" w:fill="auto"/>
          </w:tcPr>
          <w:p w14:paraId="0D9CC150" w14:textId="77777777" w:rsidR="003E6878" w:rsidRPr="002243E1" w:rsidRDefault="003E6878" w:rsidP="00B55453">
            <w:pPr>
              <w:rPr>
                <w:rFonts w:asciiTheme="majorHAnsi" w:hAnsiTheme="majorHAnsi"/>
                <w:sz w:val="18"/>
                <w:szCs w:val="18"/>
              </w:rPr>
            </w:pPr>
          </w:p>
        </w:tc>
        <w:tc>
          <w:tcPr>
            <w:tcW w:w="205" w:type="pct"/>
            <w:shd w:val="clear" w:color="auto" w:fill="auto"/>
          </w:tcPr>
          <w:p w14:paraId="51B0E0B8" w14:textId="77777777" w:rsidR="003E6878" w:rsidRPr="002243E1" w:rsidRDefault="003E6878" w:rsidP="00B55453">
            <w:pPr>
              <w:rPr>
                <w:rFonts w:asciiTheme="majorHAnsi" w:hAnsiTheme="majorHAnsi"/>
                <w:sz w:val="18"/>
                <w:szCs w:val="18"/>
              </w:rPr>
            </w:pPr>
          </w:p>
        </w:tc>
        <w:tc>
          <w:tcPr>
            <w:tcW w:w="205" w:type="pct"/>
            <w:shd w:val="clear" w:color="auto" w:fill="auto"/>
          </w:tcPr>
          <w:p w14:paraId="09A9D7B3" w14:textId="77777777" w:rsidR="003E6878" w:rsidRPr="002243E1" w:rsidRDefault="003E6878" w:rsidP="00B55453">
            <w:pPr>
              <w:rPr>
                <w:rFonts w:asciiTheme="majorHAnsi" w:hAnsiTheme="majorHAnsi"/>
                <w:sz w:val="18"/>
                <w:szCs w:val="18"/>
              </w:rPr>
            </w:pPr>
          </w:p>
        </w:tc>
        <w:tc>
          <w:tcPr>
            <w:tcW w:w="205" w:type="pct"/>
            <w:shd w:val="clear" w:color="auto" w:fill="auto"/>
          </w:tcPr>
          <w:p w14:paraId="53C4B43C" w14:textId="77777777" w:rsidR="003E6878" w:rsidRPr="002243E1" w:rsidRDefault="003E6878" w:rsidP="00B55453">
            <w:pPr>
              <w:rPr>
                <w:rFonts w:asciiTheme="majorHAnsi" w:hAnsiTheme="majorHAnsi"/>
                <w:sz w:val="18"/>
                <w:szCs w:val="18"/>
              </w:rPr>
            </w:pPr>
          </w:p>
        </w:tc>
        <w:tc>
          <w:tcPr>
            <w:tcW w:w="205" w:type="pct"/>
            <w:shd w:val="clear" w:color="auto" w:fill="auto"/>
          </w:tcPr>
          <w:p w14:paraId="3C434334" w14:textId="77777777" w:rsidR="003E6878" w:rsidRPr="002243E1" w:rsidRDefault="003E6878" w:rsidP="00B55453">
            <w:pPr>
              <w:rPr>
                <w:rFonts w:asciiTheme="majorHAnsi" w:hAnsiTheme="majorHAnsi"/>
                <w:sz w:val="18"/>
                <w:szCs w:val="18"/>
              </w:rPr>
            </w:pPr>
          </w:p>
        </w:tc>
        <w:tc>
          <w:tcPr>
            <w:tcW w:w="205" w:type="pct"/>
            <w:shd w:val="clear" w:color="auto" w:fill="auto"/>
          </w:tcPr>
          <w:p w14:paraId="7B7600D2" w14:textId="77777777" w:rsidR="003E6878" w:rsidRPr="002243E1" w:rsidRDefault="003E6878" w:rsidP="00B55453">
            <w:pPr>
              <w:rPr>
                <w:rFonts w:asciiTheme="majorHAnsi" w:hAnsiTheme="majorHAnsi"/>
                <w:sz w:val="18"/>
                <w:szCs w:val="18"/>
              </w:rPr>
            </w:pPr>
          </w:p>
        </w:tc>
        <w:tc>
          <w:tcPr>
            <w:tcW w:w="205" w:type="pct"/>
            <w:shd w:val="clear" w:color="auto" w:fill="auto"/>
          </w:tcPr>
          <w:p w14:paraId="790A7DCF" w14:textId="77777777" w:rsidR="003E6878" w:rsidRPr="002243E1" w:rsidRDefault="003E6878" w:rsidP="00B55453">
            <w:pPr>
              <w:rPr>
                <w:rFonts w:asciiTheme="majorHAnsi" w:hAnsiTheme="majorHAnsi"/>
                <w:sz w:val="18"/>
                <w:szCs w:val="18"/>
              </w:rPr>
            </w:pPr>
          </w:p>
        </w:tc>
      </w:tr>
      <w:tr w:rsidR="00715B3D" w:rsidRPr="002243E1" w14:paraId="3ECCE0F4" w14:textId="77777777" w:rsidTr="00621087">
        <w:tc>
          <w:tcPr>
            <w:tcW w:w="485" w:type="pct"/>
            <w:shd w:val="clear" w:color="auto" w:fill="auto"/>
          </w:tcPr>
          <w:p w14:paraId="0B914BDC" w14:textId="77777777" w:rsidR="003E6878" w:rsidRPr="002243E1" w:rsidRDefault="003E6878" w:rsidP="00B55453">
            <w:pPr>
              <w:tabs>
                <w:tab w:val="left" w:pos="1107"/>
              </w:tabs>
              <w:rPr>
                <w:rFonts w:asciiTheme="majorHAnsi" w:eastAsia="Times New Roman" w:hAnsiTheme="majorHAnsi"/>
                <w:sz w:val="18"/>
                <w:szCs w:val="18"/>
              </w:rPr>
            </w:pPr>
            <w:r w:rsidRPr="002243E1">
              <w:rPr>
                <w:rFonts w:asciiTheme="majorHAnsi" w:eastAsia="Times New Roman" w:hAnsiTheme="majorHAnsi"/>
                <w:sz w:val="18"/>
                <w:szCs w:val="18"/>
              </w:rPr>
              <w:t>Activity 2.4.3</w:t>
            </w:r>
          </w:p>
        </w:tc>
        <w:tc>
          <w:tcPr>
            <w:tcW w:w="424" w:type="pct"/>
            <w:vMerge/>
            <w:shd w:val="clear" w:color="auto" w:fill="auto"/>
          </w:tcPr>
          <w:p w14:paraId="6017F81C" w14:textId="77777777" w:rsidR="003E6878" w:rsidRPr="002243E1" w:rsidRDefault="003E6878" w:rsidP="002243E1">
            <w:pPr>
              <w:rPr>
                <w:rFonts w:asciiTheme="majorHAnsi" w:hAnsiTheme="majorHAnsi"/>
                <w:sz w:val="18"/>
                <w:szCs w:val="18"/>
              </w:rPr>
            </w:pPr>
          </w:p>
        </w:tc>
        <w:tc>
          <w:tcPr>
            <w:tcW w:w="190" w:type="pct"/>
            <w:shd w:val="clear" w:color="auto" w:fill="auto"/>
          </w:tcPr>
          <w:p w14:paraId="12962510" w14:textId="77777777" w:rsidR="003E6878" w:rsidRPr="002243E1" w:rsidRDefault="003E6878" w:rsidP="00B55453">
            <w:pPr>
              <w:rPr>
                <w:rFonts w:asciiTheme="majorHAnsi" w:hAnsiTheme="majorHAnsi"/>
                <w:sz w:val="18"/>
                <w:szCs w:val="18"/>
              </w:rPr>
            </w:pPr>
          </w:p>
        </w:tc>
        <w:tc>
          <w:tcPr>
            <w:tcW w:w="219" w:type="pct"/>
            <w:shd w:val="clear" w:color="auto" w:fill="auto"/>
          </w:tcPr>
          <w:p w14:paraId="251896F4" w14:textId="77777777" w:rsidR="003E6878" w:rsidRPr="002243E1" w:rsidRDefault="003E6878" w:rsidP="00B55453">
            <w:pPr>
              <w:rPr>
                <w:rFonts w:asciiTheme="majorHAnsi" w:hAnsiTheme="majorHAnsi"/>
                <w:sz w:val="18"/>
                <w:szCs w:val="18"/>
              </w:rPr>
            </w:pPr>
          </w:p>
        </w:tc>
        <w:tc>
          <w:tcPr>
            <w:tcW w:w="205" w:type="pct"/>
            <w:shd w:val="clear" w:color="auto" w:fill="auto"/>
          </w:tcPr>
          <w:p w14:paraId="3B63D4B3" w14:textId="77777777" w:rsidR="003E6878" w:rsidRPr="002243E1" w:rsidRDefault="003E6878" w:rsidP="00B55453">
            <w:pPr>
              <w:rPr>
                <w:rFonts w:asciiTheme="majorHAnsi" w:hAnsiTheme="majorHAnsi"/>
                <w:sz w:val="18"/>
                <w:szCs w:val="18"/>
              </w:rPr>
            </w:pPr>
          </w:p>
        </w:tc>
        <w:tc>
          <w:tcPr>
            <w:tcW w:w="205" w:type="pct"/>
            <w:shd w:val="clear" w:color="auto" w:fill="auto"/>
          </w:tcPr>
          <w:p w14:paraId="7FE3AA7E"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C10B150"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76F288D"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E735E92"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AFFED77"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745D3B0"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CD6B82B"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4640A0E"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CE2C362"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26E49A9"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C0CC80A"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162F3D6"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C31282A"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4DEC1C6"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0BCC60F"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5071453"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BA39D0E" w14:textId="77777777" w:rsidR="003E6878" w:rsidRPr="002243E1" w:rsidRDefault="003E6878" w:rsidP="00B55453">
            <w:pPr>
              <w:rPr>
                <w:rFonts w:asciiTheme="majorHAnsi" w:hAnsiTheme="majorHAnsi"/>
                <w:sz w:val="18"/>
                <w:szCs w:val="18"/>
              </w:rPr>
            </w:pPr>
          </w:p>
        </w:tc>
      </w:tr>
      <w:tr w:rsidR="003E6878" w:rsidRPr="002243E1" w14:paraId="022BB02B" w14:textId="77777777" w:rsidTr="004622EC">
        <w:tc>
          <w:tcPr>
            <w:tcW w:w="485" w:type="pct"/>
            <w:shd w:val="clear" w:color="auto" w:fill="auto"/>
          </w:tcPr>
          <w:p w14:paraId="54DEB353" w14:textId="77777777" w:rsidR="003E6878" w:rsidRPr="002243E1" w:rsidRDefault="003E6878" w:rsidP="00B55453">
            <w:pPr>
              <w:tabs>
                <w:tab w:val="left" w:pos="1107"/>
              </w:tabs>
              <w:rPr>
                <w:rFonts w:asciiTheme="majorHAnsi" w:eastAsia="Times New Roman" w:hAnsiTheme="majorHAnsi"/>
                <w:sz w:val="18"/>
                <w:szCs w:val="18"/>
              </w:rPr>
            </w:pPr>
            <w:r w:rsidRPr="002243E1">
              <w:rPr>
                <w:rFonts w:asciiTheme="majorHAnsi" w:eastAsia="Times New Roman" w:hAnsiTheme="majorHAnsi"/>
                <w:sz w:val="18"/>
                <w:szCs w:val="18"/>
              </w:rPr>
              <w:t>Activity 2.4.4</w:t>
            </w:r>
          </w:p>
        </w:tc>
        <w:tc>
          <w:tcPr>
            <w:tcW w:w="424" w:type="pct"/>
            <w:vMerge/>
            <w:shd w:val="clear" w:color="auto" w:fill="auto"/>
          </w:tcPr>
          <w:p w14:paraId="7E926A50" w14:textId="77777777" w:rsidR="003E6878" w:rsidRPr="002243E1" w:rsidRDefault="003E6878" w:rsidP="002243E1">
            <w:pPr>
              <w:rPr>
                <w:rFonts w:asciiTheme="majorHAnsi" w:hAnsiTheme="majorHAnsi"/>
                <w:sz w:val="18"/>
                <w:szCs w:val="18"/>
              </w:rPr>
            </w:pPr>
          </w:p>
        </w:tc>
        <w:tc>
          <w:tcPr>
            <w:tcW w:w="190" w:type="pct"/>
            <w:shd w:val="clear" w:color="auto" w:fill="auto"/>
          </w:tcPr>
          <w:p w14:paraId="5205863B" w14:textId="77777777" w:rsidR="003E6878" w:rsidRPr="002243E1" w:rsidRDefault="003E6878" w:rsidP="00B55453">
            <w:pPr>
              <w:rPr>
                <w:rFonts w:asciiTheme="majorHAnsi" w:hAnsiTheme="majorHAnsi"/>
                <w:sz w:val="18"/>
                <w:szCs w:val="18"/>
              </w:rPr>
            </w:pPr>
          </w:p>
        </w:tc>
        <w:tc>
          <w:tcPr>
            <w:tcW w:w="219" w:type="pct"/>
            <w:shd w:val="clear" w:color="auto" w:fill="auto"/>
          </w:tcPr>
          <w:p w14:paraId="38FB7959" w14:textId="77777777" w:rsidR="003E6878" w:rsidRPr="002243E1" w:rsidRDefault="003E6878" w:rsidP="00B55453">
            <w:pPr>
              <w:rPr>
                <w:rFonts w:asciiTheme="majorHAnsi" w:hAnsiTheme="majorHAnsi"/>
                <w:sz w:val="18"/>
                <w:szCs w:val="18"/>
              </w:rPr>
            </w:pPr>
          </w:p>
        </w:tc>
        <w:tc>
          <w:tcPr>
            <w:tcW w:w="205" w:type="pct"/>
            <w:shd w:val="clear" w:color="auto" w:fill="auto"/>
          </w:tcPr>
          <w:p w14:paraId="226B2519" w14:textId="77777777" w:rsidR="003E6878" w:rsidRPr="002243E1" w:rsidRDefault="003E6878" w:rsidP="00B55453">
            <w:pPr>
              <w:rPr>
                <w:rFonts w:asciiTheme="majorHAnsi" w:hAnsiTheme="majorHAnsi"/>
                <w:sz w:val="18"/>
                <w:szCs w:val="18"/>
              </w:rPr>
            </w:pPr>
          </w:p>
        </w:tc>
        <w:tc>
          <w:tcPr>
            <w:tcW w:w="205" w:type="pct"/>
            <w:shd w:val="clear" w:color="auto" w:fill="auto"/>
          </w:tcPr>
          <w:p w14:paraId="037AFACA" w14:textId="77777777" w:rsidR="003E6878" w:rsidRPr="002243E1" w:rsidRDefault="003E6878" w:rsidP="00B55453">
            <w:pPr>
              <w:rPr>
                <w:rFonts w:asciiTheme="majorHAnsi" w:hAnsiTheme="majorHAnsi"/>
                <w:sz w:val="18"/>
                <w:szCs w:val="18"/>
              </w:rPr>
            </w:pPr>
          </w:p>
        </w:tc>
        <w:tc>
          <w:tcPr>
            <w:tcW w:w="205" w:type="pct"/>
            <w:shd w:val="clear" w:color="auto" w:fill="auto"/>
          </w:tcPr>
          <w:p w14:paraId="1FF3CE88" w14:textId="77777777" w:rsidR="003E6878" w:rsidRPr="002243E1" w:rsidRDefault="003E6878" w:rsidP="00B55453">
            <w:pPr>
              <w:rPr>
                <w:rFonts w:asciiTheme="majorHAnsi" w:hAnsiTheme="majorHAnsi"/>
                <w:sz w:val="18"/>
                <w:szCs w:val="18"/>
              </w:rPr>
            </w:pPr>
          </w:p>
        </w:tc>
        <w:tc>
          <w:tcPr>
            <w:tcW w:w="205" w:type="pct"/>
            <w:shd w:val="clear" w:color="auto" w:fill="auto"/>
          </w:tcPr>
          <w:p w14:paraId="67470541" w14:textId="77777777" w:rsidR="003E6878" w:rsidRPr="002243E1" w:rsidRDefault="003E6878" w:rsidP="00B55453">
            <w:pPr>
              <w:rPr>
                <w:rFonts w:asciiTheme="majorHAnsi" w:hAnsiTheme="majorHAnsi"/>
                <w:sz w:val="18"/>
                <w:szCs w:val="18"/>
              </w:rPr>
            </w:pPr>
          </w:p>
        </w:tc>
        <w:tc>
          <w:tcPr>
            <w:tcW w:w="205" w:type="pct"/>
            <w:shd w:val="clear" w:color="auto" w:fill="auto"/>
          </w:tcPr>
          <w:p w14:paraId="2AA18441"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15B6BD6"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B44A962" w14:textId="77777777" w:rsidR="003E6878" w:rsidRPr="002243E1" w:rsidRDefault="003E6878" w:rsidP="00B55453">
            <w:pPr>
              <w:rPr>
                <w:rFonts w:asciiTheme="majorHAnsi" w:hAnsiTheme="majorHAnsi"/>
                <w:sz w:val="18"/>
                <w:szCs w:val="18"/>
              </w:rPr>
            </w:pPr>
          </w:p>
        </w:tc>
        <w:tc>
          <w:tcPr>
            <w:tcW w:w="205" w:type="pct"/>
            <w:shd w:val="clear" w:color="auto" w:fill="auto"/>
          </w:tcPr>
          <w:p w14:paraId="14232118" w14:textId="77777777" w:rsidR="003E6878" w:rsidRPr="002243E1" w:rsidRDefault="003E6878" w:rsidP="00B55453">
            <w:pPr>
              <w:rPr>
                <w:rFonts w:asciiTheme="majorHAnsi" w:hAnsiTheme="majorHAnsi"/>
                <w:sz w:val="18"/>
                <w:szCs w:val="18"/>
              </w:rPr>
            </w:pPr>
          </w:p>
        </w:tc>
        <w:tc>
          <w:tcPr>
            <w:tcW w:w="205" w:type="pct"/>
            <w:shd w:val="clear" w:color="auto" w:fill="auto"/>
          </w:tcPr>
          <w:p w14:paraId="22B95F60" w14:textId="77777777" w:rsidR="003E6878" w:rsidRPr="002243E1" w:rsidRDefault="003E6878" w:rsidP="00B55453">
            <w:pPr>
              <w:rPr>
                <w:rFonts w:asciiTheme="majorHAnsi" w:hAnsiTheme="majorHAnsi"/>
                <w:sz w:val="18"/>
                <w:szCs w:val="18"/>
              </w:rPr>
            </w:pPr>
          </w:p>
        </w:tc>
        <w:tc>
          <w:tcPr>
            <w:tcW w:w="205" w:type="pct"/>
            <w:shd w:val="clear" w:color="auto" w:fill="auto"/>
          </w:tcPr>
          <w:p w14:paraId="3C8CAE8E" w14:textId="77777777" w:rsidR="003E6878" w:rsidRPr="002243E1" w:rsidRDefault="003E6878" w:rsidP="00B55453">
            <w:pPr>
              <w:rPr>
                <w:rFonts w:asciiTheme="majorHAnsi" w:hAnsiTheme="majorHAnsi"/>
                <w:sz w:val="18"/>
                <w:szCs w:val="18"/>
              </w:rPr>
            </w:pPr>
          </w:p>
        </w:tc>
        <w:tc>
          <w:tcPr>
            <w:tcW w:w="205" w:type="pct"/>
            <w:shd w:val="clear" w:color="auto" w:fill="auto"/>
          </w:tcPr>
          <w:p w14:paraId="7C115EC4" w14:textId="77777777" w:rsidR="003E6878" w:rsidRPr="002243E1" w:rsidRDefault="003E6878" w:rsidP="00B55453">
            <w:pPr>
              <w:rPr>
                <w:rFonts w:asciiTheme="majorHAnsi" w:hAnsiTheme="majorHAnsi"/>
                <w:sz w:val="18"/>
                <w:szCs w:val="18"/>
              </w:rPr>
            </w:pPr>
          </w:p>
        </w:tc>
        <w:tc>
          <w:tcPr>
            <w:tcW w:w="205" w:type="pct"/>
            <w:shd w:val="clear" w:color="auto" w:fill="auto"/>
          </w:tcPr>
          <w:p w14:paraId="416D7599" w14:textId="77777777" w:rsidR="003E6878" w:rsidRPr="002243E1" w:rsidRDefault="003E6878" w:rsidP="00B55453">
            <w:pPr>
              <w:rPr>
                <w:rFonts w:asciiTheme="majorHAnsi" w:hAnsiTheme="majorHAnsi"/>
                <w:sz w:val="18"/>
                <w:szCs w:val="18"/>
              </w:rPr>
            </w:pPr>
          </w:p>
        </w:tc>
        <w:tc>
          <w:tcPr>
            <w:tcW w:w="205" w:type="pct"/>
            <w:shd w:val="clear" w:color="auto" w:fill="auto"/>
          </w:tcPr>
          <w:p w14:paraId="1F4533BE" w14:textId="77777777" w:rsidR="003E6878" w:rsidRPr="002243E1" w:rsidRDefault="003E6878" w:rsidP="00B55453">
            <w:pPr>
              <w:rPr>
                <w:rFonts w:asciiTheme="majorHAnsi" w:hAnsiTheme="majorHAnsi"/>
                <w:sz w:val="18"/>
                <w:szCs w:val="18"/>
              </w:rPr>
            </w:pPr>
          </w:p>
        </w:tc>
        <w:tc>
          <w:tcPr>
            <w:tcW w:w="205" w:type="pct"/>
            <w:shd w:val="clear" w:color="auto" w:fill="auto"/>
          </w:tcPr>
          <w:p w14:paraId="3CDECC9A" w14:textId="77777777" w:rsidR="003E6878" w:rsidRPr="002243E1" w:rsidRDefault="003E6878" w:rsidP="00B55453">
            <w:pPr>
              <w:rPr>
                <w:rFonts w:asciiTheme="majorHAnsi" w:hAnsiTheme="majorHAnsi"/>
                <w:sz w:val="18"/>
                <w:szCs w:val="18"/>
              </w:rPr>
            </w:pPr>
          </w:p>
        </w:tc>
        <w:tc>
          <w:tcPr>
            <w:tcW w:w="205" w:type="pct"/>
            <w:shd w:val="clear" w:color="auto" w:fill="auto"/>
          </w:tcPr>
          <w:p w14:paraId="4A5BFBD9" w14:textId="77777777" w:rsidR="003E6878" w:rsidRPr="002243E1" w:rsidRDefault="003E6878" w:rsidP="00B55453">
            <w:pPr>
              <w:rPr>
                <w:rFonts w:asciiTheme="majorHAnsi" w:hAnsiTheme="majorHAnsi"/>
                <w:sz w:val="18"/>
                <w:szCs w:val="18"/>
              </w:rPr>
            </w:pPr>
          </w:p>
        </w:tc>
        <w:tc>
          <w:tcPr>
            <w:tcW w:w="205" w:type="pct"/>
            <w:shd w:val="clear" w:color="auto" w:fill="auto"/>
          </w:tcPr>
          <w:p w14:paraId="45D98DBF" w14:textId="77777777" w:rsidR="003E6878" w:rsidRPr="002243E1" w:rsidRDefault="003E6878" w:rsidP="00B55453">
            <w:pPr>
              <w:rPr>
                <w:rFonts w:asciiTheme="majorHAnsi" w:hAnsiTheme="majorHAnsi"/>
                <w:sz w:val="18"/>
                <w:szCs w:val="18"/>
              </w:rPr>
            </w:pPr>
          </w:p>
        </w:tc>
        <w:tc>
          <w:tcPr>
            <w:tcW w:w="205" w:type="pct"/>
            <w:shd w:val="clear" w:color="auto" w:fill="auto"/>
          </w:tcPr>
          <w:p w14:paraId="461FB107" w14:textId="77777777" w:rsidR="003E6878" w:rsidRPr="002243E1" w:rsidRDefault="003E6878" w:rsidP="00B55453">
            <w:pPr>
              <w:rPr>
                <w:rFonts w:asciiTheme="majorHAnsi" w:hAnsiTheme="majorHAnsi"/>
                <w:sz w:val="18"/>
                <w:szCs w:val="18"/>
              </w:rPr>
            </w:pPr>
          </w:p>
        </w:tc>
        <w:tc>
          <w:tcPr>
            <w:tcW w:w="205" w:type="pct"/>
            <w:shd w:val="clear" w:color="auto" w:fill="auto"/>
          </w:tcPr>
          <w:p w14:paraId="48D72ED0" w14:textId="77777777" w:rsidR="003E6878" w:rsidRPr="002243E1" w:rsidRDefault="003E6878" w:rsidP="00B55453">
            <w:pPr>
              <w:rPr>
                <w:rFonts w:asciiTheme="majorHAnsi" w:hAnsiTheme="majorHAnsi"/>
                <w:sz w:val="18"/>
                <w:szCs w:val="18"/>
              </w:rPr>
            </w:pPr>
          </w:p>
        </w:tc>
      </w:tr>
      <w:tr w:rsidR="003E6878" w:rsidRPr="002243E1" w14:paraId="5F3B7B53" w14:textId="77777777" w:rsidTr="004622EC">
        <w:tc>
          <w:tcPr>
            <w:tcW w:w="485" w:type="pct"/>
            <w:shd w:val="clear" w:color="auto" w:fill="auto"/>
          </w:tcPr>
          <w:p w14:paraId="6112037D" w14:textId="77777777" w:rsidR="003E6878" w:rsidRPr="002243E1" w:rsidRDefault="003E6878" w:rsidP="00B55453">
            <w:pPr>
              <w:tabs>
                <w:tab w:val="left" w:pos="1107"/>
              </w:tabs>
              <w:rPr>
                <w:rFonts w:asciiTheme="majorHAnsi" w:eastAsia="Times New Roman" w:hAnsiTheme="majorHAnsi"/>
                <w:sz w:val="18"/>
                <w:szCs w:val="18"/>
              </w:rPr>
            </w:pPr>
            <w:r w:rsidRPr="002243E1">
              <w:rPr>
                <w:rFonts w:asciiTheme="majorHAnsi" w:eastAsia="Times New Roman" w:hAnsiTheme="majorHAnsi"/>
                <w:sz w:val="18"/>
                <w:szCs w:val="18"/>
              </w:rPr>
              <w:t>Activity 2.4.5</w:t>
            </w:r>
          </w:p>
        </w:tc>
        <w:tc>
          <w:tcPr>
            <w:tcW w:w="424" w:type="pct"/>
            <w:vMerge/>
            <w:shd w:val="clear" w:color="auto" w:fill="auto"/>
          </w:tcPr>
          <w:p w14:paraId="0B1CB027" w14:textId="77777777" w:rsidR="003E6878" w:rsidRPr="002243E1" w:rsidRDefault="003E6878" w:rsidP="002243E1">
            <w:pPr>
              <w:rPr>
                <w:rFonts w:asciiTheme="majorHAnsi" w:hAnsiTheme="majorHAnsi"/>
                <w:sz w:val="18"/>
                <w:szCs w:val="18"/>
              </w:rPr>
            </w:pPr>
          </w:p>
        </w:tc>
        <w:tc>
          <w:tcPr>
            <w:tcW w:w="190" w:type="pct"/>
            <w:shd w:val="clear" w:color="auto" w:fill="auto"/>
          </w:tcPr>
          <w:p w14:paraId="669E7533" w14:textId="77777777" w:rsidR="003E6878" w:rsidRPr="002243E1" w:rsidRDefault="003E6878" w:rsidP="00B55453">
            <w:pPr>
              <w:rPr>
                <w:rFonts w:asciiTheme="majorHAnsi" w:hAnsiTheme="majorHAnsi"/>
                <w:sz w:val="18"/>
                <w:szCs w:val="18"/>
              </w:rPr>
            </w:pPr>
          </w:p>
        </w:tc>
        <w:tc>
          <w:tcPr>
            <w:tcW w:w="219" w:type="pct"/>
            <w:shd w:val="clear" w:color="auto" w:fill="auto"/>
          </w:tcPr>
          <w:p w14:paraId="680305BC" w14:textId="77777777" w:rsidR="003E6878" w:rsidRPr="002243E1" w:rsidRDefault="003E6878" w:rsidP="00B55453">
            <w:pPr>
              <w:rPr>
                <w:rFonts w:asciiTheme="majorHAnsi" w:hAnsiTheme="majorHAnsi"/>
                <w:sz w:val="18"/>
                <w:szCs w:val="18"/>
              </w:rPr>
            </w:pPr>
          </w:p>
        </w:tc>
        <w:tc>
          <w:tcPr>
            <w:tcW w:w="205" w:type="pct"/>
            <w:shd w:val="clear" w:color="auto" w:fill="auto"/>
          </w:tcPr>
          <w:p w14:paraId="56FFDFD4" w14:textId="77777777" w:rsidR="003E6878" w:rsidRPr="002243E1" w:rsidRDefault="003E6878" w:rsidP="00B55453">
            <w:pPr>
              <w:rPr>
                <w:rFonts w:asciiTheme="majorHAnsi" w:hAnsiTheme="majorHAnsi"/>
                <w:sz w:val="18"/>
                <w:szCs w:val="18"/>
              </w:rPr>
            </w:pPr>
          </w:p>
        </w:tc>
        <w:tc>
          <w:tcPr>
            <w:tcW w:w="205" w:type="pct"/>
            <w:shd w:val="clear" w:color="auto" w:fill="auto"/>
          </w:tcPr>
          <w:p w14:paraId="313A9C63" w14:textId="77777777" w:rsidR="003E6878" w:rsidRPr="002243E1" w:rsidRDefault="003E6878" w:rsidP="00B55453">
            <w:pPr>
              <w:rPr>
                <w:rFonts w:asciiTheme="majorHAnsi" w:hAnsiTheme="majorHAnsi"/>
                <w:sz w:val="18"/>
                <w:szCs w:val="18"/>
              </w:rPr>
            </w:pPr>
          </w:p>
        </w:tc>
        <w:tc>
          <w:tcPr>
            <w:tcW w:w="205" w:type="pct"/>
            <w:shd w:val="clear" w:color="auto" w:fill="auto"/>
          </w:tcPr>
          <w:p w14:paraId="308E49AC" w14:textId="77777777" w:rsidR="003E6878" w:rsidRPr="002243E1" w:rsidRDefault="003E6878" w:rsidP="00B55453">
            <w:pPr>
              <w:rPr>
                <w:rFonts w:asciiTheme="majorHAnsi" w:hAnsiTheme="majorHAnsi"/>
                <w:sz w:val="18"/>
                <w:szCs w:val="18"/>
              </w:rPr>
            </w:pPr>
          </w:p>
        </w:tc>
        <w:tc>
          <w:tcPr>
            <w:tcW w:w="205" w:type="pct"/>
            <w:shd w:val="clear" w:color="auto" w:fill="auto"/>
          </w:tcPr>
          <w:p w14:paraId="5DAD1ECE" w14:textId="77777777" w:rsidR="003E6878" w:rsidRPr="002243E1" w:rsidRDefault="003E6878" w:rsidP="00B55453">
            <w:pPr>
              <w:rPr>
                <w:rFonts w:asciiTheme="majorHAnsi" w:hAnsiTheme="majorHAnsi"/>
                <w:sz w:val="18"/>
                <w:szCs w:val="18"/>
              </w:rPr>
            </w:pPr>
          </w:p>
        </w:tc>
        <w:tc>
          <w:tcPr>
            <w:tcW w:w="205" w:type="pct"/>
            <w:shd w:val="clear" w:color="auto" w:fill="auto"/>
          </w:tcPr>
          <w:p w14:paraId="55839E13" w14:textId="77777777" w:rsidR="003E6878" w:rsidRPr="002243E1" w:rsidRDefault="003E6878" w:rsidP="00B55453">
            <w:pPr>
              <w:rPr>
                <w:rFonts w:asciiTheme="majorHAnsi" w:hAnsiTheme="majorHAnsi"/>
                <w:sz w:val="18"/>
                <w:szCs w:val="18"/>
              </w:rPr>
            </w:pPr>
          </w:p>
        </w:tc>
        <w:tc>
          <w:tcPr>
            <w:tcW w:w="205" w:type="pct"/>
            <w:shd w:val="clear" w:color="auto" w:fill="auto"/>
          </w:tcPr>
          <w:p w14:paraId="3554258E" w14:textId="77777777" w:rsidR="003E6878" w:rsidRPr="002243E1" w:rsidRDefault="003E6878" w:rsidP="00B55453">
            <w:pPr>
              <w:rPr>
                <w:rFonts w:asciiTheme="majorHAnsi" w:hAnsiTheme="majorHAnsi"/>
                <w:sz w:val="18"/>
                <w:szCs w:val="18"/>
              </w:rPr>
            </w:pPr>
          </w:p>
        </w:tc>
        <w:tc>
          <w:tcPr>
            <w:tcW w:w="205" w:type="pct"/>
            <w:shd w:val="clear" w:color="auto" w:fill="auto"/>
          </w:tcPr>
          <w:p w14:paraId="78318C94"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FEAFB5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4B9B9FD" w14:textId="77777777" w:rsidR="003E6878" w:rsidRPr="002243E1" w:rsidRDefault="003E6878" w:rsidP="00B55453">
            <w:pPr>
              <w:rPr>
                <w:rFonts w:asciiTheme="majorHAnsi" w:hAnsiTheme="majorHAnsi"/>
                <w:sz w:val="18"/>
                <w:szCs w:val="18"/>
              </w:rPr>
            </w:pPr>
          </w:p>
        </w:tc>
        <w:tc>
          <w:tcPr>
            <w:tcW w:w="205" w:type="pct"/>
            <w:shd w:val="clear" w:color="auto" w:fill="auto"/>
          </w:tcPr>
          <w:p w14:paraId="3420CFEA" w14:textId="77777777" w:rsidR="003E6878" w:rsidRPr="002243E1" w:rsidRDefault="003E6878" w:rsidP="00B55453">
            <w:pPr>
              <w:rPr>
                <w:rFonts w:asciiTheme="majorHAnsi" w:hAnsiTheme="majorHAnsi"/>
                <w:sz w:val="18"/>
                <w:szCs w:val="18"/>
              </w:rPr>
            </w:pPr>
          </w:p>
        </w:tc>
        <w:tc>
          <w:tcPr>
            <w:tcW w:w="205" w:type="pct"/>
            <w:shd w:val="clear" w:color="auto" w:fill="auto"/>
          </w:tcPr>
          <w:p w14:paraId="69D515E7" w14:textId="77777777" w:rsidR="003E6878" w:rsidRPr="002243E1" w:rsidRDefault="003E6878" w:rsidP="00B55453">
            <w:pPr>
              <w:rPr>
                <w:rFonts w:asciiTheme="majorHAnsi" w:hAnsiTheme="majorHAnsi"/>
                <w:sz w:val="18"/>
                <w:szCs w:val="18"/>
              </w:rPr>
            </w:pPr>
          </w:p>
        </w:tc>
        <w:tc>
          <w:tcPr>
            <w:tcW w:w="205" w:type="pct"/>
            <w:shd w:val="clear" w:color="auto" w:fill="auto"/>
          </w:tcPr>
          <w:p w14:paraId="2EB62D37" w14:textId="77777777" w:rsidR="003E6878" w:rsidRPr="002243E1" w:rsidRDefault="003E6878" w:rsidP="00B55453">
            <w:pPr>
              <w:rPr>
                <w:rFonts w:asciiTheme="majorHAnsi" w:hAnsiTheme="majorHAnsi"/>
                <w:sz w:val="18"/>
                <w:szCs w:val="18"/>
              </w:rPr>
            </w:pPr>
          </w:p>
        </w:tc>
        <w:tc>
          <w:tcPr>
            <w:tcW w:w="205" w:type="pct"/>
            <w:shd w:val="clear" w:color="auto" w:fill="auto"/>
          </w:tcPr>
          <w:p w14:paraId="1DF158D8" w14:textId="77777777" w:rsidR="003E6878" w:rsidRPr="002243E1" w:rsidRDefault="003E6878" w:rsidP="00B55453">
            <w:pPr>
              <w:rPr>
                <w:rFonts w:asciiTheme="majorHAnsi" w:hAnsiTheme="majorHAnsi"/>
                <w:sz w:val="18"/>
                <w:szCs w:val="18"/>
              </w:rPr>
            </w:pPr>
          </w:p>
        </w:tc>
        <w:tc>
          <w:tcPr>
            <w:tcW w:w="205" w:type="pct"/>
            <w:shd w:val="clear" w:color="auto" w:fill="auto"/>
          </w:tcPr>
          <w:p w14:paraId="4EEA2358" w14:textId="77777777" w:rsidR="003E6878" w:rsidRPr="002243E1" w:rsidRDefault="003E6878" w:rsidP="00B55453">
            <w:pPr>
              <w:rPr>
                <w:rFonts w:asciiTheme="majorHAnsi" w:hAnsiTheme="majorHAnsi"/>
                <w:sz w:val="18"/>
                <w:szCs w:val="18"/>
              </w:rPr>
            </w:pPr>
          </w:p>
        </w:tc>
        <w:tc>
          <w:tcPr>
            <w:tcW w:w="205" w:type="pct"/>
            <w:shd w:val="clear" w:color="auto" w:fill="auto"/>
          </w:tcPr>
          <w:p w14:paraId="075ACEC0" w14:textId="77777777" w:rsidR="003E6878" w:rsidRPr="002243E1" w:rsidRDefault="003E6878" w:rsidP="00B55453">
            <w:pPr>
              <w:rPr>
                <w:rFonts w:asciiTheme="majorHAnsi" w:hAnsiTheme="majorHAnsi"/>
                <w:sz w:val="18"/>
                <w:szCs w:val="18"/>
              </w:rPr>
            </w:pPr>
          </w:p>
        </w:tc>
        <w:tc>
          <w:tcPr>
            <w:tcW w:w="205" w:type="pct"/>
            <w:shd w:val="clear" w:color="auto" w:fill="auto"/>
          </w:tcPr>
          <w:p w14:paraId="41BA3ED1" w14:textId="77777777" w:rsidR="003E6878" w:rsidRPr="002243E1" w:rsidRDefault="003E6878" w:rsidP="00B55453">
            <w:pPr>
              <w:rPr>
                <w:rFonts w:asciiTheme="majorHAnsi" w:hAnsiTheme="majorHAnsi"/>
                <w:sz w:val="18"/>
                <w:szCs w:val="18"/>
              </w:rPr>
            </w:pPr>
          </w:p>
        </w:tc>
        <w:tc>
          <w:tcPr>
            <w:tcW w:w="205" w:type="pct"/>
            <w:shd w:val="clear" w:color="auto" w:fill="auto"/>
          </w:tcPr>
          <w:p w14:paraId="2108B211" w14:textId="77777777" w:rsidR="003E6878" w:rsidRPr="002243E1" w:rsidRDefault="003E6878" w:rsidP="00B55453">
            <w:pPr>
              <w:rPr>
                <w:rFonts w:asciiTheme="majorHAnsi" w:hAnsiTheme="majorHAnsi"/>
                <w:sz w:val="18"/>
                <w:szCs w:val="18"/>
              </w:rPr>
            </w:pPr>
          </w:p>
        </w:tc>
        <w:tc>
          <w:tcPr>
            <w:tcW w:w="205" w:type="pct"/>
            <w:shd w:val="clear" w:color="auto" w:fill="auto"/>
          </w:tcPr>
          <w:p w14:paraId="65A3FD5B" w14:textId="77777777" w:rsidR="003E6878" w:rsidRPr="002243E1" w:rsidRDefault="003E6878" w:rsidP="00B55453">
            <w:pPr>
              <w:rPr>
                <w:rFonts w:asciiTheme="majorHAnsi" w:hAnsiTheme="majorHAnsi"/>
                <w:sz w:val="18"/>
                <w:szCs w:val="18"/>
              </w:rPr>
            </w:pPr>
          </w:p>
        </w:tc>
      </w:tr>
      <w:tr w:rsidR="003E6878" w:rsidRPr="002243E1" w14:paraId="2CF6A931" w14:textId="77777777" w:rsidTr="004622EC">
        <w:tc>
          <w:tcPr>
            <w:tcW w:w="5000" w:type="pct"/>
            <w:gridSpan w:val="22"/>
            <w:shd w:val="clear" w:color="auto" w:fill="auto"/>
          </w:tcPr>
          <w:p w14:paraId="07F7153E" w14:textId="77777777" w:rsidR="003E6878" w:rsidRPr="002243E1" w:rsidRDefault="003E6878" w:rsidP="002243E1">
            <w:pPr>
              <w:tabs>
                <w:tab w:val="left" w:pos="1667"/>
              </w:tabs>
              <w:rPr>
                <w:rFonts w:asciiTheme="majorHAnsi" w:hAnsiTheme="majorHAnsi"/>
                <w:b/>
                <w:sz w:val="18"/>
                <w:szCs w:val="18"/>
              </w:rPr>
            </w:pPr>
            <w:r w:rsidRPr="002243E1">
              <w:rPr>
                <w:rFonts w:asciiTheme="majorHAnsi" w:hAnsiTheme="majorHAnsi"/>
                <w:b/>
                <w:sz w:val="18"/>
                <w:szCs w:val="18"/>
              </w:rPr>
              <w:t>Component 3</w:t>
            </w:r>
          </w:p>
        </w:tc>
      </w:tr>
      <w:tr w:rsidR="003E6878" w:rsidRPr="002243E1" w14:paraId="6A9E846B" w14:textId="77777777" w:rsidTr="004622EC">
        <w:tc>
          <w:tcPr>
            <w:tcW w:w="485" w:type="pct"/>
            <w:shd w:val="clear" w:color="auto" w:fill="auto"/>
          </w:tcPr>
          <w:p w14:paraId="0DC58316" w14:textId="77777777" w:rsidR="003E6878" w:rsidRPr="002243E1" w:rsidRDefault="003E6878" w:rsidP="003E6878">
            <w:pPr>
              <w:rPr>
                <w:rFonts w:asciiTheme="majorHAnsi" w:hAnsiTheme="majorHAnsi"/>
                <w:sz w:val="18"/>
                <w:szCs w:val="18"/>
              </w:rPr>
            </w:pPr>
            <w:r w:rsidRPr="002243E1">
              <w:rPr>
                <w:rFonts w:asciiTheme="majorHAnsi" w:hAnsiTheme="majorHAnsi" w:cs="Arial"/>
                <w:sz w:val="18"/>
                <w:szCs w:val="18"/>
                <w:lang w:val="en-GB"/>
              </w:rPr>
              <w:t>Activity 3.1.1</w:t>
            </w:r>
          </w:p>
        </w:tc>
        <w:tc>
          <w:tcPr>
            <w:tcW w:w="424" w:type="pct"/>
            <w:vMerge w:val="restart"/>
            <w:shd w:val="clear" w:color="auto" w:fill="auto"/>
          </w:tcPr>
          <w:p w14:paraId="6D42A500" w14:textId="77777777" w:rsidR="003E6878" w:rsidRPr="002243E1" w:rsidRDefault="003E6878" w:rsidP="002243E1">
            <w:pPr>
              <w:rPr>
                <w:rFonts w:asciiTheme="majorHAnsi" w:hAnsiTheme="majorHAnsi"/>
                <w:sz w:val="18"/>
                <w:szCs w:val="18"/>
              </w:rPr>
            </w:pPr>
            <w:r w:rsidRPr="002243E1">
              <w:rPr>
                <w:rFonts w:asciiTheme="majorHAnsi" w:hAnsiTheme="majorHAnsi"/>
                <w:sz w:val="18"/>
                <w:szCs w:val="18"/>
              </w:rPr>
              <w:t>PMU, Task Manager Small- Scale</w:t>
            </w:r>
          </w:p>
        </w:tc>
        <w:tc>
          <w:tcPr>
            <w:tcW w:w="190" w:type="pct"/>
            <w:shd w:val="clear" w:color="auto" w:fill="auto"/>
          </w:tcPr>
          <w:p w14:paraId="30C0F22D" w14:textId="77777777" w:rsidR="003E6878" w:rsidRPr="002243E1" w:rsidRDefault="003E6878" w:rsidP="00B55453">
            <w:pPr>
              <w:rPr>
                <w:rFonts w:asciiTheme="majorHAnsi" w:hAnsiTheme="majorHAnsi"/>
                <w:sz w:val="18"/>
                <w:szCs w:val="18"/>
              </w:rPr>
            </w:pPr>
          </w:p>
        </w:tc>
        <w:tc>
          <w:tcPr>
            <w:tcW w:w="219" w:type="pct"/>
            <w:shd w:val="clear" w:color="auto" w:fill="auto"/>
          </w:tcPr>
          <w:p w14:paraId="751787E1" w14:textId="77777777" w:rsidR="003E6878" w:rsidRPr="002243E1" w:rsidRDefault="003E6878" w:rsidP="00B55453">
            <w:pPr>
              <w:rPr>
                <w:rFonts w:asciiTheme="majorHAnsi" w:hAnsiTheme="majorHAnsi"/>
                <w:sz w:val="18"/>
                <w:szCs w:val="18"/>
              </w:rPr>
            </w:pPr>
          </w:p>
        </w:tc>
        <w:tc>
          <w:tcPr>
            <w:tcW w:w="205" w:type="pct"/>
            <w:shd w:val="clear" w:color="auto" w:fill="auto"/>
          </w:tcPr>
          <w:p w14:paraId="22C4B348" w14:textId="77777777" w:rsidR="003E6878" w:rsidRPr="002243E1" w:rsidRDefault="003E6878" w:rsidP="00B55453">
            <w:pPr>
              <w:rPr>
                <w:rFonts w:asciiTheme="majorHAnsi" w:hAnsiTheme="majorHAnsi"/>
                <w:sz w:val="18"/>
                <w:szCs w:val="18"/>
              </w:rPr>
            </w:pPr>
          </w:p>
        </w:tc>
        <w:tc>
          <w:tcPr>
            <w:tcW w:w="205" w:type="pct"/>
            <w:shd w:val="clear" w:color="auto" w:fill="auto"/>
          </w:tcPr>
          <w:p w14:paraId="6F1EA466" w14:textId="77777777" w:rsidR="003E6878" w:rsidRPr="002243E1" w:rsidRDefault="003E6878" w:rsidP="00B55453">
            <w:pPr>
              <w:rPr>
                <w:rFonts w:asciiTheme="majorHAnsi" w:hAnsiTheme="majorHAnsi"/>
                <w:sz w:val="18"/>
                <w:szCs w:val="18"/>
              </w:rPr>
            </w:pPr>
          </w:p>
        </w:tc>
        <w:tc>
          <w:tcPr>
            <w:tcW w:w="205" w:type="pct"/>
            <w:shd w:val="clear" w:color="auto" w:fill="auto"/>
          </w:tcPr>
          <w:p w14:paraId="0595D5B1"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033ABD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954F87B" w14:textId="77777777" w:rsidR="003E6878" w:rsidRPr="002243E1" w:rsidRDefault="003E6878" w:rsidP="00B55453">
            <w:pPr>
              <w:rPr>
                <w:rFonts w:asciiTheme="majorHAnsi" w:hAnsiTheme="majorHAnsi"/>
                <w:sz w:val="18"/>
                <w:szCs w:val="18"/>
              </w:rPr>
            </w:pPr>
          </w:p>
        </w:tc>
        <w:tc>
          <w:tcPr>
            <w:tcW w:w="205" w:type="pct"/>
            <w:shd w:val="clear" w:color="auto" w:fill="auto"/>
          </w:tcPr>
          <w:p w14:paraId="0BCD4D32" w14:textId="77777777" w:rsidR="003E6878" w:rsidRPr="002243E1" w:rsidRDefault="003E6878" w:rsidP="00B55453">
            <w:pPr>
              <w:rPr>
                <w:rFonts w:asciiTheme="majorHAnsi" w:hAnsiTheme="majorHAnsi"/>
                <w:sz w:val="18"/>
                <w:szCs w:val="18"/>
              </w:rPr>
            </w:pPr>
          </w:p>
        </w:tc>
        <w:tc>
          <w:tcPr>
            <w:tcW w:w="205" w:type="pct"/>
            <w:shd w:val="clear" w:color="auto" w:fill="auto"/>
          </w:tcPr>
          <w:p w14:paraId="5E1727B7" w14:textId="77777777" w:rsidR="003E6878" w:rsidRPr="002243E1" w:rsidRDefault="003E6878" w:rsidP="00B55453">
            <w:pPr>
              <w:rPr>
                <w:rFonts w:asciiTheme="majorHAnsi" w:hAnsiTheme="majorHAnsi"/>
                <w:sz w:val="18"/>
                <w:szCs w:val="18"/>
              </w:rPr>
            </w:pPr>
          </w:p>
        </w:tc>
        <w:tc>
          <w:tcPr>
            <w:tcW w:w="205" w:type="pct"/>
            <w:shd w:val="clear" w:color="auto" w:fill="auto"/>
          </w:tcPr>
          <w:p w14:paraId="395B8C4B" w14:textId="77777777" w:rsidR="003E6878" w:rsidRPr="002243E1" w:rsidRDefault="003E6878" w:rsidP="00B55453">
            <w:pPr>
              <w:rPr>
                <w:rFonts w:asciiTheme="majorHAnsi" w:hAnsiTheme="majorHAnsi"/>
                <w:sz w:val="18"/>
                <w:szCs w:val="18"/>
              </w:rPr>
            </w:pPr>
          </w:p>
        </w:tc>
        <w:tc>
          <w:tcPr>
            <w:tcW w:w="205" w:type="pct"/>
            <w:shd w:val="clear" w:color="auto" w:fill="auto"/>
          </w:tcPr>
          <w:p w14:paraId="0821F9E8" w14:textId="77777777" w:rsidR="003E6878" w:rsidRPr="002243E1" w:rsidRDefault="003E6878" w:rsidP="00B55453">
            <w:pPr>
              <w:rPr>
                <w:rFonts w:asciiTheme="majorHAnsi" w:hAnsiTheme="majorHAnsi"/>
                <w:sz w:val="18"/>
                <w:szCs w:val="18"/>
              </w:rPr>
            </w:pPr>
          </w:p>
        </w:tc>
        <w:tc>
          <w:tcPr>
            <w:tcW w:w="205" w:type="pct"/>
            <w:shd w:val="clear" w:color="auto" w:fill="auto"/>
          </w:tcPr>
          <w:p w14:paraId="1A7CF8E6" w14:textId="77777777" w:rsidR="003E6878" w:rsidRPr="002243E1" w:rsidRDefault="003E6878" w:rsidP="00B55453">
            <w:pPr>
              <w:rPr>
                <w:rFonts w:asciiTheme="majorHAnsi" w:hAnsiTheme="majorHAnsi"/>
                <w:sz w:val="18"/>
                <w:szCs w:val="18"/>
              </w:rPr>
            </w:pPr>
          </w:p>
        </w:tc>
        <w:tc>
          <w:tcPr>
            <w:tcW w:w="205" w:type="pct"/>
            <w:shd w:val="clear" w:color="auto" w:fill="auto"/>
          </w:tcPr>
          <w:p w14:paraId="47654B33" w14:textId="77777777" w:rsidR="003E6878" w:rsidRPr="002243E1" w:rsidRDefault="003E6878" w:rsidP="00B55453">
            <w:pPr>
              <w:rPr>
                <w:rFonts w:asciiTheme="majorHAnsi" w:hAnsiTheme="majorHAnsi"/>
                <w:sz w:val="18"/>
                <w:szCs w:val="18"/>
              </w:rPr>
            </w:pPr>
          </w:p>
        </w:tc>
        <w:tc>
          <w:tcPr>
            <w:tcW w:w="205" w:type="pct"/>
            <w:shd w:val="clear" w:color="auto" w:fill="auto"/>
          </w:tcPr>
          <w:p w14:paraId="1402AD7C" w14:textId="77777777" w:rsidR="003E6878" w:rsidRPr="002243E1" w:rsidRDefault="003E6878" w:rsidP="00B55453">
            <w:pPr>
              <w:rPr>
                <w:rFonts w:asciiTheme="majorHAnsi" w:hAnsiTheme="majorHAnsi"/>
                <w:sz w:val="18"/>
                <w:szCs w:val="18"/>
              </w:rPr>
            </w:pPr>
          </w:p>
        </w:tc>
        <w:tc>
          <w:tcPr>
            <w:tcW w:w="205" w:type="pct"/>
            <w:shd w:val="clear" w:color="auto" w:fill="auto"/>
          </w:tcPr>
          <w:p w14:paraId="45C62C3D" w14:textId="77777777" w:rsidR="003E6878" w:rsidRPr="002243E1" w:rsidRDefault="003E6878" w:rsidP="00B55453">
            <w:pPr>
              <w:rPr>
                <w:rFonts w:asciiTheme="majorHAnsi" w:hAnsiTheme="majorHAnsi"/>
                <w:sz w:val="18"/>
                <w:szCs w:val="18"/>
              </w:rPr>
            </w:pPr>
          </w:p>
        </w:tc>
        <w:tc>
          <w:tcPr>
            <w:tcW w:w="205" w:type="pct"/>
            <w:shd w:val="clear" w:color="auto" w:fill="auto"/>
          </w:tcPr>
          <w:p w14:paraId="5E9BF0DB" w14:textId="77777777" w:rsidR="003E6878" w:rsidRPr="002243E1" w:rsidRDefault="003E6878" w:rsidP="00B55453">
            <w:pPr>
              <w:rPr>
                <w:rFonts w:asciiTheme="majorHAnsi" w:hAnsiTheme="majorHAnsi"/>
                <w:sz w:val="18"/>
                <w:szCs w:val="18"/>
              </w:rPr>
            </w:pPr>
          </w:p>
        </w:tc>
        <w:tc>
          <w:tcPr>
            <w:tcW w:w="205" w:type="pct"/>
            <w:shd w:val="clear" w:color="auto" w:fill="auto"/>
          </w:tcPr>
          <w:p w14:paraId="1F73F374" w14:textId="77777777" w:rsidR="003E6878" w:rsidRPr="002243E1" w:rsidRDefault="003E6878" w:rsidP="00B55453">
            <w:pPr>
              <w:rPr>
                <w:rFonts w:asciiTheme="majorHAnsi" w:hAnsiTheme="majorHAnsi"/>
                <w:sz w:val="18"/>
                <w:szCs w:val="18"/>
              </w:rPr>
            </w:pPr>
          </w:p>
        </w:tc>
        <w:tc>
          <w:tcPr>
            <w:tcW w:w="205" w:type="pct"/>
            <w:shd w:val="clear" w:color="auto" w:fill="auto"/>
          </w:tcPr>
          <w:p w14:paraId="3E4F6037" w14:textId="77777777" w:rsidR="003E6878" w:rsidRPr="002243E1" w:rsidRDefault="003E6878" w:rsidP="00B55453">
            <w:pPr>
              <w:rPr>
                <w:rFonts w:asciiTheme="majorHAnsi" w:hAnsiTheme="majorHAnsi"/>
                <w:sz w:val="18"/>
                <w:szCs w:val="18"/>
              </w:rPr>
            </w:pPr>
          </w:p>
        </w:tc>
        <w:tc>
          <w:tcPr>
            <w:tcW w:w="205" w:type="pct"/>
            <w:shd w:val="clear" w:color="auto" w:fill="auto"/>
          </w:tcPr>
          <w:p w14:paraId="062AE4DE" w14:textId="77777777" w:rsidR="003E6878" w:rsidRPr="002243E1" w:rsidRDefault="003E6878" w:rsidP="00B55453">
            <w:pPr>
              <w:rPr>
                <w:rFonts w:asciiTheme="majorHAnsi" w:hAnsiTheme="majorHAnsi"/>
                <w:sz w:val="18"/>
                <w:szCs w:val="18"/>
              </w:rPr>
            </w:pPr>
          </w:p>
        </w:tc>
        <w:tc>
          <w:tcPr>
            <w:tcW w:w="205" w:type="pct"/>
            <w:shd w:val="clear" w:color="auto" w:fill="auto"/>
          </w:tcPr>
          <w:p w14:paraId="369AC5AE" w14:textId="77777777" w:rsidR="003E6878" w:rsidRPr="002243E1" w:rsidRDefault="003E6878" w:rsidP="00B55453">
            <w:pPr>
              <w:rPr>
                <w:rFonts w:asciiTheme="majorHAnsi" w:hAnsiTheme="majorHAnsi"/>
                <w:sz w:val="18"/>
                <w:szCs w:val="18"/>
              </w:rPr>
            </w:pPr>
          </w:p>
        </w:tc>
      </w:tr>
      <w:tr w:rsidR="003E6878" w:rsidRPr="002243E1" w14:paraId="01DEB9E0" w14:textId="77777777" w:rsidTr="004622EC">
        <w:tc>
          <w:tcPr>
            <w:tcW w:w="485" w:type="pct"/>
            <w:shd w:val="clear" w:color="auto" w:fill="auto"/>
          </w:tcPr>
          <w:p w14:paraId="5E4ADF66" w14:textId="77777777" w:rsidR="003E6878" w:rsidRPr="002243E1" w:rsidRDefault="003E6878" w:rsidP="003E6878">
            <w:pPr>
              <w:rPr>
                <w:rFonts w:asciiTheme="majorHAnsi" w:hAnsiTheme="majorHAnsi"/>
                <w:sz w:val="18"/>
                <w:szCs w:val="18"/>
              </w:rPr>
            </w:pPr>
            <w:r w:rsidRPr="002243E1">
              <w:rPr>
                <w:rFonts w:asciiTheme="majorHAnsi" w:hAnsiTheme="majorHAnsi" w:cs="Arial"/>
                <w:sz w:val="18"/>
                <w:szCs w:val="18"/>
                <w:lang w:val="en-GB"/>
              </w:rPr>
              <w:t>Activity 3.1.2</w:t>
            </w:r>
          </w:p>
        </w:tc>
        <w:tc>
          <w:tcPr>
            <w:tcW w:w="424" w:type="pct"/>
            <w:vMerge/>
            <w:shd w:val="clear" w:color="auto" w:fill="auto"/>
          </w:tcPr>
          <w:p w14:paraId="796946C9" w14:textId="77777777" w:rsidR="003E6878" w:rsidRPr="002243E1" w:rsidRDefault="003E6878" w:rsidP="002243E1">
            <w:pPr>
              <w:rPr>
                <w:rFonts w:asciiTheme="majorHAnsi" w:hAnsiTheme="majorHAnsi"/>
                <w:sz w:val="18"/>
                <w:szCs w:val="18"/>
              </w:rPr>
            </w:pPr>
          </w:p>
        </w:tc>
        <w:tc>
          <w:tcPr>
            <w:tcW w:w="190" w:type="pct"/>
            <w:shd w:val="clear" w:color="auto" w:fill="auto"/>
          </w:tcPr>
          <w:p w14:paraId="56CD7B17" w14:textId="77777777" w:rsidR="003E6878" w:rsidRPr="002243E1" w:rsidRDefault="003E6878" w:rsidP="00B55453">
            <w:pPr>
              <w:rPr>
                <w:rFonts w:asciiTheme="majorHAnsi" w:hAnsiTheme="majorHAnsi"/>
                <w:sz w:val="18"/>
                <w:szCs w:val="18"/>
              </w:rPr>
            </w:pPr>
          </w:p>
        </w:tc>
        <w:tc>
          <w:tcPr>
            <w:tcW w:w="219" w:type="pct"/>
            <w:shd w:val="clear" w:color="auto" w:fill="auto"/>
          </w:tcPr>
          <w:p w14:paraId="23F7F4C1" w14:textId="77777777" w:rsidR="003E6878" w:rsidRPr="002243E1" w:rsidRDefault="003E6878" w:rsidP="00B55453">
            <w:pPr>
              <w:rPr>
                <w:rFonts w:asciiTheme="majorHAnsi" w:hAnsiTheme="majorHAnsi"/>
                <w:sz w:val="18"/>
                <w:szCs w:val="18"/>
              </w:rPr>
            </w:pPr>
          </w:p>
        </w:tc>
        <w:tc>
          <w:tcPr>
            <w:tcW w:w="205" w:type="pct"/>
            <w:shd w:val="clear" w:color="auto" w:fill="auto"/>
          </w:tcPr>
          <w:p w14:paraId="7A7549F4" w14:textId="77777777" w:rsidR="003E6878" w:rsidRPr="002243E1" w:rsidRDefault="003E6878" w:rsidP="00B55453">
            <w:pPr>
              <w:rPr>
                <w:rFonts w:asciiTheme="majorHAnsi" w:hAnsiTheme="majorHAnsi"/>
                <w:sz w:val="18"/>
                <w:szCs w:val="18"/>
              </w:rPr>
            </w:pPr>
          </w:p>
        </w:tc>
        <w:tc>
          <w:tcPr>
            <w:tcW w:w="205" w:type="pct"/>
            <w:shd w:val="clear" w:color="auto" w:fill="auto"/>
          </w:tcPr>
          <w:p w14:paraId="00A31E8A" w14:textId="77777777" w:rsidR="003E6878" w:rsidRPr="002243E1" w:rsidRDefault="003E6878" w:rsidP="00B55453">
            <w:pPr>
              <w:rPr>
                <w:rFonts w:asciiTheme="majorHAnsi" w:hAnsiTheme="majorHAnsi"/>
                <w:sz w:val="18"/>
                <w:szCs w:val="18"/>
              </w:rPr>
            </w:pPr>
          </w:p>
        </w:tc>
        <w:tc>
          <w:tcPr>
            <w:tcW w:w="205" w:type="pct"/>
            <w:shd w:val="clear" w:color="auto" w:fill="auto"/>
          </w:tcPr>
          <w:p w14:paraId="0CD74238" w14:textId="77777777" w:rsidR="003E6878" w:rsidRPr="002243E1" w:rsidRDefault="003E6878" w:rsidP="00B55453">
            <w:pPr>
              <w:rPr>
                <w:rFonts w:asciiTheme="majorHAnsi" w:hAnsiTheme="majorHAnsi"/>
                <w:sz w:val="18"/>
                <w:szCs w:val="18"/>
              </w:rPr>
            </w:pPr>
          </w:p>
        </w:tc>
        <w:tc>
          <w:tcPr>
            <w:tcW w:w="205" w:type="pct"/>
            <w:shd w:val="clear" w:color="auto" w:fill="auto"/>
          </w:tcPr>
          <w:p w14:paraId="391406A8"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05035BB"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02A2F3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D62E4A4" w14:textId="77777777" w:rsidR="003E6878" w:rsidRPr="002243E1" w:rsidRDefault="003E6878" w:rsidP="00B55453">
            <w:pPr>
              <w:rPr>
                <w:rFonts w:asciiTheme="majorHAnsi" w:hAnsiTheme="majorHAnsi"/>
                <w:sz w:val="18"/>
                <w:szCs w:val="18"/>
              </w:rPr>
            </w:pPr>
          </w:p>
        </w:tc>
        <w:tc>
          <w:tcPr>
            <w:tcW w:w="205" w:type="pct"/>
            <w:shd w:val="clear" w:color="auto" w:fill="auto"/>
          </w:tcPr>
          <w:p w14:paraId="35EA4B3C" w14:textId="77777777" w:rsidR="003E6878" w:rsidRPr="002243E1" w:rsidRDefault="003E6878" w:rsidP="00B55453">
            <w:pPr>
              <w:rPr>
                <w:rFonts w:asciiTheme="majorHAnsi" w:hAnsiTheme="majorHAnsi"/>
                <w:sz w:val="18"/>
                <w:szCs w:val="18"/>
              </w:rPr>
            </w:pPr>
          </w:p>
        </w:tc>
        <w:tc>
          <w:tcPr>
            <w:tcW w:w="205" w:type="pct"/>
            <w:shd w:val="clear" w:color="auto" w:fill="auto"/>
          </w:tcPr>
          <w:p w14:paraId="78550699" w14:textId="77777777" w:rsidR="003E6878" w:rsidRPr="002243E1" w:rsidRDefault="003E6878" w:rsidP="00B55453">
            <w:pPr>
              <w:rPr>
                <w:rFonts w:asciiTheme="majorHAnsi" w:hAnsiTheme="majorHAnsi"/>
                <w:sz w:val="18"/>
                <w:szCs w:val="18"/>
              </w:rPr>
            </w:pPr>
          </w:p>
        </w:tc>
        <w:tc>
          <w:tcPr>
            <w:tcW w:w="205" w:type="pct"/>
            <w:shd w:val="clear" w:color="auto" w:fill="auto"/>
          </w:tcPr>
          <w:p w14:paraId="70EB188F" w14:textId="77777777" w:rsidR="003E6878" w:rsidRPr="002243E1" w:rsidRDefault="003E6878" w:rsidP="00B55453">
            <w:pPr>
              <w:rPr>
                <w:rFonts w:asciiTheme="majorHAnsi" w:hAnsiTheme="majorHAnsi"/>
                <w:sz w:val="18"/>
                <w:szCs w:val="18"/>
              </w:rPr>
            </w:pPr>
          </w:p>
        </w:tc>
        <w:tc>
          <w:tcPr>
            <w:tcW w:w="205" w:type="pct"/>
            <w:shd w:val="clear" w:color="auto" w:fill="auto"/>
          </w:tcPr>
          <w:p w14:paraId="061A2542" w14:textId="77777777" w:rsidR="003E6878" w:rsidRPr="002243E1" w:rsidRDefault="003E6878" w:rsidP="00B55453">
            <w:pPr>
              <w:rPr>
                <w:rFonts w:asciiTheme="majorHAnsi" w:hAnsiTheme="majorHAnsi"/>
                <w:sz w:val="18"/>
                <w:szCs w:val="18"/>
              </w:rPr>
            </w:pPr>
          </w:p>
        </w:tc>
        <w:tc>
          <w:tcPr>
            <w:tcW w:w="205" w:type="pct"/>
            <w:shd w:val="clear" w:color="auto" w:fill="auto"/>
          </w:tcPr>
          <w:p w14:paraId="3413F978" w14:textId="77777777" w:rsidR="003E6878" w:rsidRPr="002243E1" w:rsidRDefault="003E6878" w:rsidP="00B55453">
            <w:pPr>
              <w:rPr>
                <w:rFonts w:asciiTheme="majorHAnsi" w:hAnsiTheme="majorHAnsi"/>
                <w:sz w:val="18"/>
                <w:szCs w:val="18"/>
              </w:rPr>
            </w:pPr>
          </w:p>
        </w:tc>
        <w:tc>
          <w:tcPr>
            <w:tcW w:w="205" w:type="pct"/>
            <w:shd w:val="clear" w:color="auto" w:fill="auto"/>
          </w:tcPr>
          <w:p w14:paraId="7D5635AD" w14:textId="77777777" w:rsidR="003E6878" w:rsidRPr="002243E1" w:rsidRDefault="003E6878" w:rsidP="00B55453">
            <w:pPr>
              <w:rPr>
                <w:rFonts w:asciiTheme="majorHAnsi" w:hAnsiTheme="majorHAnsi"/>
                <w:sz w:val="18"/>
                <w:szCs w:val="18"/>
              </w:rPr>
            </w:pPr>
          </w:p>
        </w:tc>
        <w:tc>
          <w:tcPr>
            <w:tcW w:w="205" w:type="pct"/>
            <w:shd w:val="clear" w:color="auto" w:fill="auto"/>
          </w:tcPr>
          <w:p w14:paraId="6F5619D1" w14:textId="77777777" w:rsidR="003E6878" w:rsidRPr="002243E1" w:rsidRDefault="003E6878" w:rsidP="00B55453">
            <w:pPr>
              <w:rPr>
                <w:rFonts w:asciiTheme="majorHAnsi" w:hAnsiTheme="majorHAnsi"/>
                <w:sz w:val="18"/>
                <w:szCs w:val="18"/>
              </w:rPr>
            </w:pPr>
          </w:p>
        </w:tc>
        <w:tc>
          <w:tcPr>
            <w:tcW w:w="205" w:type="pct"/>
            <w:shd w:val="clear" w:color="auto" w:fill="auto"/>
          </w:tcPr>
          <w:p w14:paraId="55295D63" w14:textId="77777777" w:rsidR="003E6878" w:rsidRPr="002243E1" w:rsidRDefault="003E6878" w:rsidP="00B55453">
            <w:pPr>
              <w:rPr>
                <w:rFonts w:asciiTheme="majorHAnsi" w:hAnsiTheme="majorHAnsi"/>
                <w:sz w:val="18"/>
                <w:szCs w:val="18"/>
              </w:rPr>
            </w:pPr>
          </w:p>
        </w:tc>
        <w:tc>
          <w:tcPr>
            <w:tcW w:w="205" w:type="pct"/>
            <w:shd w:val="clear" w:color="auto" w:fill="auto"/>
          </w:tcPr>
          <w:p w14:paraId="2EF07F8C" w14:textId="77777777" w:rsidR="003E6878" w:rsidRPr="002243E1" w:rsidRDefault="003E6878" w:rsidP="00B55453">
            <w:pPr>
              <w:rPr>
                <w:rFonts w:asciiTheme="majorHAnsi" w:hAnsiTheme="majorHAnsi"/>
                <w:sz w:val="18"/>
                <w:szCs w:val="18"/>
              </w:rPr>
            </w:pPr>
          </w:p>
        </w:tc>
        <w:tc>
          <w:tcPr>
            <w:tcW w:w="205" w:type="pct"/>
            <w:shd w:val="clear" w:color="auto" w:fill="auto"/>
          </w:tcPr>
          <w:p w14:paraId="5B59FCDE" w14:textId="77777777" w:rsidR="003E6878" w:rsidRPr="002243E1" w:rsidRDefault="003E6878" w:rsidP="00B55453">
            <w:pPr>
              <w:rPr>
                <w:rFonts w:asciiTheme="majorHAnsi" w:hAnsiTheme="majorHAnsi"/>
                <w:sz w:val="18"/>
                <w:szCs w:val="18"/>
              </w:rPr>
            </w:pPr>
          </w:p>
        </w:tc>
        <w:tc>
          <w:tcPr>
            <w:tcW w:w="205" w:type="pct"/>
            <w:shd w:val="clear" w:color="auto" w:fill="auto"/>
          </w:tcPr>
          <w:p w14:paraId="2646B6C7" w14:textId="77777777" w:rsidR="003E6878" w:rsidRPr="002243E1" w:rsidRDefault="003E6878" w:rsidP="00B55453">
            <w:pPr>
              <w:rPr>
                <w:rFonts w:asciiTheme="majorHAnsi" w:hAnsiTheme="majorHAnsi"/>
                <w:sz w:val="18"/>
                <w:szCs w:val="18"/>
              </w:rPr>
            </w:pPr>
          </w:p>
        </w:tc>
      </w:tr>
      <w:tr w:rsidR="003E6878" w:rsidRPr="002243E1" w14:paraId="6F3D223F" w14:textId="77777777" w:rsidTr="004622EC">
        <w:tc>
          <w:tcPr>
            <w:tcW w:w="485" w:type="pct"/>
            <w:shd w:val="clear" w:color="auto" w:fill="auto"/>
          </w:tcPr>
          <w:p w14:paraId="588D8816" w14:textId="77777777" w:rsidR="003E6878" w:rsidRPr="002243E1" w:rsidRDefault="003E6878" w:rsidP="003E6878">
            <w:pPr>
              <w:rPr>
                <w:rFonts w:asciiTheme="majorHAnsi" w:hAnsiTheme="majorHAnsi"/>
                <w:sz w:val="18"/>
                <w:szCs w:val="18"/>
              </w:rPr>
            </w:pPr>
            <w:r w:rsidRPr="002243E1">
              <w:rPr>
                <w:rFonts w:asciiTheme="majorHAnsi" w:hAnsiTheme="majorHAnsi" w:cs="Arial"/>
                <w:sz w:val="18"/>
                <w:szCs w:val="18"/>
                <w:lang w:val="en-GB"/>
              </w:rPr>
              <w:t>Activity 3.1.3</w:t>
            </w:r>
          </w:p>
        </w:tc>
        <w:tc>
          <w:tcPr>
            <w:tcW w:w="424" w:type="pct"/>
            <w:vMerge/>
            <w:shd w:val="clear" w:color="auto" w:fill="auto"/>
          </w:tcPr>
          <w:p w14:paraId="48AA994C" w14:textId="77777777" w:rsidR="003E6878" w:rsidRPr="002243E1" w:rsidRDefault="003E6878" w:rsidP="002243E1">
            <w:pPr>
              <w:rPr>
                <w:rFonts w:asciiTheme="majorHAnsi" w:hAnsiTheme="majorHAnsi"/>
                <w:sz w:val="18"/>
                <w:szCs w:val="18"/>
              </w:rPr>
            </w:pPr>
          </w:p>
        </w:tc>
        <w:tc>
          <w:tcPr>
            <w:tcW w:w="190" w:type="pct"/>
            <w:shd w:val="clear" w:color="auto" w:fill="auto"/>
          </w:tcPr>
          <w:p w14:paraId="53C7D944" w14:textId="77777777" w:rsidR="003E6878" w:rsidRPr="002243E1" w:rsidRDefault="003E6878" w:rsidP="00B55453">
            <w:pPr>
              <w:rPr>
                <w:rFonts w:asciiTheme="majorHAnsi" w:hAnsiTheme="majorHAnsi"/>
                <w:sz w:val="18"/>
                <w:szCs w:val="18"/>
              </w:rPr>
            </w:pPr>
          </w:p>
        </w:tc>
        <w:tc>
          <w:tcPr>
            <w:tcW w:w="219" w:type="pct"/>
            <w:shd w:val="clear" w:color="auto" w:fill="auto"/>
          </w:tcPr>
          <w:p w14:paraId="34E6EBAE" w14:textId="77777777" w:rsidR="003E6878" w:rsidRPr="002243E1" w:rsidRDefault="003E6878" w:rsidP="00B55453">
            <w:pPr>
              <w:rPr>
                <w:rFonts w:asciiTheme="majorHAnsi" w:hAnsiTheme="majorHAnsi"/>
                <w:sz w:val="18"/>
                <w:szCs w:val="18"/>
              </w:rPr>
            </w:pPr>
          </w:p>
        </w:tc>
        <w:tc>
          <w:tcPr>
            <w:tcW w:w="205" w:type="pct"/>
            <w:shd w:val="clear" w:color="auto" w:fill="auto"/>
          </w:tcPr>
          <w:p w14:paraId="19EC5438" w14:textId="77777777" w:rsidR="003E6878" w:rsidRPr="002243E1" w:rsidRDefault="003E6878" w:rsidP="00B55453">
            <w:pPr>
              <w:rPr>
                <w:rFonts w:asciiTheme="majorHAnsi" w:hAnsiTheme="majorHAnsi"/>
                <w:sz w:val="18"/>
                <w:szCs w:val="18"/>
              </w:rPr>
            </w:pPr>
          </w:p>
        </w:tc>
        <w:tc>
          <w:tcPr>
            <w:tcW w:w="205" w:type="pct"/>
            <w:shd w:val="clear" w:color="auto" w:fill="auto"/>
          </w:tcPr>
          <w:p w14:paraId="1A67B24D" w14:textId="77777777" w:rsidR="003E6878" w:rsidRPr="002243E1" w:rsidRDefault="003E6878" w:rsidP="00B55453">
            <w:pPr>
              <w:rPr>
                <w:rFonts w:asciiTheme="majorHAnsi" w:hAnsiTheme="majorHAnsi"/>
                <w:sz w:val="18"/>
                <w:szCs w:val="18"/>
              </w:rPr>
            </w:pPr>
          </w:p>
        </w:tc>
        <w:tc>
          <w:tcPr>
            <w:tcW w:w="205" w:type="pct"/>
            <w:shd w:val="clear" w:color="auto" w:fill="auto"/>
          </w:tcPr>
          <w:p w14:paraId="172FF22A" w14:textId="77777777" w:rsidR="003E6878" w:rsidRPr="002243E1" w:rsidRDefault="003E6878" w:rsidP="00B55453">
            <w:pPr>
              <w:rPr>
                <w:rFonts w:asciiTheme="majorHAnsi" w:hAnsiTheme="majorHAnsi"/>
                <w:sz w:val="18"/>
                <w:szCs w:val="18"/>
              </w:rPr>
            </w:pPr>
          </w:p>
        </w:tc>
        <w:tc>
          <w:tcPr>
            <w:tcW w:w="205" w:type="pct"/>
            <w:shd w:val="clear" w:color="auto" w:fill="auto"/>
          </w:tcPr>
          <w:p w14:paraId="256A05F5"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F735387"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65865D8"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847D66C" w14:textId="77777777" w:rsidR="003E6878" w:rsidRPr="002243E1" w:rsidRDefault="003E6878" w:rsidP="00B55453">
            <w:pPr>
              <w:rPr>
                <w:rFonts w:asciiTheme="majorHAnsi" w:hAnsiTheme="majorHAnsi"/>
                <w:sz w:val="18"/>
                <w:szCs w:val="18"/>
              </w:rPr>
            </w:pPr>
          </w:p>
        </w:tc>
        <w:tc>
          <w:tcPr>
            <w:tcW w:w="205" w:type="pct"/>
            <w:shd w:val="clear" w:color="auto" w:fill="auto"/>
          </w:tcPr>
          <w:p w14:paraId="76F9EDF5" w14:textId="77777777" w:rsidR="003E6878" w:rsidRPr="002243E1" w:rsidRDefault="003E6878" w:rsidP="00B55453">
            <w:pPr>
              <w:rPr>
                <w:rFonts w:asciiTheme="majorHAnsi" w:hAnsiTheme="majorHAnsi"/>
                <w:sz w:val="18"/>
                <w:szCs w:val="18"/>
              </w:rPr>
            </w:pPr>
          </w:p>
        </w:tc>
        <w:tc>
          <w:tcPr>
            <w:tcW w:w="205" w:type="pct"/>
            <w:shd w:val="clear" w:color="auto" w:fill="auto"/>
          </w:tcPr>
          <w:p w14:paraId="6D2AD29A" w14:textId="77777777" w:rsidR="003E6878" w:rsidRPr="002243E1" w:rsidRDefault="003E6878" w:rsidP="00B55453">
            <w:pPr>
              <w:rPr>
                <w:rFonts w:asciiTheme="majorHAnsi" w:hAnsiTheme="majorHAnsi"/>
                <w:sz w:val="18"/>
                <w:szCs w:val="18"/>
              </w:rPr>
            </w:pPr>
          </w:p>
        </w:tc>
        <w:tc>
          <w:tcPr>
            <w:tcW w:w="205" w:type="pct"/>
            <w:shd w:val="clear" w:color="auto" w:fill="auto"/>
          </w:tcPr>
          <w:p w14:paraId="1EDE4EDD" w14:textId="77777777" w:rsidR="003E6878" w:rsidRPr="002243E1" w:rsidRDefault="003E6878" w:rsidP="00B55453">
            <w:pPr>
              <w:rPr>
                <w:rFonts w:asciiTheme="majorHAnsi" w:hAnsiTheme="majorHAnsi"/>
                <w:sz w:val="18"/>
                <w:szCs w:val="18"/>
              </w:rPr>
            </w:pPr>
          </w:p>
        </w:tc>
        <w:tc>
          <w:tcPr>
            <w:tcW w:w="205" w:type="pct"/>
            <w:shd w:val="clear" w:color="auto" w:fill="auto"/>
          </w:tcPr>
          <w:p w14:paraId="518443EF" w14:textId="77777777" w:rsidR="003E6878" w:rsidRPr="002243E1" w:rsidRDefault="003E6878" w:rsidP="00B55453">
            <w:pPr>
              <w:rPr>
                <w:rFonts w:asciiTheme="majorHAnsi" w:hAnsiTheme="majorHAnsi"/>
                <w:sz w:val="18"/>
                <w:szCs w:val="18"/>
              </w:rPr>
            </w:pPr>
          </w:p>
        </w:tc>
        <w:tc>
          <w:tcPr>
            <w:tcW w:w="205" w:type="pct"/>
            <w:shd w:val="clear" w:color="auto" w:fill="auto"/>
          </w:tcPr>
          <w:p w14:paraId="5A2F04E2" w14:textId="77777777" w:rsidR="003E6878" w:rsidRPr="002243E1" w:rsidRDefault="003E6878" w:rsidP="00B55453">
            <w:pPr>
              <w:rPr>
                <w:rFonts w:asciiTheme="majorHAnsi" w:hAnsiTheme="majorHAnsi"/>
                <w:sz w:val="18"/>
                <w:szCs w:val="18"/>
              </w:rPr>
            </w:pPr>
          </w:p>
        </w:tc>
        <w:tc>
          <w:tcPr>
            <w:tcW w:w="205" w:type="pct"/>
            <w:shd w:val="clear" w:color="auto" w:fill="auto"/>
          </w:tcPr>
          <w:p w14:paraId="58DB42DE" w14:textId="77777777" w:rsidR="003E6878" w:rsidRPr="002243E1" w:rsidRDefault="003E6878" w:rsidP="00B55453">
            <w:pPr>
              <w:rPr>
                <w:rFonts w:asciiTheme="majorHAnsi" w:hAnsiTheme="majorHAnsi"/>
                <w:sz w:val="18"/>
                <w:szCs w:val="18"/>
              </w:rPr>
            </w:pPr>
          </w:p>
        </w:tc>
        <w:tc>
          <w:tcPr>
            <w:tcW w:w="205" w:type="pct"/>
            <w:shd w:val="clear" w:color="auto" w:fill="auto"/>
          </w:tcPr>
          <w:p w14:paraId="6EA126A5" w14:textId="77777777" w:rsidR="003E6878" w:rsidRPr="002243E1" w:rsidRDefault="003E6878" w:rsidP="00B55453">
            <w:pPr>
              <w:rPr>
                <w:rFonts w:asciiTheme="majorHAnsi" w:hAnsiTheme="majorHAnsi"/>
                <w:sz w:val="18"/>
                <w:szCs w:val="18"/>
              </w:rPr>
            </w:pPr>
          </w:p>
        </w:tc>
        <w:tc>
          <w:tcPr>
            <w:tcW w:w="205" w:type="pct"/>
            <w:shd w:val="clear" w:color="auto" w:fill="auto"/>
          </w:tcPr>
          <w:p w14:paraId="37548CA4" w14:textId="77777777" w:rsidR="003E6878" w:rsidRPr="002243E1" w:rsidRDefault="003E6878" w:rsidP="00B55453">
            <w:pPr>
              <w:rPr>
                <w:rFonts w:asciiTheme="majorHAnsi" w:hAnsiTheme="majorHAnsi"/>
                <w:sz w:val="18"/>
                <w:szCs w:val="18"/>
              </w:rPr>
            </w:pPr>
          </w:p>
        </w:tc>
        <w:tc>
          <w:tcPr>
            <w:tcW w:w="205" w:type="pct"/>
            <w:shd w:val="clear" w:color="auto" w:fill="auto"/>
          </w:tcPr>
          <w:p w14:paraId="41A43D6E" w14:textId="77777777" w:rsidR="003E6878" w:rsidRPr="002243E1" w:rsidRDefault="003E6878" w:rsidP="00B55453">
            <w:pPr>
              <w:rPr>
                <w:rFonts w:asciiTheme="majorHAnsi" w:hAnsiTheme="majorHAnsi"/>
                <w:sz w:val="18"/>
                <w:szCs w:val="18"/>
              </w:rPr>
            </w:pPr>
          </w:p>
        </w:tc>
        <w:tc>
          <w:tcPr>
            <w:tcW w:w="205" w:type="pct"/>
            <w:shd w:val="clear" w:color="auto" w:fill="auto"/>
          </w:tcPr>
          <w:p w14:paraId="54D5743C" w14:textId="77777777" w:rsidR="003E6878" w:rsidRPr="002243E1" w:rsidRDefault="003E6878" w:rsidP="00B55453">
            <w:pPr>
              <w:rPr>
                <w:rFonts w:asciiTheme="majorHAnsi" w:hAnsiTheme="majorHAnsi"/>
                <w:sz w:val="18"/>
                <w:szCs w:val="18"/>
              </w:rPr>
            </w:pPr>
          </w:p>
        </w:tc>
        <w:tc>
          <w:tcPr>
            <w:tcW w:w="205" w:type="pct"/>
            <w:shd w:val="clear" w:color="auto" w:fill="auto"/>
          </w:tcPr>
          <w:p w14:paraId="1BD90262" w14:textId="77777777" w:rsidR="003E6878" w:rsidRPr="002243E1" w:rsidRDefault="003E6878" w:rsidP="00B55453">
            <w:pPr>
              <w:rPr>
                <w:rFonts w:asciiTheme="majorHAnsi" w:hAnsiTheme="majorHAnsi"/>
                <w:sz w:val="18"/>
                <w:szCs w:val="18"/>
              </w:rPr>
            </w:pPr>
          </w:p>
        </w:tc>
      </w:tr>
      <w:tr w:rsidR="003E6878" w:rsidRPr="002243E1" w14:paraId="55E05F4B" w14:textId="77777777" w:rsidTr="004622EC">
        <w:tc>
          <w:tcPr>
            <w:tcW w:w="485" w:type="pct"/>
            <w:shd w:val="clear" w:color="auto" w:fill="auto"/>
          </w:tcPr>
          <w:p w14:paraId="1757B104" w14:textId="77777777" w:rsidR="003E6878" w:rsidRPr="002243E1" w:rsidRDefault="003E6878" w:rsidP="003E6878">
            <w:pPr>
              <w:rPr>
                <w:rFonts w:asciiTheme="majorHAnsi" w:hAnsiTheme="majorHAnsi"/>
                <w:sz w:val="18"/>
                <w:szCs w:val="18"/>
              </w:rPr>
            </w:pPr>
            <w:r w:rsidRPr="002243E1">
              <w:rPr>
                <w:rFonts w:asciiTheme="majorHAnsi" w:hAnsiTheme="majorHAnsi" w:cs="Arial"/>
                <w:sz w:val="18"/>
                <w:szCs w:val="18"/>
                <w:lang w:val="en-GB"/>
              </w:rPr>
              <w:t>Activity 3.1.4</w:t>
            </w:r>
          </w:p>
        </w:tc>
        <w:tc>
          <w:tcPr>
            <w:tcW w:w="424" w:type="pct"/>
            <w:vMerge/>
            <w:shd w:val="clear" w:color="auto" w:fill="auto"/>
          </w:tcPr>
          <w:p w14:paraId="1A2EB01C" w14:textId="77777777" w:rsidR="003E6878" w:rsidRPr="002243E1" w:rsidRDefault="003E6878" w:rsidP="002243E1">
            <w:pPr>
              <w:rPr>
                <w:rFonts w:asciiTheme="majorHAnsi" w:hAnsiTheme="majorHAnsi"/>
                <w:sz w:val="18"/>
                <w:szCs w:val="18"/>
              </w:rPr>
            </w:pPr>
          </w:p>
        </w:tc>
        <w:tc>
          <w:tcPr>
            <w:tcW w:w="190" w:type="pct"/>
            <w:shd w:val="clear" w:color="auto" w:fill="auto"/>
          </w:tcPr>
          <w:p w14:paraId="0C26EADB" w14:textId="77777777" w:rsidR="003E6878" w:rsidRPr="002243E1" w:rsidRDefault="003E6878" w:rsidP="00B55453">
            <w:pPr>
              <w:rPr>
                <w:rFonts w:asciiTheme="majorHAnsi" w:hAnsiTheme="majorHAnsi"/>
                <w:sz w:val="18"/>
                <w:szCs w:val="18"/>
              </w:rPr>
            </w:pPr>
          </w:p>
        </w:tc>
        <w:tc>
          <w:tcPr>
            <w:tcW w:w="219" w:type="pct"/>
            <w:shd w:val="clear" w:color="auto" w:fill="auto"/>
          </w:tcPr>
          <w:p w14:paraId="4C0C8E60" w14:textId="77777777" w:rsidR="003E6878" w:rsidRPr="002243E1" w:rsidRDefault="003E6878" w:rsidP="00B55453">
            <w:pPr>
              <w:rPr>
                <w:rFonts w:asciiTheme="majorHAnsi" w:hAnsiTheme="majorHAnsi"/>
                <w:sz w:val="18"/>
                <w:szCs w:val="18"/>
              </w:rPr>
            </w:pPr>
          </w:p>
        </w:tc>
        <w:tc>
          <w:tcPr>
            <w:tcW w:w="205" w:type="pct"/>
            <w:shd w:val="clear" w:color="auto" w:fill="auto"/>
          </w:tcPr>
          <w:p w14:paraId="18BEE945" w14:textId="77777777" w:rsidR="003E6878" w:rsidRPr="002243E1" w:rsidRDefault="003E6878" w:rsidP="00B55453">
            <w:pPr>
              <w:rPr>
                <w:rFonts w:asciiTheme="majorHAnsi" w:hAnsiTheme="majorHAnsi"/>
                <w:sz w:val="18"/>
                <w:szCs w:val="18"/>
              </w:rPr>
            </w:pPr>
          </w:p>
        </w:tc>
        <w:tc>
          <w:tcPr>
            <w:tcW w:w="205" w:type="pct"/>
            <w:shd w:val="clear" w:color="auto" w:fill="auto"/>
          </w:tcPr>
          <w:p w14:paraId="6F07C139" w14:textId="77777777" w:rsidR="003E6878" w:rsidRPr="002243E1" w:rsidRDefault="003E6878" w:rsidP="00B55453">
            <w:pPr>
              <w:rPr>
                <w:rFonts w:asciiTheme="majorHAnsi" w:hAnsiTheme="majorHAnsi"/>
                <w:sz w:val="18"/>
                <w:szCs w:val="18"/>
              </w:rPr>
            </w:pPr>
          </w:p>
        </w:tc>
        <w:tc>
          <w:tcPr>
            <w:tcW w:w="205" w:type="pct"/>
            <w:shd w:val="clear" w:color="auto" w:fill="auto"/>
          </w:tcPr>
          <w:p w14:paraId="178C9AA6" w14:textId="77777777" w:rsidR="003E6878" w:rsidRPr="002243E1" w:rsidRDefault="003E6878" w:rsidP="00B55453">
            <w:pPr>
              <w:rPr>
                <w:rFonts w:asciiTheme="majorHAnsi" w:hAnsiTheme="majorHAnsi"/>
                <w:sz w:val="18"/>
                <w:szCs w:val="18"/>
              </w:rPr>
            </w:pPr>
          </w:p>
        </w:tc>
        <w:tc>
          <w:tcPr>
            <w:tcW w:w="205" w:type="pct"/>
            <w:shd w:val="clear" w:color="auto" w:fill="auto"/>
          </w:tcPr>
          <w:p w14:paraId="08159E5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068F0E9"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4EEEB0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CBBDB04"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DCDF003" w14:textId="77777777" w:rsidR="003E6878" w:rsidRPr="002243E1" w:rsidRDefault="003E6878" w:rsidP="00B55453">
            <w:pPr>
              <w:rPr>
                <w:rFonts w:asciiTheme="majorHAnsi" w:hAnsiTheme="majorHAnsi"/>
                <w:sz w:val="18"/>
                <w:szCs w:val="18"/>
              </w:rPr>
            </w:pPr>
          </w:p>
        </w:tc>
        <w:tc>
          <w:tcPr>
            <w:tcW w:w="205" w:type="pct"/>
            <w:shd w:val="clear" w:color="auto" w:fill="auto"/>
          </w:tcPr>
          <w:p w14:paraId="207D687A" w14:textId="77777777" w:rsidR="003E6878" w:rsidRPr="002243E1" w:rsidRDefault="003E6878" w:rsidP="00B55453">
            <w:pPr>
              <w:rPr>
                <w:rFonts w:asciiTheme="majorHAnsi" w:hAnsiTheme="majorHAnsi"/>
                <w:sz w:val="18"/>
                <w:szCs w:val="18"/>
              </w:rPr>
            </w:pPr>
          </w:p>
        </w:tc>
        <w:tc>
          <w:tcPr>
            <w:tcW w:w="205" w:type="pct"/>
            <w:shd w:val="clear" w:color="auto" w:fill="auto"/>
          </w:tcPr>
          <w:p w14:paraId="061DCB71" w14:textId="77777777" w:rsidR="003E6878" w:rsidRPr="002243E1" w:rsidRDefault="003E6878" w:rsidP="00B55453">
            <w:pPr>
              <w:rPr>
                <w:rFonts w:asciiTheme="majorHAnsi" w:hAnsiTheme="majorHAnsi"/>
                <w:sz w:val="18"/>
                <w:szCs w:val="18"/>
              </w:rPr>
            </w:pPr>
          </w:p>
        </w:tc>
        <w:tc>
          <w:tcPr>
            <w:tcW w:w="205" w:type="pct"/>
            <w:shd w:val="clear" w:color="auto" w:fill="auto"/>
          </w:tcPr>
          <w:p w14:paraId="40126D97" w14:textId="77777777" w:rsidR="003E6878" w:rsidRPr="002243E1" w:rsidRDefault="003E6878" w:rsidP="00B55453">
            <w:pPr>
              <w:rPr>
                <w:rFonts w:asciiTheme="majorHAnsi" w:hAnsiTheme="majorHAnsi"/>
                <w:sz w:val="18"/>
                <w:szCs w:val="18"/>
              </w:rPr>
            </w:pPr>
          </w:p>
        </w:tc>
        <w:tc>
          <w:tcPr>
            <w:tcW w:w="205" w:type="pct"/>
            <w:shd w:val="clear" w:color="auto" w:fill="auto"/>
          </w:tcPr>
          <w:p w14:paraId="1E0314E5" w14:textId="77777777" w:rsidR="003E6878" w:rsidRPr="002243E1" w:rsidRDefault="003E6878" w:rsidP="00B55453">
            <w:pPr>
              <w:rPr>
                <w:rFonts w:asciiTheme="majorHAnsi" w:hAnsiTheme="majorHAnsi"/>
                <w:sz w:val="18"/>
                <w:szCs w:val="18"/>
              </w:rPr>
            </w:pPr>
          </w:p>
        </w:tc>
        <w:tc>
          <w:tcPr>
            <w:tcW w:w="205" w:type="pct"/>
            <w:shd w:val="clear" w:color="auto" w:fill="auto"/>
          </w:tcPr>
          <w:p w14:paraId="77456343" w14:textId="77777777" w:rsidR="003E6878" w:rsidRPr="002243E1" w:rsidRDefault="003E6878" w:rsidP="00B55453">
            <w:pPr>
              <w:rPr>
                <w:rFonts w:asciiTheme="majorHAnsi" w:hAnsiTheme="majorHAnsi"/>
                <w:sz w:val="18"/>
                <w:szCs w:val="18"/>
              </w:rPr>
            </w:pPr>
          </w:p>
        </w:tc>
        <w:tc>
          <w:tcPr>
            <w:tcW w:w="205" w:type="pct"/>
            <w:shd w:val="clear" w:color="auto" w:fill="auto"/>
          </w:tcPr>
          <w:p w14:paraId="3BFE0BE2" w14:textId="77777777" w:rsidR="003E6878" w:rsidRPr="002243E1" w:rsidRDefault="003E6878" w:rsidP="00B55453">
            <w:pPr>
              <w:rPr>
                <w:rFonts w:asciiTheme="majorHAnsi" w:hAnsiTheme="majorHAnsi"/>
                <w:sz w:val="18"/>
                <w:szCs w:val="18"/>
              </w:rPr>
            </w:pPr>
          </w:p>
        </w:tc>
        <w:tc>
          <w:tcPr>
            <w:tcW w:w="205" w:type="pct"/>
            <w:shd w:val="clear" w:color="auto" w:fill="auto"/>
          </w:tcPr>
          <w:p w14:paraId="1C1AB166" w14:textId="77777777" w:rsidR="003E6878" w:rsidRPr="002243E1" w:rsidRDefault="003E6878" w:rsidP="00B55453">
            <w:pPr>
              <w:rPr>
                <w:rFonts w:asciiTheme="majorHAnsi" w:hAnsiTheme="majorHAnsi"/>
                <w:sz w:val="18"/>
                <w:szCs w:val="18"/>
              </w:rPr>
            </w:pPr>
          </w:p>
        </w:tc>
        <w:tc>
          <w:tcPr>
            <w:tcW w:w="205" w:type="pct"/>
            <w:shd w:val="clear" w:color="auto" w:fill="auto"/>
          </w:tcPr>
          <w:p w14:paraId="471456CB" w14:textId="77777777" w:rsidR="003E6878" w:rsidRPr="002243E1" w:rsidRDefault="003E6878" w:rsidP="00B55453">
            <w:pPr>
              <w:rPr>
                <w:rFonts w:asciiTheme="majorHAnsi" w:hAnsiTheme="majorHAnsi"/>
                <w:sz w:val="18"/>
                <w:szCs w:val="18"/>
              </w:rPr>
            </w:pPr>
          </w:p>
        </w:tc>
        <w:tc>
          <w:tcPr>
            <w:tcW w:w="205" w:type="pct"/>
            <w:shd w:val="clear" w:color="auto" w:fill="auto"/>
          </w:tcPr>
          <w:p w14:paraId="7252812F" w14:textId="77777777" w:rsidR="003E6878" w:rsidRPr="002243E1" w:rsidRDefault="003E6878" w:rsidP="00B55453">
            <w:pPr>
              <w:rPr>
                <w:rFonts w:asciiTheme="majorHAnsi" w:hAnsiTheme="majorHAnsi"/>
                <w:sz w:val="18"/>
                <w:szCs w:val="18"/>
              </w:rPr>
            </w:pPr>
          </w:p>
        </w:tc>
        <w:tc>
          <w:tcPr>
            <w:tcW w:w="205" w:type="pct"/>
            <w:shd w:val="clear" w:color="auto" w:fill="auto"/>
          </w:tcPr>
          <w:p w14:paraId="6232E74D" w14:textId="77777777" w:rsidR="003E6878" w:rsidRPr="002243E1" w:rsidRDefault="003E6878" w:rsidP="00B55453">
            <w:pPr>
              <w:rPr>
                <w:rFonts w:asciiTheme="majorHAnsi" w:hAnsiTheme="majorHAnsi"/>
                <w:sz w:val="18"/>
                <w:szCs w:val="18"/>
              </w:rPr>
            </w:pPr>
          </w:p>
        </w:tc>
      </w:tr>
      <w:tr w:rsidR="00715B3D" w:rsidRPr="002243E1" w14:paraId="5277A69B" w14:textId="77777777" w:rsidTr="00621087">
        <w:tc>
          <w:tcPr>
            <w:tcW w:w="485" w:type="pct"/>
            <w:shd w:val="clear" w:color="auto" w:fill="auto"/>
          </w:tcPr>
          <w:p w14:paraId="1BB4B6C9" w14:textId="77777777" w:rsidR="003E6878" w:rsidRPr="002243E1" w:rsidRDefault="003E6878" w:rsidP="003E6878">
            <w:pPr>
              <w:rPr>
                <w:rFonts w:asciiTheme="majorHAnsi" w:hAnsiTheme="majorHAnsi" w:cs="Arial"/>
                <w:sz w:val="18"/>
                <w:szCs w:val="18"/>
                <w:lang w:val="en-GB"/>
              </w:rPr>
            </w:pPr>
            <w:r w:rsidRPr="002243E1">
              <w:rPr>
                <w:rFonts w:asciiTheme="majorHAnsi" w:hAnsiTheme="majorHAnsi" w:cs="Arial"/>
                <w:sz w:val="18"/>
                <w:szCs w:val="18"/>
                <w:lang w:val="en-GB"/>
              </w:rPr>
              <w:t>Activity 3.2.1</w:t>
            </w:r>
          </w:p>
        </w:tc>
        <w:tc>
          <w:tcPr>
            <w:tcW w:w="424" w:type="pct"/>
            <w:vMerge/>
            <w:shd w:val="clear" w:color="auto" w:fill="auto"/>
          </w:tcPr>
          <w:p w14:paraId="7ED4FE21" w14:textId="77777777" w:rsidR="003E6878" w:rsidRPr="002243E1" w:rsidRDefault="003E6878" w:rsidP="002243E1">
            <w:pPr>
              <w:rPr>
                <w:rFonts w:asciiTheme="majorHAnsi" w:hAnsiTheme="majorHAnsi"/>
                <w:sz w:val="18"/>
                <w:szCs w:val="18"/>
              </w:rPr>
            </w:pPr>
          </w:p>
        </w:tc>
        <w:tc>
          <w:tcPr>
            <w:tcW w:w="190" w:type="pct"/>
            <w:shd w:val="clear" w:color="auto" w:fill="9BBB59" w:themeFill="accent3"/>
          </w:tcPr>
          <w:p w14:paraId="4C263245" w14:textId="77777777" w:rsidR="003E6878" w:rsidRPr="002243E1" w:rsidRDefault="003E6878" w:rsidP="00B55453">
            <w:pPr>
              <w:rPr>
                <w:rFonts w:asciiTheme="majorHAnsi" w:hAnsiTheme="majorHAnsi"/>
                <w:sz w:val="18"/>
                <w:szCs w:val="18"/>
              </w:rPr>
            </w:pPr>
          </w:p>
        </w:tc>
        <w:tc>
          <w:tcPr>
            <w:tcW w:w="219" w:type="pct"/>
            <w:shd w:val="clear" w:color="auto" w:fill="9BBB59" w:themeFill="accent3"/>
          </w:tcPr>
          <w:p w14:paraId="70636BB0"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1272AF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6A8DCB0"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7272F4B"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54E248B"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1DCA93B"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9553A3D"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5A80F1A"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B582339"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F4C2630"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761C93F"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D722625"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F2E0C05"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48FE698"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F8E39B2"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E4851C3"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7754F21"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A695BB0"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6EF3957" w14:textId="77777777" w:rsidR="003E6878" w:rsidRPr="002243E1" w:rsidRDefault="003E6878" w:rsidP="00B55453">
            <w:pPr>
              <w:rPr>
                <w:rFonts w:asciiTheme="majorHAnsi" w:hAnsiTheme="majorHAnsi"/>
                <w:sz w:val="18"/>
                <w:szCs w:val="18"/>
              </w:rPr>
            </w:pPr>
          </w:p>
        </w:tc>
      </w:tr>
      <w:tr w:rsidR="00715B3D" w:rsidRPr="002243E1" w14:paraId="126465F6" w14:textId="77777777" w:rsidTr="00621087">
        <w:tc>
          <w:tcPr>
            <w:tcW w:w="485" w:type="pct"/>
            <w:shd w:val="clear" w:color="auto" w:fill="auto"/>
          </w:tcPr>
          <w:p w14:paraId="533F66A4" w14:textId="77777777" w:rsidR="003E6878" w:rsidRPr="002243E1" w:rsidRDefault="003E6878" w:rsidP="003E6878">
            <w:pPr>
              <w:rPr>
                <w:rFonts w:asciiTheme="majorHAnsi" w:hAnsiTheme="majorHAnsi" w:cs="Arial"/>
                <w:sz w:val="18"/>
                <w:szCs w:val="18"/>
                <w:lang w:val="en-GB"/>
              </w:rPr>
            </w:pPr>
            <w:r w:rsidRPr="002243E1">
              <w:rPr>
                <w:rFonts w:asciiTheme="majorHAnsi" w:hAnsiTheme="majorHAnsi" w:cs="Arial"/>
                <w:sz w:val="18"/>
                <w:szCs w:val="18"/>
                <w:lang w:val="en-GB"/>
              </w:rPr>
              <w:t>Activity 3.2.2</w:t>
            </w:r>
          </w:p>
        </w:tc>
        <w:tc>
          <w:tcPr>
            <w:tcW w:w="424" w:type="pct"/>
            <w:vMerge/>
            <w:shd w:val="clear" w:color="auto" w:fill="auto"/>
          </w:tcPr>
          <w:p w14:paraId="425195B8" w14:textId="77777777" w:rsidR="003E6878" w:rsidRPr="002243E1" w:rsidRDefault="003E6878" w:rsidP="002243E1">
            <w:pPr>
              <w:rPr>
                <w:rFonts w:asciiTheme="majorHAnsi" w:hAnsiTheme="majorHAnsi"/>
                <w:sz w:val="18"/>
                <w:szCs w:val="18"/>
              </w:rPr>
            </w:pPr>
          </w:p>
        </w:tc>
        <w:tc>
          <w:tcPr>
            <w:tcW w:w="190" w:type="pct"/>
            <w:shd w:val="clear" w:color="auto" w:fill="9BBB59" w:themeFill="accent3"/>
          </w:tcPr>
          <w:p w14:paraId="4EE97C26" w14:textId="77777777" w:rsidR="003E6878" w:rsidRPr="002243E1" w:rsidRDefault="003E6878" w:rsidP="00B55453">
            <w:pPr>
              <w:rPr>
                <w:rFonts w:asciiTheme="majorHAnsi" w:hAnsiTheme="majorHAnsi"/>
                <w:sz w:val="18"/>
                <w:szCs w:val="18"/>
              </w:rPr>
            </w:pPr>
          </w:p>
        </w:tc>
        <w:tc>
          <w:tcPr>
            <w:tcW w:w="219" w:type="pct"/>
            <w:shd w:val="clear" w:color="auto" w:fill="9BBB59" w:themeFill="accent3"/>
          </w:tcPr>
          <w:p w14:paraId="6E4CA281"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D0333DD"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EE968A5"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B606718"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C5FE5C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5FFBA79"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EA17512"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3150776"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8CBFE20"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4E0FDAD"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6709D7A"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956440A"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D7CEAA1"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C4208C4"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C571EB9"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54258AD"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D50CAE6"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F84C287"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327A151" w14:textId="77777777" w:rsidR="003E6878" w:rsidRPr="002243E1" w:rsidRDefault="003E6878" w:rsidP="00B55453">
            <w:pPr>
              <w:rPr>
                <w:rFonts w:asciiTheme="majorHAnsi" w:hAnsiTheme="majorHAnsi"/>
                <w:sz w:val="18"/>
                <w:szCs w:val="18"/>
              </w:rPr>
            </w:pPr>
          </w:p>
        </w:tc>
      </w:tr>
      <w:tr w:rsidR="003E6878" w:rsidRPr="002243E1" w14:paraId="4B52812A" w14:textId="77777777" w:rsidTr="004622EC">
        <w:tc>
          <w:tcPr>
            <w:tcW w:w="485" w:type="pct"/>
            <w:shd w:val="clear" w:color="auto" w:fill="auto"/>
          </w:tcPr>
          <w:p w14:paraId="30A8576C" w14:textId="77777777" w:rsidR="003E6878" w:rsidRPr="002243E1" w:rsidRDefault="003E6878" w:rsidP="003E6878">
            <w:pPr>
              <w:rPr>
                <w:rFonts w:asciiTheme="majorHAnsi" w:hAnsiTheme="majorHAnsi" w:cs="Arial"/>
                <w:sz w:val="18"/>
                <w:szCs w:val="18"/>
                <w:lang w:val="en-GB"/>
              </w:rPr>
            </w:pPr>
            <w:r w:rsidRPr="002243E1">
              <w:rPr>
                <w:rFonts w:asciiTheme="majorHAnsi" w:hAnsiTheme="majorHAnsi" w:cs="Arial"/>
                <w:sz w:val="18"/>
                <w:szCs w:val="18"/>
                <w:lang w:val="en-GB"/>
              </w:rPr>
              <w:t>Activity 3.2.3</w:t>
            </w:r>
          </w:p>
        </w:tc>
        <w:tc>
          <w:tcPr>
            <w:tcW w:w="424" w:type="pct"/>
            <w:vMerge/>
            <w:shd w:val="clear" w:color="auto" w:fill="auto"/>
          </w:tcPr>
          <w:p w14:paraId="452EA7E5" w14:textId="77777777" w:rsidR="003E6878" w:rsidRPr="002243E1" w:rsidRDefault="003E6878" w:rsidP="002243E1">
            <w:pPr>
              <w:rPr>
                <w:rFonts w:asciiTheme="majorHAnsi" w:hAnsiTheme="majorHAnsi"/>
                <w:sz w:val="18"/>
                <w:szCs w:val="18"/>
              </w:rPr>
            </w:pPr>
          </w:p>
        </w:tc>
        <w:tc>
          <w:tcPr>
            <w:tcW w:w="190" w:type="pct"/>
            <w:shd w:val="clear" w:color="auto" w:fill="auto"/>
          </w:tcPr>
          <w:p w14:paraId="29EBD7FB" w14:textId="77777777" w:rsidR="003E6878" w:rsidRPr="002243E1" w:rsidRDefault="003E6878" w:rsidP="00B55453">
            <w:pPr>
              <w:rPr>
                <w:rFonts w:asciiTheme="majorHAnsi" w:hAnsiTheme="majorHAnsi"/>
                <w:sz w:val="18"/>
                <w:szCs w:val="18"/>
              </w:rPr>
            </w:pPr>
          </w:p>
        </w:tc>
        <w:tc>
          <w:tcPr>
            <w:tcW w:w="219" w:type="pct"/>
            <w:shd w:val="clear" w:color="auto" w:fill="auto"/>
          </w:tcPr>
          <w:p w14:paraId="57C97F37" w14:textId="77777777" w:rsidR="003E6878" w:rsidRPr="002243E1" w:rsidRDefault="003E6878" w:rsidP="00B55453">
            <w:pPr>
              <w:rPr>
                <w:rFonts w:asciiTheme="majorHAnsi" w:hAnsiTheme="majorHAnsi"/>
                <w:sz w:val="18"/>
                <w:szCs w:val="18"/>
              </w:rPr>
            </w:pPr>
          </w:p>
        </w:tc>
        <w:tc>
          <w:tcPr>
            <w:tcW w:w="205" w:type="pct"/>
            <w:shd w:val="clear" w:color="auto" w:fill="auto"/>
          </w:tcPr>
          <w:p w14:paraId="6822424F" w14:textId="77777777" w:rsidR="003E6878" w:rsidRPr="002243E1" w:rsidRDefault="003E6878" w:rsidP="00B55453">
            <w:pPr>
              <w:rPr>
                <w:rFonts w:asciiTheme="majorHAnsi" w:hAnsiTheme="majorHAnsi"/>
                <w:sz w:val="18"/>
                <w:szCs w:val="18"/>
              </w:rPr>
            </w:pPr>
          </w:p>
        </w:tc>
        <w:tc>
          <w:tcPr>
            <w:tcW w:w="205" w:type="pct"/>
            <w:shd w:val="clear" w:color="auto" w:fill="auto"/>
          </w:tcPr>
          <w:p w14:paraId="0556CF08" w14:textId="77777777" w:rsidR="003E6878" w:rsidRPr="002243E1" w:rsidRDefault="003E6878" w:rsidP="00B55453">
            <w:pPr>
              <w:rPr>
                <w:rFonts w:asciiTheme="majorHAnsi" w:hAnsiTheme="majorHAnsi"/>
                <w:sz w:val="18"/>
                <w:szCs w:val="18"/>
              </w:rPr>
            </w:pPr>
          </w:p>
        </w:tc>
        <w:tc>
          <w:tcPr>
            <w:tcW w:w="205" w:type="pct"/>
            <w:shd w:val="clear" w:color="auto" w:fill="auto"/>
          </w:tcPr>
          <w:p w14:paraId="6E5122D2" w14:textId="77777777" w:rsidR="003E6878" w:rsidRPr="002243E1" w:rsidRDefault="003E6878" w:rsidP="00B55453">
            <w:pPr>
              <w:rPr>
                <w:rFonts w:asciiTheme="majorHAnsi" w:hAnsiTheme="majorHAnsi"/>
                <w:sz w:val="18"/>
                <w:szCs w:val="18"/>
              </w:rPr>
            </w:pPr>
          </w:p>
        </w:tc>
        <w:tc>
          <w:tcPr>
            <w:tcW w:w="205" w:type="pct"/>
            <w:shd w:val="clear" w:color="auto" w:fill="auto"/>
          </w:tcPr>
          <w:p w14:paraId="39B1C5FB"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404F30A"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CECC40F"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22A765A"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20B1AC2" w14:textId="77777777" w:rsidR="003E6878" w:rsidRPr="002243E1" w:rsidRDefault="003E6878" w:rsidP="00B55453">
            <w:pPr>
              <w:rPr>
                <w:rFonts w:asciiTheme="majorHAnsi" w:hAnsiTheme="majorHAnsi"/>
                <w:sz w:val="18"/>
                <w:szCs w:val="18"/>
              </w:rPr>
            </w:pPr>
          </w:p>
        </w:tc>
        <w:tc>
          <w:tcPr>
            <w:tcW w:w="205" w:type="pct"/>
            <w:shd w:val="clear" w:color="auto" w:fill="auto"/>
          </w:tcPr>
          <w:p w14:paraId="0F0E69EF" w14:textId="77777777" w:rsidR="003E6878" w:rsidRPr="002243E1" w:rsidRDefault="003E6878" w:rsidP="00B55453">
            <w:pPr>
              <w:rPr>
                <w:rFonts w:asciiTheme="majorHAnsi" w:hAnsiTheme="majorHAnsi"/>
                <w:sz w:val="18"/>
                <w:szCs w:val="18"/>
              </w:rPr>
            </w:pPr>
          </w:p>
        </w:tc>
        <w:tc>
          <w:tcPr>
            <w:tcW w:w="205" w:type="pct"/>
            <w:shd w:val="clear" w:color="auto" w:fill="auto"/>
          </w:tcPr>
          <w:p w14:paraId="3702A70E" w14:textId="77777777" w:rsidR="003E6878" w:rsidRPr="002243E1" w:rsidRDefault="003E6878" w:rsidP="00B55453">
            <w:pPr>
              <w:rPr>
                <w:rFonts w:asciiTheme="majorHAnsi" w:hAnsiTheme="majorHAnsi"/>
                <w:sz w:val="18"/>
                <w:szCs w:val="18"/>
              </w:rPr>
            </w:pPr>
          </w:p>
        </w:tc>
        <w:tc>
          <w:tcPr>
            <w:tcW w:w="205" w:type="pct"/>
            <w:shd w:val="clear" w:color="auto" w:fill="auto"/>
          </w:tcPr>
          <w:p w14:paraId="7BCF8485" w14:textId="77777777" w:rsidR="003E6878" w:rsidRPr="002243E1" w:rsidRDefault="003E6878" w:rsidP="00B55453">
            <w:pPr>
              <w:rPr>
                <w:rFonts w:asciiTheme="majorHAnsi" w:hAnsiTheme="majorHAnsi"/>
                <w:sz w:val="18"/>
                <w:szCs w:val="18"/>
              </w:rPr>
            </w:pPr>
          </w:p>
        </w:tc>
        <w:tc>
          <w:tcPr>
            <w:tcW w:w="205" w:type="pct"/>
            <w:shd w:val="clear" w:color="auto" w:fill="auto"/>
          </w:tcPr>
          <w:p w14:paraId="631BEA9C" w14:textId="77777777" w:rsidR="003E6878" w:rsidRPr="002243E1" w:rsidRDefault="003E6878" w:rsidP="00B55453">
            <w:pPr>
              <w:rPr>
                <w:rFonts w:asciiTheme="majorHAnsi" w:hAnsiTheme="majorHAnsi"/>
                <w:sz w:val="18"/>
                <w:szCs w:val="18"/>
              </w:rPr>
            </w:pPr>
          </w:p>
        </w:tc>
        <w:tc>
          <w:tcPr>
            <w:tcW w:w="205" w:type="pct"/>
            <w:shd w:val="clear" w:color="auto" w:fill="auto"/>
          </w:tcPr>
          <w:p w14:paraId="41044C19" w14:textId="77777777" w:rsidR="003E6878" w:rsidRPr="002243E1" w:rsidRDefault="003E6878" w:rsidP="00B55453">
            <w:pPr>
              <w:rPr>
                <w:rFonts w:asciiTheme="majorHAnsi" w:hAnsiTheme="majorHAnsi"/>
                <w:sz w:val="18"/>
                <w:szCs w:val="18"/>
              </w:rPr>
            </w:pPr>
          </w:p>
        </w:tc>
        <w:tc>
          <w:tcPr>
            <w:tcW w:w="205" w:type="pct"/>
            <w:shd w:val="clear" w:color="auto" w:fill="auto"/>
          </w:tcPr>
          <w:p w14:paraId="5CE8245C" w14:textId="77777777" w:rsidR="003E6878" w:rsidRPr="002243E1" w:rsidRDefault="003E6878" w:rsidP="00B55453">
            <w:pPr>
              <w:rPr>
                <w:rFonts w:asciiTheme="majorHAnsi" w:hAnsiTheme="majorHAnsi"/>
                <w:sz w:val="18"/>
                <w:szCs w:val="18"/>
              </w:rPr>
            </w:pPr>
          </w:p>
        </w:tc>
        <w:tc>
          <w:tcPr>
            <w:tcW w:w="205" w:type="pct"/>
            <w:shd w:val="clear" w:color="auto" w:fill="auto"/>
          </w:tcPr>
          <w:p w14:paraId="50C7CFFD" w14:textId="77777777" w:rsidR="003E6878" w:rsidRPr="002243E1" w:rsidRDefault="003E6878" w:rsidP="00B55453">
            <w:pPr>
              <w:rPr>
                <w:rFonts w:asciiTheme="majorHAnsi" w:hAnsiTheme="majorHAnsi"/>
                <w:sz w:val="18"/>
                <w:szCs w:val="18"/>
              </w:rPr>
            </w:pPr>
          </w:p>
        </w:tc>
        <w:tc>
          <w:tcPr>
            <w:tcW w:w="205" w:type="pct"/>
            <w:shd w:val="clear" w:color="auto" w:fill="auto"/>
          </w:tcPr>
          <w:p w14:paraId="1C82EC56" w14:textId="77777777" w:rsidR="003E6878" w:rsidRPr="002243E1" w:rsidRDefault="003E6878" w:rsidP="00B55453">
            <w:pPr>
              <w:rPr>
                <w:rFonts w:asciiTheme="majorHAnsi" w:hAnsiTheme="majorHAnsi"/>
                <w:sz w:val="18"/>
                <w:szCs w:val="18"/>
              </w:rPr>
            </w:pPr>
          </w:p>
        </w:tc>
        <w:tc>
          <w:tcPr>
            <w:tcW w:w="205" w:type="pct"/>
            <w:shd w:val="clear" w:color="auto" w:fill="auto"/>
          </w:tcPr>
          <w:p w14:paraId="65B16765" w14:textId="77777777" w:rsidR="003E6878" w:rsidRPr="002243E1" w:rsidRDefault="003E6878" w:rsidP="00B55453">
            <w:pPr>
              <w:rPr>
                <w:rFonts w:asciiTheme="majorHAnsi" w:hAnsiTheme="majorHAnsi"/>
                <w:sz w:val="18"/>
                <w:szCs w:val="18"/>
              </w:rPr>
            </w:pPr>
          </w:p>
        </w:tc>
        <w:tc>
          <w:tcPr>
            <w:tcW w:w="205" w:type="pct"/>
            <w:shd w:val="clear" w:color="auto" w:fill="auto"/>
          </w:tcPr>
          <w:p w14:paraId="61D88AD2" w14:textId="77777777" w:rsidR="003E6878" w:rsidRPr="002243E1" w:rsidRDefault="003E6878" w:rsidP="00B55453">
            <w:pPr>
              <w:rPr>
                <w:rFonts w:asciiTheme="majorHAnsi" w:hAnsiTheme="majorHAnsi"/>
                <w:sz w:val="18"/>
                <w:szCs w:val="18"/>
              </w:rPr>
            </w:pPr>
          </w:p>
        </w:tc>
      </w:tr>
      <w:tr w:rsidR="003E6878" w:rsidRPr="002243E1" w14:paraId="4D6C199E" w14:textId="77777777" w:rsidTr="004622EC">
        <w:tc>
          <w:tcPr>
            <w:tcW w:w="485" w:type="pct"/>
            <w:shd w:val="clear" w:color="auto" w:fill="auto"/>
          </w:tcPr>
          <w:p w14:paraId="37321129" w14:textId="77777777" w:rsidR="003E6878" w:rsidRPr="002243E1" w:rsidRDefault="003E6878" w:rsidP="003E6878">
            <w:pPr>
              <w:rPr>
                <w:rFonts w:asciiTheme="majorHAnsi" w:hAnsiTheme="majorHAnsi" w:cs="Arial"/>
                <w:sz w:val="18"/>
                <w:szCs w:val="18"/>
                <w:lang w:val="en-GB"/>
              </w:rPr>
            </w:pPr>
            <w:r w:rsidRPr="002243E1">
              <w:rPr>
                <w:rFonts w:asciiTheme="majorHAnsi" w:hAnsiTheme="majorHAnsi" w:cs="Arial"/>
                <w:sz w:val="18"/>
                <w:szCs w:val="18"/>
                <w:lang w:val="en-GB"/>
              </w:rPr>
              <w:t>Activity 3.2.4</w:t>
            </w:r>
          </w:p>
        </w:tc>
        <w:tc>
          <w:tcPr>
            <w:tcW w:w="424" w:type="pct"/>
            <w:vMerge/>
            <w:shd w:val="clear" w:color="auto" w:fill="auto"/>
          </w:tcPr>
          <w:p w14:paraId="16C910C3" w14:textId="77777777" w:rsidR="003E6878" w:rsidRPr="002243E1" w:rsidRDefault="003E6878" w:rsidP="002243E1">
            <w:pPr>
              <w:rPr>
                <w:rFonts w:asciiTheme="majorHAnsi" w:hAnsiTheme="majorHAnsi"/>
                <w:sz w:val="18"/>
                <w:szCs w:val="18"/>
              </w:rPr>
            </w:pPr>
          </w:p>
        </w:tc>
        <w:tc>
          <w:tcPr>
            <w:tcW w:w="190" w:type="pct"/>
            <w:shd w:val="clear" w:color="auto" w:fill="auto"/>
          </w:tcPr>
          <w:p w14:paraId="3A94CB87" w14:textId="77777777" w:rsidR="003E6878" w:rsidRPr="002243E1" w:rsidRDefault="003E6878" w:rsidP="00B55453">
            <w:pPr>
              <w:rPr>
                <w:rFonts w:asciiTheme="majorHAnsi" w:hAnsiTheme="majorHAnsi"/>
                <w:sz w:val="18"/>
                <w:szCs w:val="18"/>
              </w:rPr>
            </w:pPr>
          </w:p>
        </w:tc>
        <w:tc>
          <w:tcPr>
            <w:tcW w:w="219" w:type="pct"/>
            <w:shd w:val="clear" w:color="auto" w:fill="auto"/>
          </w:tcPr>
          <w:p w14:paraId="7950C6D7" w14:textId="77777777" w:rsidR="003E6878" w:rsidRPr="002243E1" w:rsidRDefault="003E6878" w:rsidP="00B55453">
            <w:pPr>
              <w:rPr>
                <w:rFonts w:asciiTheme="majorHAnsi" w:hAnsiTheme="majorHAnsi"/>
                <w:sz w:val="18"/>
                <w:szCs w:val="18"/>
              </w:rPr>
            </w:pPr>
          </w:p>
        </w:tc>
        <w:tc>
          <w:tcPr>
            <w:tcW w:w="205" w:type="pct"/>
            <w:shd w:val="clear" w:color="auto" w:fill="auto"/>
          </w:tcPr>
          <w:p w14:paraId="2AE92D47" w14:textId="77777777" w:rsidR="003E6878" w:rsidRPr="002243E1" w:rsidRDefault="003E6878" w:rsidP="00B55453">
            <w:pPr>
              <w:rPr>
                <w:rFonts w:asciiTheme="majorHAnsi" w:hAnsiTheme="majorHAnsi"/>
                <w:sz w:val="18"/>
                <w:szCs w:val="18"/>
              </w:rPr>
            </w:pPr>
          </w:p>
        </w:tc>
        <w:tc>
          <w:tcPr>
            <w:tcW w:w="205" w:type="pct"/>
            <w:shd w:val="clear" w:color="auto" w:fill="auto"/>
          </w:tcPr>
          <w:p w14:paraId="4E7ACA58" w14:textId="77777777" w:rsidR="003E6878" w:rsidRPr="002243E1" w:rsidRDefault="003E6878" w:rsidP="00B55453">
            <w:pPr>
              <w:rPr>
                <w:rFonts w:asciiTheme="majorHAnsi" w:hAnsiTheme="majorHAnsi"/>
                <w:sz w:val="18"/>
                <w:szCs w:val="18"/>
              </w:rPr>
            </w:pPr>
          </w:p>
        </w:tc>
        <w:tc>
          <w:tcPr>
            <w:tcW w:w="205" w:type="pct"/>
            <w:shd w:val="clear" w:color="auto" w:fill="auto"/>
          </w:tcPr>
          <w:p w14:paraId="57B16BBB" w14:textId="77777777" w:rsidR="003E6878" w:rsidRPr="002243E1" w:rsidRDefault="003E6878" w:rsidP="00B55453">
            <w:pPr>
              <w:rPr>
                <w:rFonts w:asciiTheme="majorHAnsi" w:hAnsiTheme="majorHAnsi"/>
                <w:sz w:val="18"/>
                <w:szCs w:val="18"/>
              </w:rPr>
            </w:pPr>
          </w:p>
        </w:tc>
        <w:tc>
          <w:tcPr>
            <w:tcW w:w="205" w:type="pct"/>
            <w:shd w:val="clear" w:color="auto" w:fill="auto"/>
          </w:tcPr>
          <w:p w14:paraId="4C7ED600" w14:textId="77777777" w:rsidR="003E6878" w:rsidRPr="002243E1" w:rsidRDefault="003E6878" w:rsidP="00B55453">
            <w:pPr>
              <w:rPr>
                <w:rFonts w:asciiTheme="majorHAnsi" w:hAnsiTheme="majorHAnsi"/>
                <w:sz w:val="18"/>
                <w:szCs w:val="18"/>
              </w:rPr>
            </w:pPr>
          </w:p>
        </w:tc>
        <w:tc>
          <w:tcPr>
            <w:tcW w:w="205" w:type="pct"/>
            <w:shd w:val="clear" w:color="auto" w:fill="auto"/>
          </w:tcPr>
          <w:p w14:paraId="38E49B83" w14:textId="77777777" w:rsidR="003E6878" w:rsidRPr="002243E1" w:rsidRDefault="003E6878" w:rsidP="00B55453">
            <w:pPr>
              <w:rPr>
                <w:rFonts w:asciiTheme="majorHAnsi" w:hAnsiTheme="majorHAnsi"/>
                <w:sz w:val="18"/>
                <w:szCs w:val="18"/>
              </w:rPr>
            </w:pPr>
          </w:p>
        </w:tc>
        <w:tc>
          <w:tcPr>
            <w:tcW w:w="205" w:type="pct"/>
            <w:shd w:val="clear" w:color="auto" w:fill="auto"/>
          </w:tcPr>
          <w:p w14:paraId="352EBE71"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D4CC453"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51484BC" w14:textId="77777777" w:rsidR="003E6878" w:rsidRPr="002243E1" w:rsidRDefault="003E6878" w:rsidP="00B55453">
            <w:pPr>
              <w:rPr>
                <w:rFonts w:asciiTheme="majorHAnsi" w:hAnsiTheme="majorHAnsi"/>
                <w:sz w:val="18"/>
                <w:szCs w:val="18"/>
              </w:rPr>
            </w:pPr>
          </w:p>
        </w:tc>
        <w:tc>
          <w:tcPr>
            <w:tcW w:w="205" w:type="pct"/>
            <w:shd w:val="clear" w:color="auto" w:fill="auto"/>
          </w:tcPr>
          <w:p w14:paraId="5F34FF4E" w14:textId="77777777" w:rsidR="003E6878" w:rsidRPr="002243E1" w:rsidRDefault="003E6878" w:rsidP="00B55453">
            <w:pPr>
              <w:rPr>
                <w:rFonts w:asciiTheme="majorHAnsi" w:hAnsiTheme="majorHAnsi"/>
                <w:sz w:val="18"/>
                <w:szCs w:val="18"/>
              </w:rPr>
            </w:pPr>
          </w:p>
        </w:tc>
        <w:tc>
          <w:tcPr>
            <w:tcW w:w="205" w:type="pct"/>
            <w:shd w:val="clear" w:color="auto" w:fill="auto"/>
          </w:tcPr>
          <w:p w14:paraId="0F333977" w14:textId="77777777" w:rsidR="003E6878" w:rsidRPr="002243E1" w:rsidRDefault="003E6878" w:rsidP="00B55453">
            <w:pPr>
              <w:rPr>
                <w:rFonts w:asciiTheme="majorHAnsi" w:hAnsiTheme="majorHAnsi"/>
                <w:sz w:val="18"/>
                <w:szCs w:val="18"/>
              </w:rPr>
            </w:pPr>
          </w:p>
        </w:tc>
        <w:tc>
          <w:tcPr>
            <w:tcW w:w="205" w:type="pct"/>
            <w:shd w:val="clear" w:color="auto" w:fill="auto"/>
          </w:tcPr>
          <w:p w14:paraId="3B3053D0" w14:textId="77777777" w:rsidR="003E6878" w:rsidRPr="002243E1" w:rsidRDefault="003E6878" w:rsidP="00B55453">
            <w:pPr>
              <w:rPr>
                <w:rFonts w:asciiTheme="majorHAnsi" w:hAnsiTheme="majorHAnsi"/>
                <w:sz w:val="18"/>
                <w:szCs w:val="18"/>
              </w:rPr>
            </w:pPr>
          </w:p>
        </w:tc>
        <w:tc>
          <w:tcPr>
            <w:tcW w:w="205" w:type="pct"/>
            <w:shd w:val="clear" w:color="auto" w:fill="auto"/>
          </w:tcPr>
          <w:p w14:paraId="480C1446" w14:textId="77777777" w:rsidR="003E6878" w:rsidRPr="002243E1" w:rsidRDefault="003E6878" w:rsidP="00B55453">
            <w:pPr>
              <w:rPr>
                <w:rFonts w:asciiTheme="majorHAnsi" w:hAnsiTheme="majorHAnsi"/>
                <w:sz w:val="18"/>
                <w:szCs w:val="18"/>
              </w:rPr>
            </w:pPr>
          </w:p>
        </w:tc>
        <w:tc>
          <w:tcPr>
            <w:tcW w:w="205" w:type="pct"/>
            <w:shd w:val="clear" w:color="auto" w:fill="auto"/>
          </w:tcPr>
          <w:p w14:paraId="1272A6BC" w14:textId="77777777" w:rsidR="003E6878" w:rsidRPr="002243E1" w:rsidRDefault="003E6878" w:rsidP="00B55453">
            <w:pPr>
              <w:rPr>
                <w:rFonts w:asciiTheme="majorHAnsi" w:hAnsiTheme="majorHAnsi"/>
                <w:sz w:val="18"/>
                <w:szCs w:val="18"/>
              </w:rPr>
            </w:pPr>
          </w:p>
        </w:tc>
        <w:tc>
          <w:tcPr>
            <w:tcW w:w="205" w:type="pct"/>
            <w:shd w:val="clear" w:color="auto" w:fill="auto"/>
          </w:tcPr>
          <w:p w14:paraId="537343F3" w14:textId="77777777" w:rsidR="003E6878" w:rsidRPr="002243E1" w:rsidRDefault="003E6878" w:rsidP="00B55453">
            <w:pPr>
              <w:rPr>
                <w:rFonts w:asciiTheme="majorHAnsi" w:hAnsiTheme="majorHAnsi"/>
                <w:sz w:val="18"/>
                <w:szCs w:val="18"/>
              </w:rPr>
            </w:pPr>
          </w:p>
        </w:tc>
        <w:tc>
          <w:tcPr>
            <w:tcW w:w="205" w:type="pct"/>
            <w:shd w:val="clear" w:color="auto" w:fill="auto"/>
          </w:tcPr>
          <w:p w14:paraId="0802B053" w14:textId="77777777" w:rsidR="003E6878" w:rsidRPr="002243E1" w:rsidRDefault="003E6878" w:rsidP="00B55453">
            <w:pPr>
              <w:rPr>
                <w:rFonts w:asciiTheme="majorHAnsi" w:hAnsiTheme="majorHAnsi"/>
                <w:sz w:val="18"/>
                <w:szCs w:val="18"/>
              </w:rPr>
            </w:pPr>
          </w:p>
        </w:tc>
        <w:tc>
          <w:tcPr>
            <w:tcW w:w="205" w:type="pct"/>
            <w:shd w:val="clear" w:color="auto" w:fill="auto"/>
          </w:tcPr>
          <w:p w14:paraId="6A331AF8" w14:textId="77777777" w:rsidR="003E6878" w:rsidRPr="002243E1" w:rsidRDefault="003E6878" w:rsidP="00B55453">
            <w:pPr>
              <w:rPr>
                <w:rFonts w:asciiTheme="majorHAnsi" w:hAnsiTheme="majorHAnsi"/>
                <w:sz w:val="18"/>
                <w:szCs w:val="18"/>
              </w:rPr>
            </w:pPr>
          </w:p>
        </w:tc>
        <w:tc>
          <w:tcPr>
            <w:tcW w:w="205" w:type="pct"/>
            <w:shd w:val="clear" w:color="auto" w:fill="auto"/>
          </w:tcPr>
          <w:p w14:paraId="459E8C7C" w14:textId="77777777" w:rsidR="003E6878" w:rsidRPr="002243E1" w:rsidRDefault="003E6878" w:rsidP="00B55453">
            <w:pPr>
              <w:rPr>
                <w:rFonts w:asciiTheme="majorHAnsi" w:hAnsiTheme="majorHAnsi"/>
                <w:sz w:val="18"/>
                <w:szCs w:val="18"/>
              </w:rPr>
            </w:pPr>
          </w:p>
        </w:tc>
        <w:tc>
          <w:tcPr>
            <w:tcW w:w="205" w:type="pct"/>
            <w:shd w:val="clear" w:color="auto" w:fill="auto"/>
          </w:tcPr>
          <w:p w14:paraId="6E805C91" w14:textId="77777777" w:rsidR="003E6878" w:rsidRPr="002243E1" w:rsidRDefault="003E6878" w:rsidP="00B55453">
            <w:pPr>
              <w:rPr>
                <w:rFonts w:asciiTheme="majorHAnsi" w:hAnsiTheme="majorHAnsi"/>
                <w:sz w:val="18"/>
                <w:szCs w:val="18"/>
              </w:rPr>
            </w:pPr>
          </w:p>
        </w:tc>
      </w:tr>
      <w:tr w:rsidR="00715B3D" w:rsidRPr="002243E1" w14:paraId="2D45F1A8" w14:textId="77777777" w:rsidTr="00621087">
        <w:tc>
          <w:tcPr>
            <w:tcW w:w="485" w:type="pct"/>
            <w:shd w:val="clear" w:color="auto" w:fill="auto"/>
          </w:tcPr>
          <w:p w14:paraId="471F8E73" w14:textId="77777777" w:rsidR="003E6878" w:rsidRPr="002243E1" w:rsidRDefault="003E6878" w:rsidP="003E6878">
            <w:pPr>
              <w:rPr>
                <w:rFonts w:asciiTheme="majorHAnsi" w:hAnsiTheme="majorHAnsi" w:cs="Arial"/>
                <w:sz w:val="18"/>
                <w:szCs w:val="18"/>
                <w:lang w:val="en-GB"/>
              </w:rPr>
            </w:pPr>
            <w:r w:rsidRPr="002243E1">
              <w:rPr>
                <w:rFonts w:asciiTheme="majorHAnsi" w:hAnsiTheme="majorHAnsi" w:cs="Arial"/>
                <w:sz w:val="18"/>
                <w:szCs w:val="18"/>
                <w:lang w:val="en-GB"/>
              </w:rPr>
              <w:t>Activity 3.2.5</w:t>
            </w:r>
          </w:p>
        </w:tc>
        <w:tc>
          <w:tcPr>
            <w:tcW w:w="424" w:type="pct"/>
            <w:vMerge/>
            <w:shd w:val="clear" w:color="auto" w:fill="auto"/>
          </w:tcPr>
          <w:p w14:paraId="20A8B9A1" w14:textId="77777777" w:rsidR="003E6878" w:rsidRPr="002243E1" w:rsidRDefault="003E6878" w:rsidP="002243E1">
            <w:pPr>
              <w:rPr>
                <w:rFonts w:asciiTheme="majorHAnsi" w:hAnsiTheme="majorHAnsi"/>
                <w:sz w:val="18"/>
                <w:szCs w:val="18"/>
              </w:rPr>
            </w:pPr>
          </w:p>
        </w:tc>
        <w:tc>
          <w:tcPr>
            <w:tcW w:w="190" w:type="pct"/>
            <w:shd w:val="clear" w:color="auto" w:fill="9BBB59" w:themeFill="accent3"/>
          </w:tcPr>
          <w:p w14:paraId="03E625E4" w14:textId="77777777" w:rsidR="003E6878" w:rsidRPr="002243E1" w:rsidRDefault="003E6878" w:rsidP="00B55453">
            <w:pPr>
              <w:rPr>
                <w:rFonts w:asciiTheme="majorHAnsi" w:hAnsiTheme="majorHAnsi"/>
                <w:sz w:val="18"/>
                <w:szCs w:val="18"/>
              </w:rPr>
            </w:pPr>
          </w:p>
        </w:tc>
        <w:tc>
          <w:tcPr>
            <w:tcW w:w="219" w:type="pct"/>
            <w:shd w:val="clear" w:color="auto" w:fill="9BBB59" w:themeFill="accent3"/>
          </w:tcPr>
          <w:p w14:paraId="2F484B7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3849B9B"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1524EB2"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DA1BDC9"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0FA878F"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62F53FE"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0B5DEF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C384DBA"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70AACCA"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F93A184"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DA82083"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5F44071"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6591CD2"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03B3821A"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892E2CF"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613DDFD"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33814FE"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98A2533"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33C1CF99" w14:textId="77777777" w:rsidR="003E6878" w:rsidRPr="002243E1" w:rsidRDefault="003E6878" w:rsidP="00B55453">
            <w:pPr>
              <w:rPr>
                <w:rFonts w:asciiTheme="majorHAnsi" w:hAnsiTheme="majorHAnsi"/>
                <w:sz w:val="18"/>
                <w:szCs w:val="18"/>
              </w:rPr>
            </w:pPr>
          </w:p>
        </w:tc>
      </w:tr>
      <w:tr w:rsidR="003E6878" w:rsidRPr="002243E1" w14:paraId="01D1C562" w14:textId="77777777" w:rsidTr="004622EC">
        <w:tc>
          <w:tcPr>
            <w:tcW w:w="485" w:type="pct"/>
            <w:shd w:val="clear" w:color="auto" w:fill="auto"/>
          </w:tcPr>
          <w:p w14:paraId="6F548209" w14:textId="77777777" w:rsidR="003E6878" w:rsidRPr="002243E1" w:rsidRDefault="003E6878" w:rsidP="00B55453">
            <w:pPr>
              <w:rPr>
                <w:rFonts w:asciiTheme="majorHAnsi" w:hAnsiTheme="majorHAnsi" w:cs="Arial"/>
                <w:sz w:val="18"/>
                <w:szCs w:val="18"/>
                <w:lang w:val="en-GB"/>
              </w:rPr>
            </w:pPr>
            <w:r w:rsidRPr="002243E1">
              <w:rPr>
                <w:rFonts w:asciiTheme="majorHAnsi" w:hAnsiTheme="majorHAnsi" w:cs="Arial"/>
                <w:sz w:val="18"/>
                <w:szCs w:val="18"/>
                <w:lang w:val="en-GB"/>
              </w:rPr>
              <w:t>Activity 3.3.1</w:t>
            </w:r>
          </w:p>
        </w:tc>
        <w:tc>
          <w:tcPr>
            <w:tcW w:w="424" w:type="pct"/>
            <w:vMerge/>
            <w:shd w:val="clear" w:color="auto" w:fill="auto"/>
          </w:tcPr>
          <w:p w14:paraId="180D8277" w14:textId="77777777" w:rsidR="003E6878" w:rsidRPr="002243E1" w:rsidRDefault="003E6878" w:rsidP="002243E1">
            <w:pPr>
              <w:rPr>
                <w:rFonts w:asciiTheme="majorHAnsi" w:hAnsiTheme="majorHAnsi"/>
                <w:sz w:val="18"/>
                <w:szCs w:val="18"/>
              </w:rPr>
            </w:pPr>
          </w:p>
        </w:tc>
        <w:tc>
          <w:tcPr>
            <w:tcW w:w="190" w:type="pct"/>
            <w:shd w:val="clear" w:color="auto" w:fill="auto"/>
          </w:tcPr>
          <w:p w14:paraId="5952D7FC" w14:textId="77777777" w:rsidR="003E6878" w:rsidRPr="002243E1" w:rsidRDefault="003E6878" w:rsidP="00B55453">
            <w:pPr>
              <w:rPr>
                <w:rFonts w:asciiTheme="majorHAnsi" w:hAnsiTheme="majorHAnsi"/>
                <w:sz w:val="18"/>
                <w:szCs w:val="18"/>
              </w:rPr>
            </w:pPr>
          </w:p>
        </w:tc>
        <w:tc>
          <w:tcPr>
            <w:tcW w:w="219" w:type="pct"/>
            <w:shd w:val="clear" w:color="auto" w:fill="auto"/>
          </w:tcPr>
          <w:p w14:paraId="5A34C6B2" w14:textId="77777777" w:rsidR="003E6878" w:rsidRPr="002243E1" w:rsidRDefault="003E6878" w:rsidP="00B55453">
            <w:pPr>
              <w:rPr>
                <w:rFonts w:asciiTheme="majorHAnsi" w:hAnsiTheme="majorHAnsi"/>
                <w:sz w:val="18"/>
                <w:szCs w:val="18"/>
              </w:rPr>
            </w:pPr>
          </w:p>
        </w:tc>
        <w:tc>
          <w:tcPr>
            <w:tcW w:w="205" w:type="pct"/>
            <w:shd w:val="clear" w:color="auto" w:fill="auto"/>
          </w:tcPr>
          <w:p w14:paraId="35B786F0" w14:textId="77777777" w:rsidR="003E6878" w:rsidRPr="002243E1" w:rsidRDefault="003E6878" w:rsidP="00B55453">
            <w:pPr>
              <w:rPr>
                <w:rFonts w:asciiTheme="majorHAnsi" w:hAnsiTheme="majorHAnsi"/>
                <w:sz w:val="18"/>
                <w:szCs w:val="18"/>
              </w:rPr>
            </w:pPr>
          </w:p>
        </w:tc>
        <w:tc>
          <w:tcPr>
            <w:tcW w:w="205" w:type="pct"/>
            <w:shd w:val="clear" w:color="auto" w:fill="auto"/>
          </w:tcPr>
          <w:p w14:paraId="5CC06AB8" w14:textId="77777777" w:rsidR="003E6878" w:rsidRPr="002243E1" w:rsidRDefault="003E6878" w:rsidP="00B55453">
            <w:pPr>
              <w:rPr>
                <w:rFonts w:asciiTheme="majorHAnsi" w:hAnsiTheme="majorHAnsi"/>
                <w:sz w:val="18"/>
                <w:szCs w:val="18"/>
              </w:rPr>
            </w:pPr>
          </w:p>
        </w:tc>
        <w:tc>
          <w:tcPr>
            <w:tcW w:w="205" w:type="pct"/>
            <w:shd w:val="clear" w:color="auto" w:fill="auto"/>
          </w:tcPr>
          <w:p w14:paraId="5CCB0443" w14:textId="77777777" w:rsidR="003E6878" w:rsidRPr="002243E1" w:rsidRDefault="003E6878" w:rsidP="00B55453">
            <w:pPr>
              <w:rPr>
                <w:rFonts w:asciiTheme="majorHAnsi" w:hAnsiTheme="majorHAnsi"/>
                <w:sz w:val="18"/>
                <w:szCs w:val="18"/>
              </w:rPr>
            </w:pPr>
          </w:p>
        </w:tc>
        <w:tc>
          <w:tcPr>
            <w:tcW w:w="205" w:type="pct"/>
            <w:shd w:val="clear" w:color="auto" w:fill="auto"/>
          </w:tcPr>
          <w:p w14:paraId="736F5BFF" w14:textId="77777777" w:rsidR="003E6878" w:rsidRPr="002243E1" w:rsidRDefault="003E6878" w:rsidP="00B55453">
            <w:pPr>
              <w:rPr>
                <w:rFonts w:asciiTheme="majorHAnsi" w:hAnsiTheme="majorHAnsi"/>
                <w:sz w:val="18"/>
                <w:szCs w:val="18"/>
              </w:rPr>
            </w:pPr>
          </w:p>
        </w:tc>
        <w:tc>
          <w:tcPr>
            <w:tcW w:w="205" w:type="pct"/>
            <w:shd w:val="clear" w:color="auto" w:fill="auto"/>
          </w:tcPr>
          <w:p w14:paraId="122947CA" w14:textId="77777777" w:rsidR="003E6878" w:rsidRPr="002243E1" w:rsidRDefault="003E6878" w:rsidP="00B55453">
            <w:pPr>
              <w:rPr>
                <w:rFonts w:asciiTheme="majorHAnsi" w:hAnsiTheme="majorHAnsi"/>
                <w:sz w:val="18"/>
                <w:szCs w:val="18"/>
              </w:rPr>
            </w:pPr>
          </w:p>
        </w:tc>
        <w:tc>
          <w:tcPr>
            <w:tcW w:w="205" w:type="pct"/>
            <w:shd w:val="clear" w:color="auto" w:fill="auto"/>
          </w:tcPr>
          <w:p w14:paraId="54B3D77D" w14:textId="77777777" w:rsidR="003E6878" w:rsidRPr="002243E1" w:rsidRDefault="003E6878" w:rsidP="00B55453">
            <w:pPr>
              <w:rPr>
                <w:rFonts w:asciiTheme="majorHAnsi" w:hAnsiTheme="majorHAnsi"/>
                <w:sz w:val="18"/>
                <w:szCs w:val="18"/>
              </w:rPr>
            </w:pPr>
          </w:p>
        </w:tc>
        <w:tc>
          <w:tcPr>
            <w:tcW w:w="205" w:type="pct"/>
            <w:shd w:val="clear" w:color="auto" w:fill="auto"/>
          </w:tcPr>
          <w:p w14:paraId="125EBEB7"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7C71FF6" w14:textId="77777777" w:rsidR="003E6878" w:rsidRPr="002243E1" w:rsidRDefault="003E6878" w:rsidP="00B55453">
            <w:pPr>
              <w:rPr>
                <w:rFonts w:asciiTheme="majorHAnsi" w:hAnsiTheme="majorHAnsi"/>
                <w:sz w:val="18"/>
                <w:szCs w:val="18"/>
              </w:rPr>
            </w:pPr>
          </w:p>
        </w:tc>
        <w:tc>
          <w:tcPr>
            <w:tcW w:w="205" w:type="pct"/>
            <w:shd w:val="clear" w:color="auto" w:fill="auto"/>
          </w:tcPr>
          <w:p w14:paraId="0D220406" w14:textId="77777777" w:rsidR="003E6878" w:rsidRPr="002243E1" w:rsidRDefault="003E6878" w:rsidP="00B55453">
            <w:pPr>
              <w:rPr>
                <w:rFonts w:asciiTheme="majorHAnsi" w:hAnsiTheme="majorHAnsi"/>
                <w:sz w:val="18"/>
                <w:szCs w:val="18"/>
              </w:rPr>
            </w:pPr>
          </w:p>
        </w:tc>
        <w:tc>
          <w:tcPr>
            <w:tcW w:w="205" w:type="pct"/>
            <w:shd w:val="clear" w:color="auto" w:fill="auto"/>
          </w:tcPr>
          <w:p w14:paraId="6D0123FB" w14:textId="77777777" w:rsidR="003E6878" w:rsidRPr="002243E1" w:rsidRDefault="003E6878" w:rsidP="00B55453">
            <w:pPr>
              <w:rPr>
                <w:rFonts w:asciiTheme="majorHAnsi" w:hAnsiTheme="majorHAnsi"/>
                <w:sz w:val="18"/>
                <w:szCs w:val="18"/>
              </w:rPr>
            </w:pPr>
          </w:p>
        </w:tc>
        <w:tc>
          <w:tcPr>
            <w:tcW w:w="205" w:type="pct"/>
            <w:shd w:val="clear" w:color="auto" w:fill="auto"/>
          </w:tcPr>
          <w:p w14:paraId="5FCE512A" w14:textId="77777777" w:rsidR="003E6878" w:rsidRPr="002243E1" w:rsidRDefault="003E6878" w:rsidP="00B55453">
            <w:pPr>
              <w:rPr>
                <w:rFonts w:asciiTheme="majorHAnsi" w:hAnsiTheme="majorHAnsi"/>
                <w:sz w:val="18"/>
                <w:szCs w:val="18"/>
              </w:rPr>
            </w:pPr>
          </w:p>
        </w:tc>
        <w:tc>
          <w:tcPr>
            <w:tcW w:w="205" w:type="pct"/>
            <w:shd w:val="clear" w:color="auto" w:fill="auto"/>
          </w:tcPr>
          <w:p w14:paraId="090C9134" w14:textId="77777777" w:rsidR="003E6878" w:rsidRPr="002243E1" w:rsidRDefault="003E6878" w:rsidP="00B55453">
            <w:pPr>
              <w:rPr>
                <w:rFonts w:asciiTheme="majorHAnsi" w:hAnsiTheme="majorHAnsi"/>
                <w:sz w:val="18"/>
                <w:szCs w:val="18"/>
              </w:rPr>
            </w:pPr>
          </w:p>
        </w:tc>
        <w:tc>
          <w:tcPr>
            <w:tcW w:w="205" w:type="pct"/>
            <w:shd w:val="clear" w:color="auto" w:fill="auto"/>
          </w:tcPr>
          <w:p w14:paraId="422B1C4E" w14:textId="77777777" w:rsidR="003E6878" w:rsidRPr="002243E1" w:rsidRDefault="003E6878" w:rsidP="00B55453">
            <w:pPr>
              <w:rPr>
                <w:rFonts w:asciiTheme="majorHAnsi" w:hAnsiTheme="majorHAnsi"/>
                <w:sz w:val="18"/>
                <w:szCs w:val="18"/>
              </w:rPr>
            </w:pPr>
          </w:p>
        </w:tc>
        <w:tc>
          <w:tcPr>
            <w:tcW w:w="205" w:type="pct"/>
            <w:shd w:val="clear" w:color="auto" w:fill="auto"/>
          </w:tcPr>
          <w:p w14:paraId="0AE9C0D1" w14:textId="77777777" w:rsidR="003E6878" w:rsidRPr="002243E1" w:rsidRDefault="003E6878" w:rsidP="00B55453">
            <w:pPr>
              <w:rPr>
                <w:rFonts w:asciiTheme="majorHAnsi" w:hAnsiTheme="majorHAnsi"/>
                <w:sz w:val="18"/>
                <w:szCs w:val="18"/>
              </w:rPr>
            </w:pPr>
          </w:p>
        </w:tc>
        <w:tc>
          <w:tcPr>
            <w:tcW w:w="205" w:type="pct"/>
            <w:shd w:val="clear" w:color="auto" w:fill="auto"/>
          </w:tcPr>
          <w:p w14:paraId="4496DBA8" w14:textId="77777777" w:rsidR="003E6878" w:rsidRPr="002243E1" w:rsidRDefault="003E6878" w:rsidP="00B55453">
            <w:pPr>
              <w:rPr>
                <w:rFonts w:asciiTheme="majorHAnsi" w:hAnsiTheme="majorHAnsi"/>
                <w:sz w:val="18"/>
                <w:szCs w:val="18"/>
              </w:rPr>
            </w:pPr>
          </w:p>
        </w:tc>
        <w:tc>
          <w:tcPr>
            <w:tcW w:w="205" w:type="pct"/>
            <w:shd w:val="clear" w:color="auto" w:fill="auto"/>
          </w:tcPr>
          <w:p w14:paraId="6A758BAE" w14:textId="77777777" w:rsidR="003E6878" w:rsidRPr="002243E1" w:rsidRDefault="003E6878" w:rsidP="00B55453">
            <w:pPr>
              <w:rPr>
                <w:rFonts w:asciiTheme="majorHAnsi" w:hAnsiTheme="majorHAnsi"/>
                <w:sz w:val="18"/>
                <w:szCs w:val="18"/>
              </w:rPr>
            </w:pPr>
          </w:p>
        </w:tc>
        <w:tc>
          <w:tcPr>
            <w:tcW w:w="205" w:type="pct"/>
            <w:shd w:val="clear" w:color="auto" w:fill="auto"/>
          </w:tcPr>
          <w:p w14:paraId="3A7C6F46" w14:textId="77777777" w:rsidR="003E6878" w:rsidRPr="002243E1" w:rsidRDefault="003E6878" w:rsidP="00B55453">
            <w:pPr>
              <w:rPr>
                <w:rFonts w:asciiTheme="majorHAnsi" w:hAnsiTheme="majorHAnsi"/>
                <w:sz w:val="18"/>
                <w:szCs w:val="18"/>
              </w:rPr>
            </w:pPr>
          </w:p>
        </w:tc>
        <w:tc>
          <w:tcPr>
            <w:tcW w:w="205" w:type="pct"/>
            <w:shd w:val="clear" w:color="auto" w:fill="auto"/>
          </w:tcPr>
          <w:p w14:paraId="52C59AD5" w14:textId="77777777" w:rsidR="003E6878" w:rsidRPr="002243E1" w:rsidRDefault="003E6878" w:rsidP="00B55453">
            <w:pPr>
              <w:rPr>
                <w:rFonts w:asciiTheme="majorHAnsi" w:hAnsiTheme="majorHAnsi"/>
                <w:sz w:val="18"/>
                <w:szCs w:val="18"/>
              </w:rPr>
            </w:pPr>
          </w:p>
        </w:tc>
      </w:tr>
      <w:tr w:rsidR="003E6878" w:rsidRPr="002243E1" w14:paraId="03AE4409" w14:textId="77777777" w:rsidTr="004622EC">
        <w:tc>
          <w:tcPr>
            <w:tcW w:w="485" w:type="pct"/>
            <w:shd w:val="clear" w:color="auto" w:fill="auto"/>
          </w:tcPr>
          <w:p w14:paraId="678DF892" w14:textId="77777777" w:rsidR="003E6878" w:rsidRPr="002243E1" w:rsidRDefault="003E6878" w:rsidP="00B55453">
            <w:pPr>
              <w:rPr>
                <w:rFonts w:asciiTheme="majorHAnsi" w:hAnsiTheme="majorHAnsi" w:cs="Arial"/>
                <w:sz w:val="18"/>
                <w:szCs w:val="18"/>
                <w:lang w:val="en-GB"/>
              </w:rPr>
            </w:pPr>
            <w:r w:rsidRPr="002243E1">
              <w:rPr>
                <w:rFonts w:asciiTheme="majorHAnsi" w:hAnsiTheme="majorHAnsi" w:cs="Arial"/>
                <w:sz w:val="18"/>
                <w:szCs w:val="18"/>
                <w:lang w:val="en-GB"/>
              </w:rPr>
              <w:t>Activity 3.3.2</w:t>
            </w:r>
          </w:p>
        </w:tc>
        <w:tc>
          <w:tcPr>
            <w:tcW w:w="424" w:type="pct"/>
            <w:vMerge/>
            <w:shd w:val="clear" w:color="auto" w:fill="auto"/>
          </w:tcPr>
          <w:p w14:paraId="4C85ED2E" w14:textId="77777777" w:rsidR="003E6878" w:rsidRPr="002243E1" w:rsidRDefault="003E6878" w:rsidP="002243E1">
            <w:pPr>
              <w:rPr>
                <w:rFonts w:asciiTheme="majorHAnsi" w:hAnsiTheme="majorHAnsi"/>
                <w:sz w:val="18"/>
                <w:szCs w:val="18"/>
              </w:rPr>
            </w:pPr>
          </w:p>
        </w:tc>
        <w:tc>
          <w:tcPr>
            <w:tcW w:w="190" w:type="pct"/>
            <w:shd w:val="clear" w:color="auto" w:fill="auto"/>
          </w:tcPr>
          <w:p w14:paraId="48E8DD05" w14:textId="77777777" w:rsidR="003E6878" w:rsidRPr="002243E1" w:rsidRDefault="003E6878" w:rsidP="00B55453">
            <w:pPr>
              <w:rPr>
                <w:rFonts w:asciiTheme="majorHAnsi" w:hAnsiTheme="majorHAnsi"/>
                <w:sz w:val="18"/>
                <w:szCs w:val="18"/>
              </w:rPr>
            </w:pPr>
          </w:p>
        </w:tc>
        <w:tc>
          <w:tcPr>
            <w:tcW w:w="219" w:type="pct"/>
            <w:shd w:val="clear" w:color="auto" w:fill="auto"/>
          </w:tcPr>
          <w:p w14:paraId="2873E475" w14:textId="77777777" w:rsidR="003E6878" w:rsidRPr="002243E1" w:rsidRDefault="003E6878" w:rsidP="00B55453">
            <w:pPr>
              <w:rPr>
                <w:rFonts w:asciiTheme="majorHAnsi" w:hAnsiTheme="majorHAnsi"/>
                <w:sz w:val="18"/>
                <w:szCs w:val="18"/>
              </w:rPr>
            </w:pPr>
          </w:p>
        </w:tc>
        <w:tc>
          <w:tcPr>
            <w:tcW w:w="205" w:type="pct"/>
            <w:shd w:val="clear" w:color="auto" w:fill="auto"/>
          </w:tcPr>
          <w:p w14:paraId="0110159A" w14:textId="77777777" w:rsidR="003E6878" w:rsidRPr="002243E1" w:rsidRDefault="003E6878" w:rsidP="00B55453">
            <w:pPr>
              <w:rPr>
                <w:rFonts w:asciiTheme="majorHAnsi" w:hAnsiTheme="majorHAnsi"/>
                <w:sz w:val="18"/>
                <w:szCs w:val="18"/>
              </w:rPr>
            </w:pPr>
          </w:p>
        </w:tc>
        <w:tc>
          <w:tcPr>
            <w:tcW w:w="205" w:type="pct"/>
            <w:shd w:val="clear" w:color="auto" w:fill="auto"/>
          </w:tcPr>
          <w:p w14:paraId="61197828" w14:textId="77777777" w:rsidR="003E6878" w:rsidRPr="002243E1" w:rsidRDefault="003E6878" w:rsidP="00B55453">
            <w:pPr>
              <w:rPr>
                <w:rFonts w:asciiTheme="majorHAnsi" w:hAnsiTheme="majorHAnsi"/>
                <w:sz w:val="18"/>
                <w:szCs w:val="18"/>
              </w:rPr>
            </w:pPr>
          </w:p>
        </w:tc>
        <w:tc>
          <w:tcPr>
            <w:tcW w:w="205" w:type="pct"/>
            <w:shd w:val="clear" w:color="auto" w:fill="auto"/>
          </w:tcPr>
          <w:p w14:paraId="29236DC0" w14:textId="77777777" w:rsidR="003E6878" w:rsidRPr="002243E1" w:rsidRDefault="003E6878" w:rsidP="00B55453">
            <w:pPr>
              <w:rPr>
                <w:rFonts w:asciiTheme="majorHAnsi" w:hAnsiTheme="majorHAnsi"/>
                <w:sz w:val="18"/>
                <w:szCs w:val="18"/>
              </w:rPr>
            </w:pPr>
          </w:p>
        </w:tc>
        <w:tc>
          <w:tcPr>
            <w:tcW w:w="205" w:type="pct"/>
            <w:shd w:val="clear" w:color="auto" w:fill="auto"/>
          </w:tcPr>
          <w:p w14:paraId="4F362E2C" w14:textId="77777777" w:rsidR="003E6878" w:rsidRPr="002243E1" w:rsidRDefault="003E6878" w:rsidP="00B55453">
            <w:pPr>
              <w:rPr>
                <w:rFonts w:asciiTheme="majorHAnsi" w:hAnsiTheme="majorHAnsi"/>
                <w:sz w:val="18"/>
                <w:szCs w:val="18"/>
              </w:rPr>
            </w:pPr>
          </w:p>
        </w:tc>
        <w:tc>
          <w:tcPr>
            <w:tcW w:w="205" w:type="pct"/>
            <w:shd w:val="clear" w:color="auto" w:fill="auto"/>
          </w:tcPr>
          <w:p w14:paraId="6C963C80" w14:textId="77777777" w:rsidR="003E6878" w:rsidRPr="002243E1" w:rsidRDefault="003E6878" w:rsidP="00B55453">
            <w:pPr>
              <w:rPr>
                <w:rFonts w:asciiTheme="majorHAnsi" w:hAnsiTheme="majorHAnsi"/>
                <w:sz w:val="18"/>
                <w:szCs w:val="18"/>
              </w:rPr>
            </w:pPr>
          </w:p>
        </w:tc>
        <w:tc>
          <w:tcPr>
            <w:tcW w:w="205" w:type="pct"/>
            <w:shd w:val="clear" w:color="auto" w:fill="auto"/>
          </w:tcPr>
          <w:p w14:paraId="5A9BF7A1" w14:textId="77777777" w:rsidR="003E6878" w:rsidRPr="002243E1" w:rsidRDefault="003E6878" w:rsidP="00B55453">
            <w:pPr>
              <w:rPr>
                <w:rFonts w:asciiTheme="majorHAnsi" w:hAnsiTheme="majorHAnsi"/>
                <w:sz w:val="18"/>
                <w:szCs w:val="18"/>
              </w:rPr>
            </w:pPr>
          </w:p>
        </w:tc>
        <w:tc>
          <w:tcPr>
            <w:tcW w:w="205" w:type="pct"/>
            <w:shd w:val="clear" w:color="auto" w:fill="auto"/>
          </w:tcPr>
          <w:p w14:paraId="2C77C284" w14:textId="77777777" w:rsidR="003E6878" w:rsidRPr="002243E1" w:rsidRDefault="003E6878" w:rsidP="00B55453">
            <w:pPr>
              <w:rPr>
                <w:rFonts w:asciiTheme="majorHAnsi" w:hAnsiTheme="majorHAnsi"/>
                <w:sz w:val="18"/>
                <w:szCs w:val="18"/>
              </w:rPr>
            </w:pPr>
          </w:p>
        </w:tc>
        <w:tc>
          <w:tcPr>
            <w:tcW w:w="205" w:type="pct"/>
            <w:shd w:val="clear" w:color="auto" w:fill="auto"/>
          </w:tcPr>
          <w:p w14:paraId="096E126E"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5EC5BC95" w14:textId="77777777" w:rsidR="003E6878" w:rsidRPr="002243E1" w:rsidRDefault="003E6878" w:rsidP="00B55453">
            <w:pPr>
              <w:rPr>
                <w:rFonts w:asciiTheme="majorHAnsi" w:hAnsiTheme="majorHAnsi"/>
                <w:sz w:val="18"/>
                <w:szCs w:val="18"/>
              </w:rPr>
            </w:pPr>
          </w:p>
        </w:tc>
        <w:tc>
          <w:tcPr>
            <w:tcW w:w="205" w:type="pct"/>
            <w:shd w:val="clear" w:color="auto" w:fill="auto"/>
          </w:tcPr>
          <w:p w14:paraId="62E089ED" w14:textId="77777777" w:rsidR="003E6878" w:rsidRPr="002243E1" w:rsidRDefault="003E6878" w:rsidP="00B55453">
            <w:pPr>
              <w:rPr>
                <w:rFonts w:asciiTheme="majorHAnsi" w:hAnsiTheme="majorHAnsi"/>
                <w:sz w:val="18"/>
                <w:szCs w:val="18"/>
              </w:rPr>
            </w:pPr>
          </w:p>
        </w:tc>
        <w:tc>
          <w:tcPr>
            <w:tcW w:w="205" w:type="pct"/>
            <w:shd w:val="clear" w:color="auto" w:fill="auto"/>
          </w:tcPr>
          <w:p w14:paraId="5B183538" w14:textId="77777777" w:rsidR="003E6878" w:rsidRPr="002243E1" w:rsidRDefault="003E6878" w:rsidP="00B55453">
            <w:pPr>
              <w:rPr>
                <w:rFonts w:asciiTheme="majorHAnsi" w:hAnsiTheme="majorHAnsi"/>
                <w:sz w:val="18"/>
                <w:szCs w:val="18"/>
              </w:rPr>
            </w:pPr>
          </w:p>
        </w:tc>
        <w:tc>
          <w:tcPr>
            <w:tcW w:w="205" w:type="pct"/>
            <w:shd w:val="clear" w:color="auto" w:fill="auto"/>
          </w:tcPr>
          <w:p w14:paraId="4ABE834E" w14:textId="77777777" w:rsidR="003E6878" w:rsidRPr="002243E1" w:rsidRDefault="003E6878" w:rsidP="00B55453">
            <w:pPr>
              <w:rPr>
                <w:rFonts w:asciiTheme="majorHAnsi" w:hAnsiTheme="majorHAnsi"/>
                <w:sz w:val="18"/>
                <w:szCs w:val="18"/>
              </w:rPr>
            </w:pPr>
          </w:p>
        </w:tc>
        <w:tc>
          <w:tcPr>
            <w:tcW w:w="205" w:type="pct"/>
            <w:shd w:val="clear" w:color="auto" w:fill="auto"/>
          </w:tcPr>
          <w:p w14:paraId="09C018A3" w14:textId="77777777" w:rsidR="003E6878" w:rsidRPr="002243E1" w:rsidRDefault="003E6878" w:rsidP="00B55453">
            <w:pPr>
              <w:rPr>
                <w:rFonts w:asciiTheme="majorHAnsi" w:hAnsiTheme="majorHAnsi"/>
                <w:sz w:val="18"/>
                <w:szCs w:val="18"/>
              </w:rPr>
            </w:pPr>
          </w:p>
        </w:tc>
        <w:tc>
          <w:tcPr>
            <w:tcW w:w="205" w:type="pct"/>
            <w:shd w:val="clear" w:color="auto" w:fill="auto"/>
          </w:tcPr>
          <w:p w14:paraId="297DDBC4" w14:textId="77777777" w:rsidR="003E6878" w:rsidRPr="002243E1" w:rsidRDefault="003E6878" w:rsidP="00B55453">
            <w:pPr>
              <w:rPr>
                <w:rFonts w:asciiTheme="majorHAnsi" w:hAnsiTheme="majorHAnsi"/>
                <w:sz w:val="18"/>
                <w:szCs w:val="18"/>
              </w:rPr>
            </w:pPr>
          </w:p>
        </w:tc>
        <w:tc>
          <w:tcPr>
            <w:tcW w:w="205" w:type="pct"/>
            <w:shd w:val="clear" w:color="auto" w:fill="auto"/>
          </w:tcPr>
          <w:p w14:paraId="5C64AAAB" w14:textId="77777777" w:rsidR="003E6878" w:rsidRPr="002243E1" w:rsidRDefault="003E6878" w:rsidP="00B55453">
            <w:pPr>
              <w:rPr>
                <w:rFonts w:asciiTheme="majorHAnsi" w:hAnsiTheme="majorHAnsi"/>
                <w:sz w:val="18"/>
                <w:szCs w:val="18"/>
              </w:rPr>
            </w:pPr>
          </w:p>
        </w:tc>
        <w:tc>
          <w:tcPr>
            <w:tcW w:w="205" w:type="pct"/>
            <w:shd w:val="clear" w:color="auto" w:fill="auto"/>
          </w:tcPr>
          <w:p w14:paraId="1CF4525E" w14:textId="77777777" w:rsidR="003E6878" w:rsidRPr="002243E1" w:rsidRDefault="003E6878" w:rsidP="00B55453">
            <w:pPr>
              <w:rPr>
                <w:rFonts w:asciiTheme="majorHAnsi" w:hAnsiTheme="majorHAnsi"/>
                <w:sz w:val="18"/>
                <w:szCs w:val="18"/>
              </w:rPr>
            </w:pPr>
          </w:p>
        </w:tc>
        <w:tc>
          <w:tcPr>
            <w:tcW w:w="205" w:type="pct"/>
            <w:shd w:val="clear" w:color="auto" w:fill="auto"/>
          </w:tcPr>
          <w:p w14:paraId="6408975E" w14:textId="77777777" w:rsidR="003E6878" w:rsidRPr="002243E1" w:rsidRDefault="003E6878" w:rsidP="00B55453">
            <w:pPr>
              <w:rPr>
                <w:rFonts w:asciiTheme="majorHAnsi" w:hAnsiTheme="majorHAnsi"/>
                <w:sz w:val="18"/>
                <w:szCs w:val="18"/>
              </w:rPr>
            </w:pPr>
          </w:p>
        </w:tc>
        <w:tc>
          <w:tcPr>
            <w:tcW w:w="205" w:type="pct"/>
            <w:shd w:val="clear" w:color="auto" w:fill="auto"/>
          </w:tcPr>
          <w:p w14:paraId="38A3EC55" w14:textId="77777777" w:rsidR="003E6878" w:rsidRPr="002243E1" w:rsidRDefault="003E6878" w:rsidP="00B55453">
            <w:pPr>
              <w:rPr>
                <w:rFonts w:asciiTheme="majorHAnsi" w:hAnsiTheme="majorHAnsi"/>
                <w:sz w:val="18"/>
                <w:szCs w:val="18"/>
              </w:rPr>
            </w:pPr>
          </w:p>
        </w:tc>
      </w:tr>
      <w:tr w:rsidR="00715B3D" w:rsidRPr="002243E1" w14:paraId="739E9722" w14:textId="77777777" w:rsidTr="00621087">
        <w:tc>
          <w:tcPr>
            <w:tcW w:w="485" w:type="pct"/>
            <w:shd w:val="clear" w:color="auto" w:fill="auto"/>
          </w:tcPr>
          <w:p w14:paraId="4F74C7DD" w14:textId="77777777" w:rsidR="003E6878" w:rsidRPr="002243E1" w:rsidRDefault="003E6878" w:rsidP="00B55453">
            <w:pPr>
              <w:tabs>
                <w:tab w:val="left" w:pos="1040"/>
              </w:tabs>
              <w:rPr>
                <w:rFonts w:asciiTheme="majorHAnsi" w:hAnsiTheme="majorHAnsi" w:cs="Arial"/>
                <w:sz w:val="18"/>
                <w:szCs w:val="18"/>
                <w:lang w:val="en-GB"/>
              </w:rPr>
            </w:pPr>
            <w:r w:rsidRPr="002243E1">
              <w:rPr>
                <w:rFonts w:asciiTheme="majorHAnsi" w:hAnsiTheme="majorHAnsi" w:cs="Arial"/>
                <w:sz w:val="18"/>
                <w:szCs w:val="18"/>
                <w:lang w:val="en-GB"/>
              </w:rPr>
              <w:t>Activity 3.4.1</w:t>
            </w:r>
          </w:p>
        </w:tc>
        <w:tc>
          <w:tcPr>
            <w:tcW w:w="424" w:type="pct"/>
            <w:vMerge/>
            <w:shd w:val="clear" w:color="auto" w:fill="auto"/>
          </w:tcPr>
          <w:p w14:paraId="4E2444C6" w14:textId="77777777" w:rsidR="003E6878" w:rsidRPr="002243E1" w:rsidRDefault="003E6878" w:rsidP="002243E1">
            <w:pPr>
              <w:rPr>
                <w:rFonts w:asciiTheme="majorHAnsi" w:hAnsiTheme="majorHAnsi"/>
                <w:sz w:val="18"/>
                <w:szCs w:val="18"/>
              </w:rPr>
            </w:pPr>
          </w:p>
        </w:tc>
        <w:tc>
          <w:tcPr>
            <w:tcW w:w="190" w:type="pct"/>
            <w:shd w:val="clear" w:color="auto" w:fill="auto"/>
          </w:tcPr>
          <w:p w14:paraId="606F3173" w14:textId="77777777" w:rsidR="003E6878" w:rsidRPr="002243E1" w:rsidRDefault="003E6878" w:rsidP="00B55453">
            <w:pPr>
              <w:rPr>
                <w:rFonts w:asciiTheme="majorHAnsi" w:hAnsiTheme="majorHAnsi"/>
                <w:sz w:val="18"/>
                <w:szCs w:val="18"/>
              </w:rPr>
            </w:pPr>
          </w:p>
        </w:tc>
        <w:tc>
          <w:tcPr>
            <w:tcW w:w="219" w:type="pct"/>
            <w:shd w:val="clear" w:color="auto" w:fill="auto"/>
          </w:tcPr>
          <w:p w14:paraId="24C8FA98" w14:textId="77777777" w:rsidR="003E6878" w:rsidRPr="002243E1" w:rsidRDefault="003E6878" w:rsidP="00B55453">
            <w:pPr>
              <w:rPr>
                <w:rFonts w:asciiTheme="majorHAnsi" w:hAnsiTheme="majorHAnsi"/>
                <w:sz w:val="18"/>
                <w:szCs w:val="18"/>
              </w:rPr>
            </w:pPr>
          </w:p>
        </w:tc>
        <w:tc>
          <w:tcPr>
            <w:tcW w:w="205" w:type="pct"/>
            <w:shd w:val="clear" w:color="auto" w:fill="auto"/>
          </w:tcPr>
          <w:p w14:paraId="4D426FAF" w14:textId="77777777" w:rsidR="003E6878" w:rsidRPr="002243E1" w:rsidRDefault="003E6878" w:rsidP="00B55453">
            <w:pPr>
              <w:rPr>
                <w:rFonts w:asciiTheme="majorHAnsi" w:hAnsiTheme="majorHAnsi"/>
                <w:sz w:val="18"/>
                <w:szCs w:val="18"/>
              </w:rPr>
            </w:pPr>
          </w:p>
        </w:tc>
        <w:tc>
          <w:tcPr>
            <w:tcW w:w="205" w:type="pct"/>
            <w:shd w:val="clear" w:color="auto" w:fill="auto"/>
          </w:tcPr>
          <w:p w14:paraId="08C37DF2" w14:textId="77777777" w:rsidR="003E6878" w:rsidRPr="002243E1" w:rsidRDefault="003E6878" w:rsidP="00B55453">
            <w:pPr>
              <w:rPr>
                <w:rFonts w:asciiTheme="majorHAnsi" w:hAnsiTheme="majorHAnsi"/>
                <w:sz w:val="18"/>
                <w:szCs w:val="18"/>
              </w:rPr>
            </w:pPr>
          </w:p>
        </w:tc>
        <w:tc>
          <w:tcPr>
            <w:tcW w:w="205" w:type="pct"/>
            <w:shd w:val="clear" w:color="auto" w:fill="auto"/>
          </w:tcPr>
          <w:p w14:paraId="4EC35992" w14:textId="77777777" w:rsidR="003E6878" w:rsidRPr="002243E1" w:rsidRDefault="003E6878" w:rsidP="00B55453">
            <w:pPr>
              <w:rPr>
                <w:rFonts w:asciiTheme="majorHAnsi" w:hAnsiTheme="majorHAnsi"/>
                <w:sz w:val="18"/>
                <w:szCs w:val="18"/>
              </w:rPr>
            </w:pPr>
          </w:p>
        </w:tc>
        <w:tc>
          <w:tcPr>
            <w:tcW w:w="205" w:type="pct"/>
            <w:shd w:val="clear" w:color="auto" w:fill="auto"/>
          </w:tcPr>
          <w:p w14:paraId="375019C5" w14:textId="77777777" w:rsidR="003E6878" w:rsidRPr="002243E1" w:rsidRDefault="003E6878" w:rsidP="00B55453">
            <w:pPr>
              <w:rPr>
                <w:rFonts w:asciiTheme="majorHAnsi" w:hAnsiTheme="majorHAnsi"/>
                <w:sz w:val="18"/>
                <w:szCs w:val="18"/>
              </w:rPr>
            </w:pPr>
          </w:p>
        </w:tc>
        <w:tc>
          <w:tcPr>
            <w:tcW w:w="205" w:type="pct"/>
            <w:shd w:val="clear" w:color="auto" w:fill="auto"/>
          </w:tcPr>
          <w:p w14:paraId="16F96B58" w14:textId="77777777" w:rsidR="003E6878" w:rsidRPr="002243E1" w:rsidRDefault="003E6878" w:rsidP="00B55453">
            <w:pPr>
              <w:rPr>
                <w:rFonts w:asciiTheme="majorHAnsi" w:hAnsiTheme="majorHAnsi"/>
                <w:sz w:val="18"/>
                <w:szCs w:val="18"/>
              </w:rPr>
            </w:pPr>
          </w:p>
        </w:tc>
        <w:tc>
          <w:tcPr>
            <w:tcW w:w="205" w:type="pct"/>
            <w:shd w:val="clear" w:color="auto" w:fill="auto"/>
          </w:tcPr>
          <w:p w14:paraId="7997BB19" w14:textId="77777777" w:rsidR="003E6878" w:rsidRPr="002243E1" w:rsidRDefault="003E6878" w:rsidP="00B55453">
            <w:pPr>
              <w:rPr>
                <w:rFonts w:asciiTheme="majorHAnsi" w:hAnsiTheme="majorHAnsi"/>
                <w:sz w:val="18"/>
                <w:szCs w:val="18"/>
              </w:rPr>
            </w:pPr>
          </w:p>
        </w:tc>
        <w:tc>
          <w:tcPr>
            <w:tcW w:w="205" w:type="pct"/>
            <w:shd w:val="clear" w:color="auto" w:fill="auto"/>
          </w:tcPr>
          <w:p w14:paraId="4CF1ADC2" w14:textId="77777777" w:rsidR="003E6878" w:rsidRPr="002243E1" w:rsidRDefault="003E6878" w:rsidP="00B55453">
            <w:pPr>
              <w:rPr>
                <w:rFonts w:asciiTheme="majorHAnsi" w:hAnsiTheme="majorHAnsi"/>
                <w:sz w:val="18"/>
                <w:szCs w:val="18"/>
              </w:rPr>
            </w:pPr>
          </w:p>
        </w:tc>
        <w:tc>
          <w:tcPr>
            <w:tcW w:w="205" w:type="pct"/>
            <w:shd w:val="clear" w:color="auto" w:fill="auto"/>
          </w:tcPr>
          <w:p w14:paraId="6EA3D918"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ECC63F5"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22379C2"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4602D374"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576EA05"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DFCBCB2"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3DFF4A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11BA35A4"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2FA88F2C"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70896678" w14:textId="77777777" w:rsidR="003E6878" w:rsidRPr="002243E1" w:rsidRDefault="003E6878" w:rsidP="00B55453">
            <w:pPr>
              <w:rPr>
                <w:rFonts w:asciiTheme="majorHAnsi" w:hAnsiTheme="majorHAnsi"/>
                <w:sz w:val="18"/>
                <w:szCs w:val="18"/>
              </w:rPr>
            </w:pPr>
          </w:p>
        </w:tc>
        <w:tc>
          <w:tcPr>
            <w:tcW w:w="205" w:type="pct"/>
            <w:shd w:val="clear" w:color="auto" w:fill="9BBB59" w:themeFill="accent3"/>
          </w:tcPr>
          <w:p w14:paraId="622D017A" w14:textId="77777777" w:rsidR="003E6878" w:rsidRPr="002243E1" w:rsidRDefault="003E6878" w:rsidP="00B55453">
            <w:pPr>
              <w:rPr>
                <w:rFonts w:asciiTheme="majorHAnsi" w:hAnsiTheme="majorHAnsi"/>
                <w:sz w:val="18"/>
                <w:szCs w:val="18"/>
              </w:rPr>
            </w:pPr>
          </w:p>
        </w:tc>
      </w:tr>
    </w:tbl>
    <w:p w14:paraId="2618F02F" w14:textId="77777777" w:rsidR="003E6878" w:rsidRDefault="003E6878" w:rsidP="003E6878"/>
    <w:p w14:paraId="25C3063B" w14:textId="77777777" w:rsidR="003B443C" w:rsidRDefault="003B443C" w:rsidP="004622EC">
      <w:pPr>
        <w:pStyle w:val="2"/>
        <w:numPr>
          <w:ilvl w:val="0"/>
          <w:numId w:val="0"/>
        </w:numPr>
        <w:rPr>
          <w:b w:val="0"/>
          <w:szCs w:val="22"/>
        </w:rPr>
        <w:sectPr w:rsidR="003B443C" w:rsidSect="004622EC">
          <w:footerReference w:type="first" r:id="rId42"/>
          <w:pgSz w:w="16840" w:h="11900" w:orient="landscape"/>
          <w:pgMar w:top="1440" w:right="1440" w:bottom="1440" w:left="1440" w:header="720" w:footer="720" w:gutter="0"/>
          <w:cols w:space="720"/>
          <w:titlePg/>
          <w:docGrid w:linePitch="360"/>
        </w:sectPr>
      </w:pPr>
    </w:p>
    <w:p w14:paraId="45D2C007" w14:textId="77777777" w:rsidR="000D3FBD" w:rsidRPr="004622EC" w:rsidRDefault="00BF4AB4" w:rsidP="004622EC">
      <w:pPr>
        <w:pStyle w:val="2"/>
        <w:numPr>
          <w:ilvl w:val="0"/>
          <w:numId w:val="0"/>
        </w:numPr>
        <w:rPr>
          <w:rFonts w:asciiTheme="majorHAnsi" w:hAnsiTheme="majorHAnsi"/>
        </w:rPr>
      </w:pPr>
      <w:bookmarkStart w:id="115" w:name="_Ref476653361"/>
      <w:bookmarkStart w:id="116" w:name="_Toc479693892"/>
      <w:r w:rsidRPr="004622EC">
        <w:rPr>
          <w:rFonts w:asciiTheme="majorHAnsi" w:hAnsiTheme="majorHAnsi"/>
        </w:rPr>
        <w:t>Annex</w:t>
      </w:r>
      <w:r w:rsidR="00996ED8" w:rsidRPr="004622EC">
        <w:rPr>
          <w:rFonts w:asciiTheme="majorHAnsi" w:hAnsiTheme="majorHAnsi"/>
        </w:rPr>
        <w:t xml:space="preserve"> B</w:t>
      </w:r>
      <w:r w:rsidR="00FD0091">
        <w:rPr>
          <w:rFonts w:asciiTheme="majorHAnsi" w:hAnsiTheme="majorHAnsi"/>
        </w:rPr>
        <w:t>.</w:t>
      </w:r>
      <w:r w:rsidR="00996ED8" w:rsidRPr="004622EC">
        <w:rPr>
          <w:rFonts w:asciiTheme="majorHAnsi" w:hAnsiTheme="majorHAnsi"/>
        </w:rPr>
        <w:t xml:space="preserve"> </w:t>
      </w:r>
      <w:r w:rsidR="003E3ABA" w:rsidRPr="004622EC">
        <w:rPr>
          <w:rFonts w:asciiTheme="majorHAnsi" w:hAnsiTheme="majorHAnsi"/>
        </w:rPr>
        <w:t>Monitoring Plan</w:t>
      </w:r>
      <w:bookmarkEnd w:id="115"/>
      <w:bookmarkEnd w:id="116"/>
    </w:p>
    <w:p w14:paraId="411DA808" w14:textId="77777777" w:rsidR="008A7F1C" w:rsidRPr="00C9656A" w:rsidRDefault="008A7F1C" w:rsidP="008A7F1C">
      <w:pPr>
        <w:rPr>
          <w:b/>
          <w:szCs w:val="20"/>
        </w:rPr>
      </w:pPr>
      <w:r w:rsidRPr="00C9656A">
        <w:rPr>
          <w:szCs w:val="20"/>
        </w:rPr>
        <w:t xml:space="preserve">The Project Manager will collect results data according to the following monitoring plan.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2158"/>
        <w:gridCol w:w="2091"/>
        <w:gridCol w:w="1635"/>
        <w:gridCol w:w="1487"/>
        <w:gridCol w:w="1219"/>
        <w:gridCol w:w="1738"/>
        <w:gridCol w:w="2240"/>
      </w:tblGrid>
      <w:tr w:rsidR="00621087" w:rsidRPr="00C9656A" w14:paraId="6AFC54FC" w14:textId="77777777" w:rsidTr="00DB1EB8">
        <w:trPr>
          <w:trHeight w:val="980"/>
          <w:tblHeader/>
        </w:trPr>
        <w:tc>
          <w:tcPr>
            <w:tcW w:w="495" w:type="pct"/>
            <w:shd w:val="clear" w:color="auto" w:fill="D9D9D9"/>
            <w:vAlign w:val="center"/>
          </w:tcPr>
          <w:p w14:paraId="29C40C6E" w14:textId="77777777" w:rsidR="008A7F1C" w:rsidRPr="00C9656A" w:rsidRDefault="008A7F1C" w:rsidP="002243E1">
            <w:pPr>
              <w:rPr>
                <w:b/>
                <w:sz w:val="20"/>
                <w:szCs w:val="20"/>
              </w:rPr>
            </w:pPr>
            <w:r w:rsidRPr="00C9656A">
              <w:rPr>
                <w:b/>
                <w:sz w:val="20"/>
                <w:szCs w:val="20"/>
              </w:rPr>
              <w:t xml:space="preserve">Monitoring </w:t>
            </w:r>
          </w:p>
        </w:tc>
        <w:tc>
          <w:tcPr>
            <w:tcW w:w="773" w:type="pct"/>
            <w:shd w:val="clear" w:color="auto" w:fill="D9D9D9"/>
            <w:vAlign w:val="center"/>
          </w:tcPr>
          <w:p w14:paraId="611DA369" w14:textId="77777777" w:rsidR="008A7F1C" w:rsidRPr="00C9656A" w:rsidRDefault="008A7F1C" w:rsidP="002243E1">
            <w:pPr>
              <w:rPr>
                <w:b/>
                <w:sz w:val="20"/>
                <w:szCs w:val="20"/>
              </w:rPr>
            </w:pPr>
            <w:r w:rsidRPr="00C9656A">
              <w:rPr>
                <w:b/>
                <w:sz w:val="20"/>
                <w:szCs w:val="20"/>
              </w:rPr>
              <w:t>Indicators</w:t>
            </w:r>
          </w:p>
        </w:tc>
        <w:tc>
          <w:tcPr>
            <w:tcW w:w="749" w:type="pct"/>
            <w:shd w:val="clear" w:color="auto" w:fill="D9D9D9"/>
            <w:vAlign w:val="center"/>
          </w:tcPr>
          <w:p w14:paraId="4912EFFA" w14:textId="77777777" w:rsidR="008A7F1C" w:rsidRPr="00A8609D" w:rsidRDefault="008A7F1C" w:rsidP="002243E1">
            <w:pPr>
              <w:rPr>
                <w:b/>
                <w:sz w:val="20"/>
                <w:szCs w:val="20"/>
              </w:rPr>
            </w:pPr>
            <w:r w:rsidRPr="00A8609D">
              <w:rPr>
                <w:b/>
                <w:sz w:val="20"/>
                <w:szCs w:val="20"/>
              </w:rPr>
              <w:t>Description</w:t>
            </w:r>
          </w:p>
        </w:tc>
        <w:tc>
          <w:tcPr>
            <w:tcW w:w="586" w:type="pct"/>
            <w:shd w:val="clear" w:color="auto" w:fill="D9D9D9"/>
            <w:vAlign w:val="center"/>
          </w:tcPr>
          <w:p w14:paraId="768D14D2" w14:textId="77777777" w:rsidR="008A7F1C" w:rsidRPr="00C9656A" w:rsidRDefault="008A7F1C" w:rsidP="002243E1">
            <w:pPr>
              <w:rPr>
                <w:b/>
                <w:sz w:val="20"/>
                <w:szCs w:val="20"/>
              </w:rPr>
            </w:pPr>
            <w:r w:rsidRPr="00C9656A">
              <w:rPr>
                <w:b/>
                <w:sz w:val="20"/>
                <w:szCs w:val="20"/>
              </w:rPr>
              <w:t>Data source/</w:t>
            </w:r>
            <w:r w:rsidR="001C2C78" w:rsidRPr="00C9656A">
              <w:rPr>
                <w:b/>
                <w:sz w:val="20"/>
                <w:szCs w:val="20"/>
              </w:rPr>
              <w:t xml:space="preserve"> </w:t>
            </w:r>
            <w:r w:rsidRPr="00C9656A">
              <w:rPr>
                <w:b/>
                <w:sz w:val="20"/>
                <w:szCs w:val="20"/>
              </w:rPr>
              <w:t>Collection Methods</w:t>
            </w:r>
          </w:p>
        </w:tc>
        <w:tc>
          <w:tcPr>
            <w:tcW w:w="533" w:type="pct"/>
            <w:shd w:val="clear" w:color="auto" w:fill="D9D9D9"/>
            <w:vAlign w:val="center"/>
          </w:tcPr>
          <w:p w14:paraId="1D64B5AD" w14:textId="77777777" w:rsidR="008A7F1C" w:rsidRPr="00C9656A" w:rsidRDefault="008A7F1C" w:rsidP="002243E1">
            <w:pPr>
              <w:rPr>
                <w:b/>
                <w:sz w:val="20"/>
                <w:szCs w:val="20"/>
              </w:rPr>
            </w:pPr>
            <w:r w:rsidRPr="00C9656A">
              <w:rPr>
                <w:b/>
                <w:sz w:val="20"/>
                <w:szCs w:val="20"/>
              </w:rPr>
              <w:t>Frequency</w:t>
            </w:r>
          </w:p>
        </w:tc>
        <w:tc>
          <w:tcPr>
            <w:tcW w:w="437" w:type="pct"/>
            <w:shd w:val="clear" w:color="auto" w:fill="D9D9D9"/>
            <w:vAlign w:val="center"/>
          </w:tcPr>
          <w:p w14:paraId="3B9A6B37" w14:textId="77777777" w:rsidR="008A7F1C" w:rsidRPr="00C9656A" w:rsidRDefault="008A7F1C" w:rsidP="002243E1">
            <w:pPr>
              <w:rPr>
                <w:b/>
                <w:sz w:val="20"/>
                <w:szCs w:val="20"/>
              </w:rPr>
            </w:pPr>
            <w:r w:rsidRPr="00C9656A">
              <w:rPr>
                <w:b/>
                <w:sz w:val="20"/>
                <w:szCs w:val="20"/>
              </w:rPr>
              <w:t>Responsible for data collection</w:t>
            </w:r>
          </w:p>
        </w:tc>
        <w:tc>
          <w:tcPr>
            <w:tcW w:w="623" w:type="pct"/>
            <w:shd w:val="clear" w:color="auto" w:fill="D9D9D9"/>
            <w:vAlign w:val="center"/>
          </w:tcPr>
          <w:p w14:paraId="2E0FEDC1" w14:textId="77777777" w:rsidR="008A7F1C" w:rsidRPr="00C9656A" w:rsidRDefault="008A7F1C" w:rsidP="002243E1">
            <w:pPr>
              <w:rPr>
                <w:b/>
                <w:sz w:val="20"/>
                <w:szCs w:val="20"/>
              </w:rPr>
            </w:pPr>
            <w:r w:rsidRPr="00C9656A">
              <w:rPr>
                <w:b/>
                <w:sz w:val="20"/>
                <w:szCs w:val="20"/>
              </w:rPr>
              <w:t>Means of verification</w:t>
            </w:r>
          </w:p>
        </w:tc>
        <w:tc>
          <w:tcPr>
            <w:tcW w:w="803" w:type="pct"/>
            <w:shd w:val="clear" w:color="auto" w:fill="D9D9D9"/>
            <w:vAlign w:val="center"/>
          </w:tcPr>
          <w:p w14:paraId="3420D79C" w14:textId="77777777" w:rsidR="008A7F1C" w:rsidRPr="00C9656A" w:rsidRDefault="008A7F1C" w:rsidP="002243E1">
            <w:pPr>
              <w:rPr>
                <w:b/>
                <w:sz w:val="20"/>
                <w:szCs w:val="20"/>
              </w:rPr>
            </w:pPr>
            <w:r w:rsidRPr="00C9656A">
              <w:rPr>
                <w:b/>
                <w:sz w:val="20"/>
                <w:szCs w:val="20"/>
              </w:rPr>
              <w:t>Assumptions and Risks</w:t>
            </w:r>
          </w:p>
        </w:tc>
      </w:tr>
      <w:tr w:rsidR="00621087" w:rsidRPr="00C9656A" w14:paraId="077154A5" w14:textId="77777777" w:rsidTr="00DB1EB8">
        <w:trPr>
          <w:trHeight w:val="1142"/>
        </w:trPr>
        <w:tc>
          <w:tcPr>
            <w:tcW w:w="495" w:type="pct"/>
            <w:vMerge w:val="restart"/>
            <w:shd w:val="clear" w:color="auto" w:fill="auto"/>
          </w:tcPr>
          <w:p w14:paraId="6D55352A" w14:textId="77777777" w:rsidR="008A7F1C" w:rsidRPr="00C9656A" w:rsidRDefault="008A7F1C" w:rsidP="004622EC">
            <w:pPr>
              <w:rPr>
                <w:b/>
                <w:sz w:val="18"/>
                <w:szCs w:val="18"/>
              </w:rPr>
            </w:pPr>
            <w:r w:rsidRPr="00C9656A">
              <w:rPr>
                <w:b/>
                <w:sz w:val="18"/>
                <w:szCs w:val="18"/>
              </w:rPr>
              <w:t>Project objective from the results framework</w:t>
            </w:r>
          </w:p>
        </w:tc>
        <w:tc>
          <w:tcPr>
            <w:tcW w:w="773" w:type="pct"/>
            <w:shd w:val="clear" w:color="auto" w:fill="auto"/>
          </w:tcPr>
          <w:p w14:paraId="78E58291" w14:textId="5AFA056D" w:rsidR="008A7F1C" w:rsidRPr="00C9656A" w:rsidRDefault="008A7F1C" w:rsidP="0089295E">
            <w:pPr>
              <w:rPr>
                <w:i/>
                <w:sz w:val="18"/>
                <w:szCs w:val="18"/>
              </w:rPr>
            </w:pPr>
            <w:r w:rsidRPr="00C9656A">
              <w:rPr>
                <w:b/>
                <w:i/>
                <w:sz w:val="18"/>
                <w:szCs w:val="18"/>
              </w:rPr>
              <w:t>Indicator 1:</w:t>
            </w:r>
            <w:r w:rsidRPr="00C9656A">
              <w:rPr>
                <w:bCs/>
                <w:sz w:val="18"/>
                <w:szCs w:val="18"/>
              </w:rPr>
              <w:t xml:space="preserve"> Total Lifetime </w:t>
            </w:r>
            <w:r w:rsidR="00C953AA" w:rsidRPr="00C9656A">
              <w:rPr>
                <w:bCs/>
                <w:sz w:val="18"/>
                <w:szCs w:val="18"/>
              </w:rPr>
              <w:t>Direct and</w:t>
            </w:r>
            <w:r w:rsidRPr="00C9656A">
              <w:rPr>
                <w:bCs/>
                <w:sz w:val="18"/>
                <w:szCs w:val="18"/>
              </w:rPr>
              <w:t xml:space="preserve"> </w:t>
            </w:r>
            <w:r w:rsidR="0089295E">
              <w:rPr>
                <w:bCs/>
                <w:sz w:val="18"/>
                <w:szCs w:val="18"/>
              </w:rPr>
              <w:t>Consequential</w:t>
            </w:r>
            <w:r w:rsidR="0089295E" w:rsidRPr="00C9656A">
              <w:rPr>
                <w:bCs/>
                <w:sz w:val="18"/>
                <w:szCs w:val="18"/>
              </w:rPr>
              <w:t xml:space="preserve"> </w:t>
            </w:r>
            <w:r w:rsidRPr="00C9656A">
              <w:rPr>
                <w:bCs/>
                <w:sz w:val="18"/>
                <w:szCs w:val="18"/>
              </w:rPr>
              <w:t>GHG Emissions Avoided (Tons CO</w:t>
            </w:r>
            <w:r w:rsidRPr="00C9656A">
              <w:rPr>
                <w:bCs/>
                <w:sz w:val="18"/>
                <w:szCs w:val="18"/>
                <w:vertAlign w:val="subscript"/>
              </w:rPr>
              <w:t>2eq</w:t>
            </w:r>
            <w:r w:rsidRPr="00C9656A">
              <w:rPr>
                <w:bCs/>
                <w:sz w:val="18"/>
                <w:szCs w:val="18"/>
              </w:rPr>
              <w:t>) (GEF indicator 1)</w:t>
            </w:r>
          </w:p>
        </w:tc>
        <w:tc>
          <w:tcPr>
            <w:tcW w:w="749" w:type="pct"/>
          </w:tcPr>
          <w:p w14:paraId="17CEEDB0" w14:textId="08829C6F" w:rsidR="008A7F1C" w:rsidRPr="00A8609D" w:rsidRDefault="008A7F1C" w:rsidP="0089295E">
            <w:pPr>
              <w:rPr>
                <w:sz w:val="18"/>
                <w:szCs w:val="18"/>
              </w:rPr>
            </w:pPr>
            <w:r w:rsidRPr="00A8609D">
              <w:rPr>
                <w:sz w:val="18"/>
                <w:szCs w:val="18"/>
              </w:rPr>
              <w:t xml:space="preserve">Direct and </w:t>
            </w:r>
            <w:r w:rsidR="0089295E" w:rsidRPr="00A8609D">
              <w:rPr>
                <w:sz w:val="18"/>
                <w:szCs w:val="18"/>
              </w:rPr>
              <w:t xml:space="preserve">consequential </w:t>
            </w:r>
            <w:r w:rsidRPr="00A8609D">
              <w:rPr>
                <w:sz w:val="18"/>
                <w:szCs w:val="18"/>
              </w:rPr>
              <w:t>emission reductions are achieved</w:t>
            </w:r>
          </w:p>
        </w:tc>
        <w:tc>
          <w:tcPr>
            <w:tcW w:w="586" w:type="pct"/>
            <w:shd w:val="clear" w:color="auto" w:fill="auto"/>
          </w:tcPr>
          <w:p w14:paraId="788139E6" w14:textId="77777777" w:rsidR="008A7F1C" w:rsidRPr="00C9656A" w:rsidRDefault="008A7F1C" w:rsidP="001C2C78">
            <w:pPr>
              <w:rPr>
                <w:i/>
                <w:sz w:val="18"/>
                <w:szCs w:val="18"/>
              </w:rPr>
            </w:pPr>
            <w:r w:rsidRPr="00C9656A">
              <w:rPr>
                <w:i/>
                <w:sz w:val="18"/>
                <w:szCs w:val="18"/>
              </w:rPr>
              <w:t>Audits</w:t>
            </w:r>
          </w:p>
        </w:tc>
        <w:tc>
          <w:tcPr>
            <w:tcW w:w="533" w:type="pct"/>
            <w:shd w:val="clear" w:color="auto" w:fill="auto"/>
          </w:tcPr>
          <w:p w14:paraId="109718E7" w14:textId="77777777" w:rsidR="008A7F1C" w:rsidRPr="00C9656A" w:rsidRDefault="008A7F1C" w:rsidP="001C2C78">
            <w:pPr>
              <w:rPr>
                <w:sz w:val="18"/>
                <w:szCs w:val="18"/>
              </w:rPr>
            </w:pPr>
            <w:r w:rsidRPr="00C9656A">
              <w:rPr>
                <w:sz w:val="18"/>
                <w:szCs w:val="18"/>
              </w:rPr>
              <w:t xml:space="preserve">Annually </w:t>
            </w:r>
          </w:p>
          <w:p w14:paraId="0FA32293" w14:textId="77777777" w:rsidR="008A7F1C" w:rsidRPr="00C9656A" w:rsidRDefault="008A7F1C" w:rsidP="001C2C78">
            <w:pPr>
              <w:rPr>
                <w:sz w:val="18"/>
                <w:szCs w:val="18"/>
              </w:rPr>
            </w:pPr>
            <w:r w:rsidRPr="00C9656A">
              <w:rPr>
                <w:sz w:val="18"/>
                <w:szCs w:val="18"/>
              </w:rPr>
              <w:t>Reported in DO tab of the GEF PIR</w:t>
            </w:r>
          </w:p>
        </w:tc>
        <w:tc>
          <w:tcPr>
            <w:tcW w:w="437" w:type="pct"/>
            <w:shd w:val="clear" w:color="auto" w:fill="auto"/>
          </w:tcPr>
          <w:p w14:paraId="00720DEA" w14:textId="77777777" w:rsidR="008A7F1C" w:rsidRPr="00C9656A" w:rsidRDefault="008A7F1C" w:rsidP="001C2C78">
            <w:pPr>
              <w:rPr>
                <w:i/>
                <w:sz w:val="18"/>
                <w:szCs w:val="18"/>
              </w:rPr>
            </w:pPr>
            <w:r w:rsidRPr="00C9656A">
              <w:rPr>
                <w:sz w:val="18"/>
                <w:szCs w:val="18"/>
                <w:lang w:val="en-GB"/>
              </w:rPr>
              <w:t>UNDP CO</w:t>
            </w:r>
          </w:p>
        </w:tc>
        <w:tc>
          <w:tcPr>
            <w:tcW w:w="623" w:type="pct"/>
            <w:shd w:val="clear" w:color="auto" w:fill="auto"/>
          </w:tcPr>
          <w:p w14:paraId="328C7970" w14:textId="77777777" w:rsidR="008A7F1C" w:rsidRPr="00C9656A" w:rsidRDefault="008A7F1C" w:rsidP="001C2C78">
            <w:pPr>
              <w:rPr>
                <w:i/>
                <w:sz w:val="18"/>
                <w:szCs w:val="18"/>
              </w:rPr>
            </w:pPr>
            <w:r w:rsidRPr="00C9656A">
              <w:rPr>
                <w:sz w:val="18"/>
                <w:szCs w:val="18"/>
                <w:lang w:val="en-GB"/>
              </w:rPr>
              <w:t>Project final evaluation report</w:t>
            </w:r>
          </w:p>
        </w:tc>
        <w:tc>
          <w:tcPr>
            <w:tcW w:w="803" w:type="pct"/>
            <w:shd w:val="clear" w:color="auto" w:fill="auto"/>
          </w:tcPr>
          <w:p w14:paraId="521B96B4" w14:textId="77777777" w:rsidR="008A7F1C" w:rsidRPr="00C9656A" w:rsidRDefault="008A7F1C" w:rsidP="002B343A">
            <w:pPr>
              <w:rPr>
                <w:sz w:val="18"/>
                <w:szCs w:val="18"/>
              </w:rPr>
            </w:pPr>
            <w:r w:rsidRPr="00C9656A">
              <w:rPr>
                <w:sz w:val="18"/>
                <w:szCs w:val="18"/>
              </w:rPr>
              <w:t>Policy and financial der</w:t>
            </w:r>
            <w:r w:rsidR="00C953AA" w:rsidRPr="00C9656A">
              <w:rPr>
                <w:sz w:val="18"/>
                <w:szCs w:val="18"/>
              </w:rPr>
              <w:t>i</w:t>
            </w:r>
            <w:r w:rsidRPr="00C9656A">
              <w:rPr>
                <w:sz w:val="18"/>
                <w:szCs w:val="18"/>
              </w:rPr>
              <w:t>sking measures are adopted; government remains fully committed to development of RES</w:t>
            </w:r>
          </w:p>
        </w:tc>
      </w:tr>
      <w:tr w:rsidR="00DB1EB8" w:rsidRPr="00C9656A" w14:paraId="510975EB" w14:textId="77777777" w:rsidTr="00DB1EB8">
        <w:trPr>
          <w:trHeight w:val="1421"/>
        </w:trPr>
        <w:tc>
          <w:tcPr>
            <w:tcW w:w="495" w:type="pct"/>
            <w:vMerge/>
            <w:shd w:val="clear" w:color="auto" w:fill="auto"/>
          </w:tcPr>
          <w:p w14:paraId="21C8E043" w14:textId="77777777" w:rsidR="00DB1EB8" w:rsidRPr="00C9656A" w:rsidRDefault="00DB1EB8" w:rsidP="004622EC">
            <w:pPr>
              <w:rPr>
                <w:b/>
                <w:sz w:val="18"/>
                <w:szCs w:val="18"/>
              </w:rPr>
            </w:pPr>
          </w:p>
        </w:tc>
        <w:tc>
          <w:tcPr>
            <w:tcW w:w="773" w:type="pct"/>
            <w:shd w:val="clear" w:color="auto" w:fill="auto"/>
          </w:tcPr>
          <w:p w14:paraId="47AE5FEC" w14:textId="2D6D6E31" w:rsidR="00DB1EB8" w:rsidRPr="00C9656A" w:rsidRDefault="00DB1EB8" w:rsidP="004622EC">
            <w:pPr>
              <w:rPr>
                <w:b/>
                <w:i/>
                <w:sz w:val="18"/>
                <w:szCs w:val="18"/>
              </w:rPr>
            </w:pPr>
            <w:r w:rsidRPr="00C9656A">
              <w:rPr>
                <w:b/>
                <w:i/>
                <w:sz w:val="18"/>
                <w:szCs w:val="18"/>
              </w:rPr>
              <w:t>Indicator 2:</w:t>
            </w:r>
            <w:r w:rsidRPr="00C9656A">
              <w:rPr>
                <w:bCs/>
                <w:sz w:val="18"/>
                <w:szCs w:val="18"/>
              </w:rPr>
              <w:t xml:space="preserve"> Increase in Installed capacity from wind and solar power (MW) and lifetime RE production (MWh) (GEF indicator 3)</w:t>
            </w:r>
          </w:p>
        </w:tc>
        <w:tc>
          <w:tcPr>
            <w:tcW w:w="749" w:type="pct"/>
          </w:tcPr>
          <w:p w14:paraId="07A2CC43" w14:textId="77777777" w:rsidR="00DB1EB8" w:rsidRPr="00A8609D" w:rsidRDefault="00DB1EB8" w:rsidP="001C2C78">
            <w:pPr>
              <w:rPr>
                <w:sz w:val="18"/>
                <w:szCs w:val="18"/>
              </w:rPr>
            </w:pPr>
            <w:r w:rsidRPr="00A8609D">
              <w:rPr>
                <w:sz w:val="18"/>
                <w:szCs w:val="18"/>
              </w:rPr>
              <w:t>New wind and solar PV developments are implemented</w:t>
            </w:r>
          </w:p>
          <w:p w14:paraId="0B82CC8F" w14:textId="5A2910DC" w:rsidR="00DB1EB8" w:rsidRPr="00A8609D" w:rsidRDefault="00DB1EB8" w:rsidP="001C2C78">
            <w:pPr>
              <w:rPr>
                <w:sz w:val="18"/>
                <w:szCs w:val="18"/>
              </w:rPr>
            </w:pPr>
          </w:p>
        </w:tc>
        <w:tc>
          <w:tcPr>
            <w:tcW w:w="586" w:type="pct"/>
            <w:shd w:val="clear" w:color="auto" w:fill="auto"/>
          </w:tcPr>
          <w:p w14:paraId="53A0A853" w14:textId="317FE43D" w:rsidR="00DB1EB8" w:rsidRPr="00C9656A" w:rsidRDefault="00DB1EB8" w:rsidP="001C2C78">
            <w:pPr>
              <w:rPr>
                <w:i/>
                <w:sz w:val="18"/>
                <w:szCs w:val="18"/>
              </w:rPr>
            </w:pPr>
            <w:r w:rsidRPr="00C9656A">
              <w:rPr>
                <w:sz w:val="18"/>
                <w:szCs w:val="18"/>
                <w:lang w:val="en-GB"/>
              </w:rPr>
              <w:t>Power purchase agreements (PPA), loan agreements with local banks for small-scale developments</w:t>
            </w:r>
          </w:p>
        </w:tc>
        <w:tc>
          <w:tcPr>
            <w:tcW w:w="533" w:type="pct"/>
            <w:shd w:val="clear" w:color="auto" w:fill="auto"/>
          </w:tcPr>
          <w:p w14:paraId="556650CB" w14:textId="77777777" w:rsidR="00DB1EB8" w:rsidRPr="00C9656A" w:rsidRDefault="00DB1EB8" w:rsidP="001C2C78">
            <w:pPr>
              <w:rPr>
                <w:sz w:val="18"/>
                <w:szCs w:val="18"/>
              </w:rPr>
            </w:pPr>
            <w:r w:rsidRPr="00C9656A">
              <w:rPr>
                <w:sz w:val="18"/>
                <w:szCs w:val="18"/>
              </w:rPr>
              <w:t xml:space="preserve">Annually </w:t>
            </w:r>
          </w:p>
          <w:p w14:paraId="38D04251" w14:textId="6C8F889A" w:rsidR="00DB1EB8" w:rsidRPr="00C9656A" w:rsidRDefault="00DB1EB8" w:rsidP="001C2C78">
            <w:pPr>
              <w:rPr>
                <w:sz w:val="18"/>
                <w:szCs w:val="18"/>
              </w:rPr>
            </w:pPr>
            <w:r w:rsidRPr="00C9656A">
              <w:rPr>
                <w:sz w:val="18"/>
                <w:szCs w:val="18"/>
              </w:rPr>
              <w:t>Reported in DO tab of the GEF PIR</w:t>
            </w:r>
          </w:p>
        </w:tc>
        <w:tc>
          <w:tcPr>
            <w:tcW w:w="437" w:type="pct"/>
            <w:shd w:val="clear" w:color="auto" w:fill="auto"/>
          </w:tcPr>
          <w:p w14:paraId="438C36A6" w14:textId="7CDDFF61" w:rsidR="00DB1EB8" w:rsidRPr="00C9656A" w:rsidRDefault="00DB1EB8" w:rsidP="001C2C78">
            <w:pPr>
              <w:rPr>
                <w:i/>
                <w:sz w:val="18"/>
                <w:szCs w:val="18"/>
              </w:rPr>
            </w:pPr>
            <w:r w:rsidRPr="00C9656A">
              <w:rPr>
                <w:sz w:val="18"/>
                <w:szCs w:val="18"/>
                <w:lang w:val="en-GB"/>
              </w:rPr>
              <w:t>UNDP CO</w:t>
            </w:r>
          </w:p>
        </w:tc>
        <w:tc>
          <w:tcPr>
            <w:tcW w:w="623" w:type="pct"/>
            <w:shd w:val="clear" w:color="auto" w:fill="auto"/>
          </w:tcPr>
          <w:p w14:paraId="6AA77A78" w14:textId="3C2CCF8D" w:rsidR="00DB1EB8" w:rsidRPr="00C9656A" w:rsidRDefault="00DB1EB8" w:rsidP="001C2C78">
            <w:pPr>
              <w:rPr>
                <w:i/>
                <w:sz w:val="18"/>
                <w:szCs w:val="18"/>
              </w:rPr>
            </w:pPr>
            <w:r w:rsidRPr="00C9656A">
              <w:rPr>
                <w:sz w:val="18"/>
                <w:szCs w:val="18"/>
                <w:lang w:val="en-GB"/>
              </w:rPr>
              <w:t>Project final evaluation report</w:t>
            </w:r>
          </w:p>
        </w:tc>
        <w:tc>
          <w:tcPr>
            <w:tcW w:w="803" w:type="pct"/>
            <w:shd w:val="clear" w:color="auto" w:fill="auto"/>
          </w:tcPr>
          <w:p w14:paraId="76706617" w14:textId="48545A58" w:rsidR="00DB1EB8" w:rsidRPr="00C9656A" w:rsidRDefault="00DB1EB8" w:rsidP="00543AD0">
            <w:pPr>
              <w:rPr>
                <w:sz w:val="18"/>
                <w:szCs w:val="18"/>
              </w:rPr>
            </w:pPr>
            <w:r w:rsidRPr="00C9656A">
              <w:rPr>
                <w:sz w:val="18"/>
                <w:szCs w:val="18"/>
              </w:rPr>
              <w:t>Policy and financial derisking measures are adopted; government remains fully committed to development of RES</w:t>
            </w:r>
          </w:p>
        </w:tc>
      </w:tr>
      <w:tr w:rsidR="00621087" w:rsidRPr="00C9656A" w14:paraId="11DEEFD6" w14:textId="77777777" w:rsidTr="00DB1EB8">
        <w:trPr>
          <w:trHeight w:val="260"/>
        </w:trPr>
        <w:tc>
          <w:tcPr>
            <w:tcW w:w="495" w:type="pct"/>
            <w:vMerge/>
            <w:shd w:val="clear" w:color="auto" w:fill="auto"/>
          </w:tcPr>
          <w:p w14:paraId="72FD920F" w14:textId="77777777" w:rsidR="008A7F1C" w:rsidRPr="00C9656A" w:rsidRDefault="008A7F1C" w:rsidP="004622EC">
            <w:pPr>
              <w:rPr>
                <w:b/>
                <w:sz w:val="18"/>
                <w:szCs w:val="18"/>
              </w:rPr>
            </w:pPr>
          </w:p>
        </w:tc>
        <w:tc>
          <w:tcPr>
            <w:tcW w:w="773" w:type="pct"/>
            <w:shd w:val="clear" w:color="auto" w:fill="auto"/>
          </w:tcPr>
          <w:p w14:paraId="04D9338D" w14:textId="77777777" w:rsidR="008A7F1C" w:rsidRPr="00C9656A" w:rsidRDefault="008A7F1C" w:rsidP="004622EC">
            <w:pPr>
              <w:rPr>
                <w:b/>
                <w:i/>
                <w:sz w:val="18"/>
                <w:szCs w:val="18"/>
              </w:rPr>
            </w:pPr>
            <w:r w:rsidRPr="00C9656A">
              <w:rPr>
                <w:b/>
                <w:i/>
                <w:sz w:val="18"/>
                <w:szCs w:val="18"/>
              </w:rPr>
              <w:t>Indicator 7</w:t>
            </w:r>
            <w:r w:rsidRPr="00C9656A">
              <w:rPr>
                <w:rFonts w:eastAsia="Times New Roman" w:cs="Arial"/>
                <w:color w:val="000000"/>
                <w:sz w:val="18"/>
                <w:szCs w:val="18"/>
              </w:rPr>
              <w:t xml:space="preserve"> Number of direct project beneficiaries (UNDP mandatory indicator 3).</w:t>
            </w:r>
          </w:p>
        </w:tc>
        <w:tc>
          <w:tcPr>
            <w:tcW w:w="749" w:type="pct"/>
          </w:tcPr>
          <w:p w14:paraId="1B9B637E" w14:textId="77777777" w:rsidR="008A7F1C" w:rsidRPr="00A8609D" w:rsidRDefault="008A7F1C" w:rsidP="001C2C78">
            <w:pPr>
              <w:rPr>
                <w:rFonts w:eastAsia="Times New Roman" w:cs="Arial"/>
                <w:color w:val="000000"/>
                <w:sz w:val="18"/>
                <w:szCs w:val="18"/>
              </w:rPr>
            </w:pPr>
            <w:r w:rsidRPr="00A8609D">
              <w:rPr>
                <w:rFonts w:eastAsia="Times New Roman" w:cs="Arial"/>
                <w:color w:val="000000"/>
                <w:sz w:val="18"/>
                <w:szCs w:val="18"/>
              </w:rPr>
              <w:t>Local communities and population benefit from economic, social and environmental improvements associated with development of large- and small-scale RES</w:t>
            </w:r>
          </w:p>
        </w:tc>
        <w:tc>
          <w:tcPr>
            <w:tcW w:w="586" w:type="pct"/>
            <w:shd w:val="clear" w:color="auto" w:fill="auto"/>
          </w:tcPr>
          <w:p w14:paraId="3344A640" w14:textId="77777777" w:rsidR="008A7F1C" w:rsidRPr="00C9656A" w:rsidRDefault="008A7F1C" w:rsidP="001C2C78">
            <w:pPr>
              <w:rPr>
                <w:i/>
                <w:sz w:val="18"/>
                <w:szCs w:val="18"/>
              </w:rPr>
            </w:pPr>
            <w:r w:rsidRPr="00C9656A">
              <w:rPr>
                <w:sz w:val="18"/>
                <w:szCs w:val="18"/>
                <w:lang w:val="en-GB"/>
              </w:rPr>
              <w:t>Survey</w:t>
            </w:r>
          </w:p>
        </w:tc>
        <w:tc>
          <w:tcPr>
            <w:tcW w:w="533" w:type="pct"/>
            <w:shd w:val="clear" w:color="auto" w:fill="auto"/>
          </w:tcPr>
          <w:p w14:paraId="6BAAB80B" w14:textId="77777777" w:rsidR="008A7F1C" w:rsidRPr="00C9656A" w:rsidRDefault="008A7F1C" w:rsidP="001C2C78">
            <w:pPr>
              <w:rPr>
                <w:sz w:val="18"/>
                <w:szCs w:val="18"/>
              </w:rPr>
            </w:pPr>
            <w:r w:rsidRPr="00C9656A">
              <w:rPr>
                <w:sz w:val="18"/>
                <w:szCs w:val="18"/>
              </w:rPr>
              <w:t xml:space="preserve">Annually </w:t>
            </w:r>
          </w:p>
          <w:p w14:paraId="0F637330" w14:textId="77777777" w:rsidR="008A7F1C" w:rsidRPr="00C9656A" w:rsidRDefault="008A7F1C" w:rsidP="001C2C78">
            <w:pPr>
              <w:rPr>
                <w:sz w:val="18"/>
                <w:szCs w:val="18"/>
              </w:rPr>
            </w:pPr>
            <w:r w:rsidRPr="00C9656A">
              <w:rPr>
                <w:sz w:val="18"/>
                <w:szCs w:val="18"/>
              </w:rPr>
              <w:t>Reported in DO tab of the GEF PIR</w:t>
            </w:r>
          </w:p>
        </w:tc>
        <w:tc>
          <w:tcPr>
            <w:tcW w:w="437" w:type="pct"/>
            <w:shd w:val="clear" w:color="auto" w:fill="auto"/>
          </w:tcPr>
          <w:p w14:paraId="7546AF35" w14:textId="77777777" w:rsidR="008A7F1C" w:rsidRPr="00C9656A" w:rsidRDefault="008A7F1C" w:rsidP="001C2C78">
            <w:pPr>
              <w:rPr>
                <w:i/>
                <w:sz w:val="18"/>
                <w:szCs w:val="18"/>
              </w:rPr>
            </w:pPr>
            <w:r w:rsidRPr="00C9656A">
              <w:rPr>
                <w:sz w:val="18"/>
                <w:szCs w:val="18"/>
                <w:lang w:val="en-GB"/>
              </w:rPr>
              <w:t>UNDP CO</w:t>
            </w:r>
          </w:p>
        </w:tc>
        <w:tc>
          <w:tcPr>
            <w:tcW w:w="623" w:type="pct"/>
            <w:shd w:val="clear" w:color="auto" w:fill="auto"/>
          </w:tcPr>
          <w:p w14:paraId="33BC7BFE" w14:textId="77777777" w:rsidR="008A7F1C" w:rsidRPr="00C9656A" w:rsidRDefault="008A7F1C" w:rsidP="001C2C78">
            <w:pPr>
              <w:rPr>
                <w:i/>
                <w:sz w:val="18"/>
                <w:szCs w:val="18"/>
              </w:rPr>
            </w:pPr>
            <w:r w:rsidRPr="00C9656A">
              <w:rPr>
                <w:sz w:val="18"/>
                <w:szCs w:val="18"/>
                <w:lang w:val="en-GB"/>
              </w:rPr>
              <w:t>Project final evaluation report</w:t>
            </w:r>
          </w:p>
        </w:tc>
        <w:tc>
          <w:tcPr>
            <w:tcW w:w="803" w:type="pct"/>
            <w:shd w:val="clear" w:color="auto" w:fill="auto"/>
          </w:tcPr>
          <w:p w14:paraId="60ED7CF0" w14:textId="77777777" w:rsidR="008A7F1C" w:rsidRPr="00C9656A" w:rsidRDefault="008A7F1C" w:rsidP="00543AD0">
            <w:pPr>
              <w:rPr>
                <w:i/>
                <w:sz w:val="18"/>
                <w:szCs w:val="18"/>
              </w:rPr>
            </w:pPr>
            <w:r w:rsidRPr="00C9656A">
              <w:rPr>
                <w:sz w:val="18"/>
                <w:szCs w:val="18"/>
                <w:lang w:val="en-GB"/>
              </w:rPr>
              <w:t>Government remains fully committed to development of RES, local financial institutions are willing to support small-scale developments</w:t>
            </w:r>
          </w:p>
        </w:tc>
      </w:tr>
      <w:tr w:rsidR="00621087" w:rsidRPr="00C9656A" w14:paraId="376354FF" w14:textId="77777777" w:rsidTr="00DB1EB8">
        <w:trPr>
          <w:trHeight w:val="424"/>
        </w:trPr>
        <w:tc>
          <w:tcPr>
            <w:tcW w:w="495" w:type="pct"/>
            <w:vMerge w:val="restart"/>
            <w:shd w:val="clear" w:color="auto" w:fill="auto"/>
          </w:tcPr>
          <w:p w14:paraId="30A3A6C1" w14:textId="77777777" w:rsidR="008A7F1C" w:rsidRPr="00C9656A" w:rsidRDefault="008A7F1C" w:rsidP="004622EC">
            <w:pPr>
              <w:rPr>
                <w:b/>
                <w:sz w:val="18"/>
                <w:szCs w:val="18"/>
              </w:rPr>
            </w:pPr>
          </w:p>
          <w:p w14:paraId="114114EE" w14:textId="77777777" w:rsidR="008A7F1C" w:rsidRPr="00C9656A" w:rsidRDefault="008A7F1C" w:rsidP="004622EC">
            <w:pPr>
              <w:rPr>
                <w:b/>
                <w:sz w:val="18"/>
                <w:szCs w:val="18"/>
              </w:rPr>
            </w:pPr>
            <w:r w:rsidRPr="00C9656A">
              <w:rPr>
                <w:b/>
                <w:sz w:val="18"/>
                <w:szCs w:val="18"/>
              </w:rPr>
              <w:t>Project Outcome 1</w:t>
            </w:r>
          </w:p>
        </w:tc>
        <w:tc>
          <w:tcPr>
            <w:tcW w:w="773" w:type="pct"/>
            <w:shd w:val="clear" w:color="auto" w:fill="auto"/>
          </w:tcPr>
          <w:p w14:paraId="08CCA7A3" w14:textId="77777777" w:rsidR="008A7F1C" w:rsidRPr="00C9656A" w:rsidRDefault="008A7F1C" w:rsidP="004622EC">
            <w:pPr>
              <w:rPr>
                <w:b/>
                <w:i/>
                <w:sz w:val="18"/>
                <w:szCs w:val="18"/>
              </w:rPr>
            </w:pPr>
            <w:r w:rsidRPr="00C9656A">
              <w:rPr>
                <w:b/>
                <w:i/>
                <w:sz w:val="18"/>
                <w:szCs w:val="18"/>
              </w:rPr>
              <w:t>Indicator 1.1:</w:t>
            </w:r>
            <w:r w:rsidRPr="00C9656A">
              <w:rPr>
                <w:rFonts w:eastAsia="Times New Roman" w:cs="Arial"/>
                <w:color w:val="000000"/>
                <w:sz w:val="18"/>
                <w:szCs w:val="18"/>
              </w:rPr>
              <w:t xml:space="preserve"> Capacity of the Government to design and implement policy initiatives enabling development of renewable energy markets</w:t>
            </w:r>
          </w:p>
        </w:tc>
        <w:tc>
          <w:tcPr>
            <w:tcW w:w="749" w:type="pct"/>
          </w:tcPr>
          <w:p w14:paraId="2E47BC08" w14:textId="77777777" w:rsidR="008A7F1C" w:rsidRPr="00A8609D" w:rsidRDefault="008A7F1C" w:rsidP="001C2C78">
            <w:pPr>
              <w:rPr>
                <w:sz w:val="18"/>
                <w:szCs w:val="18"/>
              </w:rPr>
            </w:pPr>
            <w:r w:rsidRPr="00A8609D">
              <w:rPr>
                <w:rFonts w:eastAsia="Times New Roman" w:cs="Arial"/>
                <w:color w:val="000000"/>
                <w:sz w:val="18"/>
                <w:szCs w:val="18"/>
              </w:rPr>
              <w:t>Government has necessary skills and understanding to design policy-derisking measures for development of large-scale RES</w:t>
            </w:r>
          </w:p>
        </w:tc>
        <w:tc>
          <w:tcPr>
            <w:tcW w:w="586" w:type="pct"/>
            <w:shd w:val="clear" w:color="auto" w:fill="auto"/>
          </w:tcPr>
          <w:p w14:paraId="11055201" w14:textId="77777777" w:rsidR="008A7F1C" w:rsidRPr="00C9656A" w:rsidRDefault="008A7F1C" w:rsidP="001C2C78">
            <w:pPr>
              <w:rPr>
                <w:sz w:val="18"/>
                <w:szCs w:val="18"/>
              </w:rPr>
            </w:pPr>
            <w:r w:rsidRPr="00C9656A">
              <w:rPr>
                <w:sz w:val="18"/>
                <w:szCs w:val="18"/>
                <w:lang w:val="en-GB"/>
              </w:rPr>
              <w:t>Survey</w:t>
            </w:r>
          </w:p>
        </w:tc>
        <w:tc>
          <w:tcPr>
            <w:tcW w:w="533" w:type="pct"/>
            <w:shd w:val="clear" w:color="auto" w:fill="auto"/>
          </w:tcPr>
          <w:p w14:paraId="1427B4B3" w14:textId="77777777" w:rsidR="008A7F1C" w:rsidRPr="00C9656A" w:rsidRDefault="008A7F1C" w:rsidP="001C2C78">
            <w:pPr>
              <w:rPr>
                <w:sz w:val="18"/>
                <w:szCs w:val="18"/>
              </w:rPr>
            </w:pPr>
            <w:r w:rsidRPr="00C9656A">
              <w:rPr>
                <w:sz w:val="18"/>
                <w:szCs w:val="18"/>
              </w:rPr>
              <w:t xml:space="preserve">Annually </w:t>
            </w:r>
          </w:p>
          <w:p w14:paraId="524C03AE" w14:textId="77777777" w:rsidR="008A7F1C" w:rsidRPr="00C9656A" w:rsidRDefault="008A7F1C" w:rsidP="001C2C78">
            <w:pPr>
              <w:rPr>
                <w:sz w:val="18"/>
                <w:szCs w:val="18"/>
              </w:rPr>
            </w:pPr>
            <w:r w:rsidRPr="00C9656A">
              <w:rPr>
                <w:sz w:val="18"/>
                <w:szCs w:val="18"/>
              </w:rPr>
              <w:t>Reported in DO tab of the GEF PIR</w:t>
            </w:r>
          </w:p>
        </w:tc>
        <w:tc>
          <w:tcPr>
            <w:tcW w:w="437" w:type="pct"/>
            <w:shd w:val="clear" w:color="auto" w:fill="auto"/>
          </w:tcPr>
          <w:p w14:paraId="4935FD15" w14:textId="77777777" w:rsidR="008A7F1C" w:rsidRPr="00C9656A" w:rsidRDefault="008A7F1C" w:rsidP="001C2C78">
            <w:pPr>
              <w:rPr>
                <w:sz w:val="18"/>
                <w:szCs w:val="18"/>
              </w:rPr>
            </w:pPr>
            <w:r w:rsidRPr="00C9656A">
              <w:rPr>
                <w:sz w:val="18"/>
                <w:szCs w:val="18"/>
                <w:lang w:val="en-GB"/>
              </w:rPr>
              <w:t>UNDP CO</w:t>
            </w:r>
          </w:p>
        </w:tc>
        <w:tc>
          <w:tcPr>
            <w:tcW w:w="623" w:type="pct"/>
            <w:shd w:val="clear" w:color="auto" w:fill="auto"/>
          </w:tcPr>
          <w:p w14:paraId="373AE46C" w14:textId="77777777" w:rsidR="008A7F1C" w:rsidRPr="00C9656A" w:rsidRDefault="008A7F1C" w:rsidP="001C2C78">
            <w:pPr>
              <w:rPr>
                <w:sz w:val="18"/>
                <w:szCs w:val="18"/>
              </w:rPr>
            </w:pPr>
            <w:r w:rsidRPr="00C9656A">
              <w:rPr>
                <w:sz w:val="18"/>
                <w:szCs w:val="18"/>
              </w:rPr>
              <w:t>Post-training survey</w:t>
            </w:r>
          </w:p>
        </w:tc>
        <w:tc>
          <w:tcPr>
            <w:tcW w:w="803" w:type="pct"/>
            <w:shd w:val="clear" w:color="auto" w:fill="auto"/>
          </w:tcPr>
          <w:p w14:paraId="6959DC3F" w14:textId="77777777" w:rsidR="008A7F1C" w:rsidRPr="00C9656A" w:rsidRDefault="008A7F1C" w:rsidP="004622EC">
            <w:pPr>
              <w:rPr>
                <w:sz w:val="18"/>
                <w:szCs w:val="18"/>
              </w:rPr>
            </w:pPr>
            <w:r w:rsidRPr="00C9656A">
              <w:rPr>
                <w:sz w:val="18"/>
                <w:szCs w:val="18"/>
              </w:rPr>
              <w:t xml:space="preserve">Government is interested in receiving the knowledge and participation in the training </w:t>
            </w:r>
          </w:p>
        </w:tc>
      </w:tr>
      <w:tr w:rsidR="00621087" w:rsidRPr="00C9656A" w14:paraId="5DCF6E87" w14:textId="77777777" w:rsidTr="00DB1EB8">
        <w:trPr>
          <w:trHeight w:val="424"/>
        </w:trPr>
        <w:tc>
          <w:tcPr>
            <w:tcW w:w="495" w:type="pct"/>
            <w:vMerge/>
            <w:tcBorders>
              <w:bottom w:val="single" w:sz="4" w:space="0" w:color="auto"/>
            </w:tcBorders>
            <w:shd w:val="clear" w:color="auto" w:fill="auto"/>
          </w:tcPr>
          <w:p w14:paraId="78C09AFE" w14:textId="77777777" w:rsidR="008A7F1C" w:rsidRPr="00C9656A" w:rsidRDefault="008A7F1C" w:rsidP="004622EC">
            <w:pPr>
              <w:rPr>
                <w:b/>
                <w:sz w:val="18"/>
                <w:szCs w:val="18"/>
              </w:rPr>
            </w:pPr>
          </w:p>
        </w:tc>
        <w:tc>
          <w:tcPr>
            <w:tcW w:w="773" w:type="pct"/>
            <w:shd w:val="clear" w:color="auto" w:fill="auto"/>
          </w:tcPr>
          <w:p w14:paraId="1006F2BE" w14:textId="77777777" w:rsidR="008A7F1C" w:rsidRPr="00C9656A" w:rsidRDefault="008A7F1C" w:rsidP="00543AD0">
            <w:pPr>
              <w:rPr>
                <w:rFonts w:eastAsia="Times New Roman" w:cs="Arial"/>
                <w:color w:val="000000"/>
                <w:sz w:val="18"/>
                <w:szCs w:val="18"/>
              </w:rPr>
            </w:pPr>
            <w:r w:rsidRPr="00C9656A">
              <w:rPr>
                <w:b/>
                <w:i/>
                <w:sz w:val="18"/>
                <w:szCs w:val="18"/>
              </w:rPr>
              <w:t>Indicator 1.2:</w:t>
            </w:r>
            <w:r w:rsidRPr="00C9656A">
              <w:rPr>
                <w:rFonts w:eastAsia="Times New Roman" w:cs="Arial"/>
                <w:color w:val="000000"/>
                <w:sz w:val="18"/>
                <w:szCs w:val="18"/>
              </w:rPr>
              <w:t xml:space="preserve"> Reduction in DREI aggregate risk score across 9 DREI risk categories</w:t>
            </w:r>
          </w:p>
          <w:p w14:paraId="759B2F39" w14:textId="77777777" w:rsidR="008A7F1C" w:rsidRPr="00C9656A" w:rsidRDefault="008A7F1C" w:rsidP="002D41F0">
            <w:pPr>
              <w:rPr>
                <w:sz w:val="18"/>
                <w:szCs w:val="18"/>
              </w:rPr>
            </w:pPr>
          </w:p>
        </w:tc>
        <w:tc>
          <w:tcPr>
            <w:tcW w:w="749" w:type="pct"/>
          </w:tcPr>
          <w:p w14:paraId="5D6F937E" w14:textId="77777777" w:rsidR="008A7F1C" w:rsidRPr="00A8609D" w:rsidRDefault="008A7F1C" w:rsidP="001C2C78">
            <w:pPr>
              <w:rPr>
                <w:sz w:val="18"/>
                <w:szCs w:val="18"/>
              </w:rPr>
            </w:pPr>
            <w:r w:rsidRPr="00A8609D">
              <w:rPr>
                <w:sz w:val="18"/>
                <w:szCs w:val="18"/>
              </w:rPr>
              <w:t>The key risks categories (as identified in DREI) are no longer provide significant risks to projects in investors perception</w:t>
            </w:r>
          </w:p>
        </w:tc>
        <w:tc>
          <w:tcPr>
            <w:tcW w:w="586" w:type="pct"/>
            <w:shd w:val="clear" w:color="auto" w:fill="auto"/>
          </w:tcPr>
          <w:p w14:paraId="1C7A374C" w14:textId="77777777" w:rsidR="008A7F1C" w:rsidRPr="00C9656A" w:rsidRDefault="008A7F1C" w:rsidP="001C2C78">
            <w:pPr>
              <w:rPr>
                <w:i/>
                <w:sz w:val="18"/>
                <w:szCs w:val="18"/>
              </w:rPr>
            </w:pPr>
            <w:r w:rsidRPr="00C9656A">
              <w:rPr>
                <w:i/>
                <w:sz w:val="18"/>
                <w:szCs w:val="18"/>
              </w:rPr>
              <w:t xml:space="preserve">Survey, Interviews with </w:t>
            </w:r>
            <w:r w:rsidR="002243E1" w:rsidRPr="00C9656A">
              <w:rPr>
                <w:i/>
                <w:sz w:val="18"/>
                <w:szCs w:val="18"/>
              </w:rPr>
              <w:t>i</w:t>
            </w:r>
            <w:r w:rsidRPr="00C9656A">
              <w:rPr>
                <w:i/>
                <w:sz w:val="18"/>
                <w:szCs w:val="18"/>
              </w:rPr>
              <w:t>nvestors</w:t>
            </w:r>
          </w:p>
        </w:tc>
        <w:tc>
          <w:tcPr>
            <w:tcW w:w="533" w:type="pct"/>
            <w:shd w:val="clear" w:color="auto" w:fill="auto"/>
          </w:tcPr>
          <w:p w14:paraId="17A80F04" w14:textId="77777777" w:rsidR="008A7F1C" w:rsidRPr="00C9656A" w:rsidRDefault="008A7F1C" w:rsidP="002243E1">
            <w:pPr>
              <w:rPr>
                <w:sz w:val="18"/>
                <w:szCs w:val="18"/>
              </w:rPr>
            </w:pPr>
            <w:r w:rsidRPr="00C9656A">
              <w:rPr>
                <w:sz w:val="18"/>
                <w:szCs w:val="18"/>
              </w:rPr>
              <w:t>After final PIR submitted to GEF</w:t>
            </w:r>
          </w:p>
        </w:tc>
        <w:tc>
          <w:tcPr>
            <w:tcW w:w="437" w:type="pct"/>
            <w:shd w:val="clear" w:color="auto" w:fill="auto"/>
          </w:tcPr>
          <w:p w14:paraId="2554CCF8" w14:textId="77777777" w:rsidR="008A7F1C" w:rsidRPr="00C9656A" w:rsidRDefault="008A7F1C" w:rsidP="001C2C78">
            <w:pPr>
              <w:rPr>
                <w:sz w:val="18"/>
                <w:szCs w:val="18"/>
              </w:rPr>
            </w:pPr>
            <w:r w:rsidRPr="00C9656A">
              <w:rPr>
                <w:sz w:val="18"/>
                <w:szCs w:val="18"/>
                <w:lang w:val="en-GB"/>
              </w:rPr>
              <w:t>UNDP CO</w:t>
            </w:r>
          </w:p>
        </w:tc>
        <w:tc>
          <w:tcPr>
            <w:tcW w:w="623" w:type="pct"/>
            <w:shd w:val="clear" w:color="auto" w:fill="auto"/>
          </w:tcPr>
          <w:p w14:paraId="414808A1" w14:textId="77777777" w:rsidR="008A7F1C" w:rsidRPr="00C9656A" w:rsidRDefault="008A7F1C" w:rsidP="002243E1">
            <w:pPr>
              <w:rPr>
                <w:sz w:val="18"/>
                <w:szCs w:val="18"/>
              </w:rPr>
            </w:pPr>
            <w:r w:rsidRPr="00C9656A">
              <w:rPr>
                <w:sz w:val="18"/>
                <w:szCs w:val="18"/>
                <w:lang w:val="en-GB"/>
              </w:rPr>
              <w:t>Project final evaluation report</w:t>
            </w:r>
          </w:p>
        </w:tc>
        <w:tc>
          <w:tcPr>
            <w:tcW w:w="803" w:type="pct"/>
            <w:shd w:val="clear" w:color="auto" w:fill="auto"/>
          </w:tcPr>
          <w:p w14:paraId="037FEDB8" w14:textId="77777777" w:rsidR="008A7F1C" w:rsidRPr="00C9656A" w:rsidRDefault="008A7F1C" w:rsidP="004622EC">
            <w:pPr>
              <w:rPr>
                <w:i/>
                <w:sz w:val="18"/>
                <w:szCs w:val="18"/>
              </w:rPr>
            </w:pPr>
            <w:r w:rsidRPr="00C9656A">
              <w:rPr>
                <w:sz w:val="18"/>
                <w:szCs w:val="18"/>
                <w:lang w:val="en-GB"/>
              </w:rPr>
              <w:t>Government remains fully committed to development of RES and is willing to adopt policy and financial-derisking measures for large-scale RES</w:t>
            </w:r>
          </w:p>
        </w:tc>
      </w:tr>
      <w:tr w:rsidR="00621087" w:rsidRPr="00C9656A" w14:paraId="7A93CDB6" w14:textId="77777777" w:rsidTr="00DB1EB8">
        <w:trPr>
          <w:trHeight w:val="424"/>
        </w:trPr>
        <w:tc>
          <w:tcPr>
            <w:tcW w:w="495" w:type="pct"/>
            <w:tcBorders>
              <w:bottom w:val="nil"/>
            </w:tcBorders>
            <w:shd w:val="clear" w:color="auto" w:fill="auto"/>
          </w:tcPr>
          <w:p w14:paraId="79D02434" w14:textId="77777777" w:rsidR="008A7F1C" w:rsidRPr="00C9656A" w:rsidRDefault="008A7F1C" w:rsidP="004622EC">
            <w:pPr>
              <w:rPr>
                <w:b/>
                <w:sz w:val="18"/>
                <w:szCs w:val="18"/>
              </w:rPr>
            </w:pPr>
          </w:p>
          <w:p w14:paraId="4109E610" w14:textId="77777777" w:rsidR="008A7F1C" w:rsidRPr="00C9656A" w:rsidRDefault="008A7F1C" w:rsidP="004622EC">
            <w:pPr>
              <w:rPr>
                <w:b/>
                <w:sz w:val="18"/>
                <w:szCs w:val="18"/>
              </w:rPr>
            </w:pPr>
            <w:r w:rsidRPr="00C9656A">
              <w:rPr>
                <w:b/>
                <w:sz w:val="18"/>
                <w:szCs w:val="18"/>
              </w:rPr>
              <w:t>Project Outcome 2</w:t>
            </w:r>
          </w:p>
        </w:tc>
        <w:tc>
          <w:tcPr>
            <w:tcW w:w="773" w:type="pct"/>
            <w:shd w:val="clear" w:color="auto" w:fill="auto"/>
          </w:tcPr>
          <w:p w14:paraId="33CBC15D" w14:textId="671ABF41" w:rsidR="008A7F1C" w:rsidRPr="00C9656A" w:rsidRDefault="008A7F1C" w:rsidP="004622EC">
            <w:pPr>
              <w:rPr>
                <w:sz w:val="18"/>
                <w:szCs w:val="18"/>
              </w:rPr>
            </w:pPr>
            <w:r w:rsidRPr="00C9656A">
              <w:rPr>
                <w:b/>
                <w:i/>
                <w:sz w:val="18"/>
                <w:szCs w:val="18"/>
              </w:rPr>
              <w:t xml:space="preserve">Indicator </w:t>
            </w:r>
            <w:r w:rsidR="00DB1EB8">
              <w:rPr>
                <w:b/>
                <w:i/>
                <w:sz w:val="18"/>
                <w:szCs w:val="18"/>
              </w:rPr>
              <w:t>2.1</w:t>
            </w:r>
            <w:r w:rsidRPr="00C9656A">
              <w:rPr>
                <w:b/>
                <w:i/>
                <w:sz w:val="18"/>
                <w:szCs w:val="18"/>
              </w:rPr>
              <w:t xml:space="preserve">: </w:t>
            </w:r>
            <w:r w:rsidR="004622EC" w:rsidRPr="00C9656A">
              <w:rPr>
                <w:rFonts w:eastAsia="Times New Roman" w:cs="Arial"/>
                <w:color w:val="000000"/>
                <w:sz w:val="18"/>
                <w:szCs w:val="18"/>
              </w:rPr>
              <w:t>Degree of support for small-</w:t>
            </w:r>
            <w:r w:rsidRPr="00C9656A">
              <w:rPr>
                <w:rFonts w:eastAsia="Times New Roman" w:cs="Arial"/>
                <w:color w:val="000000"/>
                <w:sz w:val="18"/>
                <w:szCs w:val="18"/>
              </w:rPr>
              <w:t>scale renewable energy development in policy, planning and regulations</w:t>
            </w:r>
          </w:p>
        </w:tc>
        <w:tc>
          <w:tcPr>
            <w:tcW w:w="749" w:type="pct"/>
          </w:tcPr>
          <w:p w14:paraId="2AC5E68D" w14:textId="77777777" w:rsidR="008A7F1C" w:rsidRPr="00A8609D" w:rsidRDefault="008A7F1C" w:rsidP="001C2C78">
            <w:pPr>
              <w:rPr>
                <w:sz w:val="18"/>
                <w:szCs w:val="18"/>
              </w:rPr>
            </w:pPr>
            <w:r w:rsidRPr="00A8609D">
              <w:rPr>
                <w:rFonts w:eastAsia="Times New Roman" w:cs="Arial"/>
                <w:color w:val="000000"/>
                <w:sz w:val="18"/>
                <w:szCs w:val="18"/>
              </w:rPr>
              <w:t xml:space="preserve">Policy-derisking measures supporting development of </w:t>
            </w:r>
            <w:r w:rsidR="00C953AA" w:rsidRPr="00A8609D">
              <w:rPr>
                <w:rFonts w:eastAsia="Times New Roman" w:cs="Arial"/>
                <w:color w:val="000000"/>
                <w:sz w:val="18"/>
                <w:szCs w:val="18"/>
              </w:rPr>
              <w:t>small</w:t>
            </w:r>
            <w:r w:rsidRPr="00A8609D">
              <w:rPr>
                <w:rFonts w:eastAsia="Times New Roman" w:cs="Arial"/>
                <w:color w:val="000000"/>
                <w:sz w:val="18"/>
                <w:szCs w:val="18"/>
              </w:rPr>
              <w:t>-scale are in place</w:t>
            </w:r>
          </w:p>
        </w:tc>
        <w:tc>
          <w:tcPr>
            <w:tcW w:w="586" w:type="pct"/>
            <w:shd w:val="clear" w:color="auto" w:fill="auto"/>
          </w:tcPr>
          <w:p w14:paraId="052A79EE" w14:textId="77777777" w:rsidR="008A7F1C" w:rsidRPr="00C9656A" w:rsidRDefault="008A7F1C" w:rsidP="001C2C78">
            <w:pPr>
              <w:rPr>
                <w:sz w:val="18"/>
                <w:szCs w:val="18"/>
              </w:rPr>
            </w:pPr>
            <w:r w:rsidRPr="00C9656A">
              <w:rPr>
                <w:sz w:val="18"/>
                <w:szCs w:val="18"/>
                <w:lang w:val="en-GB"/>
              </w:rPr>
              <w:t>Government plans, strategies and policy documents</w:t>
            </w:r>
          </w:p>
        </w:tc>
        <w:tc>
          <w:tcPr>
            <w:tcW w:w="533" w:type="pct"/>
            <w:shd w:val="clear" w:color="auto" w:fill="auto"/>
          </w:tcPr>
          <w:p w14:paraId="4994569C" w14:textId="77777777" w:rsidR="008A7F1C" w:rsidRPr="00C9656A" w:rsidRDefault="008A7F1C" w:rsidP="001C2C78">
            <w:pPr>
              <w:rPr>
                <w:sz w:val="18"/>
                <w:szCs w:val="18"/>
              </w:rPr>
            </w:pPr>
            <w:r w:rsidRPr="00C9656A">
              <w:rPr>
                <w:sz w:val="18"/>
                <w:szCs w:val="18"/>
              </w:rPr>
              <w:t xml:space="preserve">Annually </w:t>
            </w:r>
          </w:p>
        </w:tc>
        <w:tc>
          <w:tcPr>
            <w:tcW w:w="437" w:type="pct"/>
            <w:shd w:val="clear" w:color="auto" w:fill="auto"/>
          </w:tcPr>
          <w:p w14:paraId="5ACB6C85" w14:textId="77777777" w:rsidR="008A7F1C" w:rsidRPr="00C9656A" w:rsidRDefault="008A7F1C" w:rsidP="001C2C78">
            <w:pPr>
              <w:rPr>
                <w:sz w:val="18"/>
                <w:szCs w:val="18"/>
              </w:rPr>
            </w:pPr>
            <w:r w:rsidRPr="00C9656A">
              <w:rPr>
                <w:sz w:val="18"/>
                <w:szCs w:val="18"/>
                <w:lang w:val="en-GB"/>
              </w:rPr>
              <w:t>UNDP CO</w:t>
            </w:r>
          </w:p>
        </w:tc>
        <w:tc>
          <w:tcPr>
            <w:tcW w:w="623" w:type="pct"/>
            <w:shd w:val="clear" w:color="auto" w:fill="auto"/>
          </w:tcPr>
          <w:p w14:paraId="490F1FF4" w14:textId="77777777" w:rsidR="008A7F1C" w:rsidRPr="00C9656A" w:rsidRDefault="008A7F1C" w:rsidP="002243E1">
            <w:pPr>
              <w:rPr>
                <w:sz w:val="18"/>
                <w:szCs w:val="18"/>
              </w:rPr>
            </w:pPr>
            <w:r w:rsidRPr="00C9656A">
              <w:rPr>
                <w:sz w:val="18"/>
                <w:szCs w:val="18"/>
                <w:lang w:val="en-GB"/>
              </w:rPr>
              <w:t xml:space="preserve">Project final evaluation report, </w:t>
            </w:r>
            <w:r w:rsidRPr="00C9656A">
              <w:rPr>
                <w:bCs/>
                <w:sz w:val="18"/>
                <w:szCs w:val="18"/>
                <w:lang w:val="en-GB"/>
              </w:rPr>
              <w:t xml:space="preserve"> Policy and regulatory proposals</w:t>
            </w:r>
          </w:p>
        </w:tc>
        <w:tc>
          <w:tcPr>
            <w:tcW w:w="803" w:type="pct"/>
            <w:shd w:val="clear" w:color="auto" w:fill="auto"/>
          </w:tcPr>
          <w:p w14:paraId="6449B439" w14:textId="77777777" w:rsidR="008A7F1C" w:rsidRPr="00C9656A" w:rsidRDefault="008A7F1C" w:rsidP="004622EC">
            <w:pPr>
              <w:rPr>
                <w:sz w:val="18"/>
                <w:szCs w:val="18"/>
              </w:rPr>
            </w:pPr>
            <w:r w:rsidRPr="00C9656A">
              <w:rPr>
                <w:sz w:val="18"/>
                <w:szCs w:val="18"/>
                <w:lang w:val="en-GB"/>
              </w:rPr>
              <w:t>Government is willing to adopt policy derisking measures for small-scale RES</w:t>
            </w:r>
          </w:p>
        </w:tc>
      </w:tr>
      <w:tr w:rsidR="00621087" w:rsidRPr="00C9656A" w14:paraId="4B64C488" w14:textId="77777777" w:rsidTr="00DB1EB8">
        <w:trPr>
          <w:trHeight w:val="424"/>
        </w:trPr>
        <w:tc>
          <w:tcPr>
            <w:tcW w:w="495" w:type="pct"/>
            <w:tcBorders>
              <w:top w:val="nil"/>
            </w:tcBorders>
            <w:shd w:val="clear" w:color="auto" w:fill="auto"/>
          </w:tcPr>
          <w:p w14:paraId="52340B0D" w14:textId="77777777" w:rsidR="008A7F1C" w:rsidRPr="00C9656A" w:rsidRDefault="008A7F1C" w:rsidP="004622EC">
            <w:pPr>
              <w:rPr>
                <w:b/>
                <w:sz w:val="18"/>
                <w:szCs w:val="18"/>
              </w:rPr>
            </w:pPr>
          </w:p>
        </w:tc>
        <w:tc>
          <w:tcPr>
            <w:tcW w:w="773" w:type="pct"/>
            <w:shd w:val="clear" w:color="auto" w:fill="auto"/>
          </w:tcPr>
          <w:p w14:paraId="3198D7ED" w14:textId="0827FFED" w:rsidR="008A7F1C" w:rsidRPr="00C9656A" w:rsidRDefault="008A7F1C" w:rsidP="004622EC">
            <w:pPr>
              <w:rPr>
                <w:b/>
                <w:i/>
                <w:sz w:val="18"/>
                <w:szCs w:val="18"/>
              </w:rPr>
            </w:pPr>
            <w:r w:rsidRPr="00C9656A">
              <w:rPr>
                <w:b/>
                <w:i/>
                <w:sz w:val="18"/>
                <w:szCs w:val="18"/>
              </w:rPr>
              <w:t>Indicator 2.</w:t>
            </w:r>
            <w:r w:rsidR="00DB1EB8">
              <w:rPr>
                <w:b/>
                <w:i/>
                <w:sz w:val="18"/>
                <w:szCs w:val="18"/>
              </w:rPr>
              <w:t>2</w:t>
            </w:r>
            <w:r w:rsidRPr="00C9656A">
              <w:rPr>
                <w:b/>
                <w:i/>
                <w:sz w:val="18"/>
                <w:szCs w:val="18"/>
              </w:rPr>
              <w:t>:</w:t>
            </w:r>
            <w:r w:rsidRPr="00C9656A">
              <w:rPr>
                <w:rFonts w:eastAsia="Times New Roman" w:cs="Arial"/>
                <w:color w:val="000000"/>
                <w:sz w:val="18"/>
                <w:szCs w:val="18"/>
              </w:rPr>
              <w:t xml:space="preserve"> Knowledge of small-scale applications in rural and urban areas is improved</w:t>
            </w:r>
          </w:p>
        </w:tc>
        <w:tc>
          <w:tcPr>
            <w:tcW w:w="749" w:type="pct"/>
          </w:tcPr>
          <w:p w14:paraId="4FA06FA5" w14:textId="77777777" w:rsidR="008A7F1C" w:rsidRPr="00A8609D" w:rsidRDefault="008A7F1C" w:rsidP="002243E1">
            <w:pPr>
              <w:rPr>
                <w:sz w:val="18"/>
                <w:szCs w:val="18"/>
              </w:rPr>
            </w:pPr>
            <w:r w:rsidRPr="00A8609D">
              <w:rPr>
                <w:rFonts w:eastAsia="Times New Roman" w:cs="Arial"/>
                <w:color w:val="000000"/>
                <w:sz w:val="18"/>
                <w:szCs w:val="18"/>
              </w:rPr>
              <w:t>The population understands the benefits of small-scale RES</w:t>
            </w:r>
          </w:p>
        </w:tc>
        <w:tc>
          <w:tcPr>
            <w:tcW w:w="586" w:type="pct"/>
            <w:shd w:val="clear" w:color="auto" w:fill="auto"/>
          </w:tcPr>
          <w:p w14:paraId="58E7F0E5" w14:textId="77777777" w:rsidR="008A7F1C" w:rsidRPr="00C9656A" w:rsidRDefault="008A7F1C" w:rsidP="001C2C78">
            <w:pPr>
              <w:rPr>
                <w:i/>
                <w:sz w:val="18"/>
                <w:szCs w:val="18"/>
              </w:rPr>
            </w:pPr>
            <w:r w:rsidRPr="00C9656A">
              <w:rPr>
                <w:sz w:val="18"/>
                <w:szCs w:val="18"/>
                <w:lang w:val="en-GB"/>
              </w:rPr>
              <w:t>Survey</w:t>
            </w:r>
          </w:p>
        </w:tc>
        <w:tc>
          <w:tcPr>
            <w:tcW w:w="533" w:type="pct"/>
            <w:shd w:val="clear" w:color="auto" w:fill="auto"/>
          </w:tcPr>
          <w:p w14:paraId="551166DE" w14:textId="77777777" w:rsidR="008A7F1C" w:rsidRPr="00C9656A" w:rsidRDefault="008A7F1C" w:rsidP="00E94DFD">
            <w:pPr>
              <w:rPr>
                <w:sz w:val="18"/>
                <w:szCs w:val="18"/>
              </w:rPr>
            </w:pPr>
            <w:r w:rsidRPr="00C9656A">
              <w:rPr>
                <w:sz w:val="18"/>
                <w:szCs w:val="18"/>
              </w:rPr>
              <w:t>After final PIR submitted to GEF</w:t>
            </w:r>
          </w:p>
        </w:tc>
        <w:tc>
          <w:tcPr>
            <w:tcW w:w="437" w:type="pct"/>
            <w:shd w:val="clear" w:color="auto" w:fill="auto"/>
          </w:tcPr>
          <w:p w14:paraId="17A43F26" w14:textId="77777777" w:rsidR="008A7F1C" w:rsidRPr="00C9656A" w:rsidRDefault="008A7F1C" w:rsidP="001C2C78">
            <w:pPr>
              <w:rPr>
                <w:i/>
                <w:sz w:val="18"/>
                <w:szCs w:val="18"/>
              </w:rPr>
            </w:pPr>
            <w:r w:rsidRPr="00C9656A">
              <w:rPr>
                <w:sz w:val="18"/>
                <w:szCs w:val="18"/>
                <w:lang w:val="en-GB"/>
              </w:rPr>
              <w:t>UNDP CO</w:t>
            </w:r>
          </w:p>
        </w:tc>
        <w:tc>
          <w:tcPr>
            <w:tcW w:w="623" w:type="pct"/>
            <w:shd w:val="clear" w:color="auto" w:fill="auto"/>
          </w:tcPr>
          <w:p w14:paraId="131748E2" w14:textId="77777777" w:rsidR="008A7F1C" w:rsidRPr="00C9656A" w:rsidRDefault="008A7F1C" w:rsidP="00E94DFD">
            <w:pPr>
              <w:rPr>
                <w:i/>
                <w:sz w:val="18"/>
                <w:szCs w:val="18"/>
              </w:rPr>
            </w:pPr>
            <w:r w:rsidRPr="00C9656A">
              <w:rPr>
                <w:sz w:val="18"/>
                <w:szCs w:val="18"/>
                <w:lang w:val="en-GB"/>
              </w:rPr>
              <w:t>Project final evaluation report</w:t>
            </w:r>
          </w:p>
        </w:tc>
        <w:tc>
          <w:tcPr>
            <w:tcW w:w="803" w:type="pct"/>
            <w:shd w:val="clear" w:color="auto" w:fill="auto"/>
          </w:tcPr>
          <w:p w14:paraId="7F53C2CA" w14:textId="77777777" w:rsidR="008A7F1C" w:rsidRPr="00C9656A" w:rsidRDefault="008A7F1C" w:rsidP="004622EC">
            <w:pPr>
              <w:rPr>
                <w:i/>
                <w:sz w:val="18"/>
                <w:szCs w:val="18"/>
              </w:rPr>
            </w:pPr>
            <w:r w:rsidRPr="00C9656A">
              <w:rPr>
                <w:sz w:val="18"/>
                <w:szCs w:val="18"/>
                <w:lang w:val="en-GB"/>
              </w:rPr>
              <w:t>Government remains fully committed to development of RES, local financial institutions are willing to support small-scale developments</w:t>
            </w:r>
          </w:p>
        </w:tc>
      </w:tr>
      <w:tr w:rsidR="00621087" w:rsidRPr="00C9656A" w14:paraId="47DCE795" w14:textId="77777777" w:rsidTr="00DB1EB8">
        <w:trPr>
          <w:trHeight w:val="424"/>
        </w:trPr>
        <w:tc>
          <w:tcPr>
            <w:tcW w:w="495" w:type="pct"/>
            <w:tcBorders>
              <w:bottom w:val="nil"/>
            </w:tcBorders>
            <w:shd w:val="clear" w:color="auto" w:fill="auto"/>
          </w:tcPr>
          <w:p w14:paraId="13406A22" w14:textId="77777777" w:rsidR="008A7F1C" w:rsidRPr="00C9656A" w:rsidRDefault="008A7F1C" w:rsidP="004622EC">
            <w:pPr>
              <w:rPr>
                <w:b/>
                <w:sz w:val="18"/>
                <w:szCs w:val="18"/>
              </w:rPr>
            </w:pPr>
          </w:p>
          <w:p w14:paraId="29346641" w14:textId="77777777" w:rsidR="008A7F1C" w:rsidRPr="00C9656A" w:rsidRDefault="008A7F1C" w:rsidP="004622EC">
            <w:pPr>
              <w:rPr>
                <w:b/>
                <w:sz w:val="18"/>
                <w:szCs w:val="18"/>
              </w:rPr>
            </w:pPr>
            <w:r w:rsidRPr="00C9656A">
              <w:rPr>
                <w:b/>
                <w:sz w:val="18"/>
                <w:szCs w:val="18"/>
              </w:rPr>
              <w:t>Project Outcome 3</w:t>
            </w:r>
          </w:p>
        </w:tc>
        <w:tc>
          <w:tcPr>
            <w:tcW w:w="773" w:type="pct"/>
            <w:tcBorders>
              <w:bottom w:val="single" w:sz="4" w:space="0" w:color="auto"/>
            </w:tcBorders>
            <w:shd w:val="clear" w:color="auto" w:fill="auto"/>
          </w:tcPr>
          <w:p w14:paraId="5A43A587" w14:textId="77777777" w:rsidR="008A7F1C" w:rsidRPr="00C9656A" w:rsidRDefault="008A7F1C" w:rsidP="004622EC">
            <w:pPr>
              <w:rPr>
                <w:sz w:val="18"/>
                <w:szCs w:val="18"/>
              </w:rPr>
            </w:pPr>
            <w:r w:rsidRPr="00C9656A">
              <w:rPr>
                <w:b/>
                <w:i/>
                <w:sz w:val="18"/>
                <w:szCs w:val="18"/>
              </w:rPr>
              <w:t xml:space="preserve">Indicator 3.1: </w:t>
            </w:r>
            <w:r w:rsidRPr="00C9656A">
              <w:rPr>
                <w:rFonts w:eastAsia="Times New Roman" w:cs="Arial"/>
                <w:color w:val="000000"/>
                <w:sz w:val="18"/>
                <w:szCs w:val="18"/>
              </w:rPr>
              <w:t xml:space="preserve"> Developed financial and business models for small-scale RES in urban and rural sectors</w:t>
            </w:r>
          </w:p>
        </w:tc>
        <w:tc>
          <w:tcPr>
            <w:tcW w:w="749" w:type="pct"/>
          </w:tcPr>
          <w:p w14:paraId="703204AE" w14:textId="77777777" w:rsidR="008A7F1C" w:rsidRPr="00A8609D" w:rsidRDefault="008A7F1C" w:rsidP="002243E1">
            <w:pPr>
              <w:rPr>
                <w:sz w:val="18"/>
                <w:szCs w:val="18"/>
              </w:rPr>
            </w:pPr>
            <w:r w:rsidRPr="00A8609D">
              <w:rPr>
                <w:rFonts w:eastAsia="Times New Roman" w:cs="Arial"/>
                <w:color w:val="000000"/>
                <w:sz w:val="18"/>
                <w:szCs w:val="18"/>
              </w:rPr>
              <w:t>Models are developed by the consultants</w:t>
            </w:r>
            <w:r w:rsidRPr="00A8609D">
              <w:rPr>
                <w:sz w:val="18"/>
                <w:szCs w:val="18"/>
              </w:rPr>
              <w:t xml:space="preserve"> </w:t>
            </w:r>
          </w:p>
        </w:tc>
        <w:tc>
          <w:tcPr>
            <w:tcW w:w="586" w:type="pct"/>
            <w:shd w:val="clear" w:color="auto" w:fill="auto"/>
          </w:tcPr>
          <w:p w14:paraId="49EA82D8" w14:textId="77777777" w:rsidR="008A7F1C" w:rsidRPr="00C9656A" w:rsidRDefault="008A7F1C" w:rsidP="001C2C78">
            <w:pPr>
              <w:rPr>
                <w:sz w:val="18"/>
                <w:szCs w:val="18"/>
              </w:rPr>
            </w:pPr>
            <w:r w:rsidRPr="00C9656A">
              <w:rPr>
                <w:sz w:val="18"/>
                <w:szCs w:val="18"/>
              </w:rPr>
              <w:t>Report</w:t>
            </w:r>
          </w:p>
        </w:tc>
        <w:tc>
          <w:tcPr>
            <w:tcW w:w="533" w:type="pct"/>
            <w:shd w:val="clear" w:color="auto" w:fill="auto"/>
          </w:tcPr>
          <w:p w14:paraId="44AA6738" w14:textId="77777777" w:rsidR="008A7F1C" w:rsidRPr="00C9656A" w:rsidRDefault="008A7F1C" w:rsidP="00E94DFD">
            <w:r w:rsidRPr="00C9656A">
              <w:rPr>
                <w:sz w:val="18"/>
                <w:szCs w:val="18"/>
                <w:lang w:val="en-GB"/>
              </w:rPr>
              <w:t>After final PIR submitted to GEF</w:t>
            </w:r>
          </w:p>
        </w:tc>
        <w:tc>
          <w:tcPr>
            <w:tcW w:w="437" w:type="pct"/>
            <w:shd w:val="clear" w:color="auto" w:fill="auto"/>
          </w:tcPr>
          <w:p w14:paraId="5846A583" w14:textId="77777777" w:rsidR="008A7F1C" w:rsidRPr="00C9656A" w:rsidRDefault="008A7F1C" w:rsidP="001C2C78">
            <w:pPr>
              <w:rPr>
                <w:sz w:val="18"/>
                <w:szCs w:val="18"/>
              </w:rPr>
            </w:pPr>
            <w:r w:rsidRPr="00C9656A">
              <w:rPr>
                <w:sz w:val="18"/>
                <w:szCs w:val="18"/>
                <w:lang w:val="en-GB"/>
              </w:rPr>
              <w:t>UNDP CO</w:t>
            </w:r>
          </w:p>
        </w:tc>
        <w:tc>
          <w:tcPr>
            <w:tcW w:w="623" w:type="pct"/>
            <w:shd w:val="clear" w:color="auto" w:fill="auto"/>
          </w:tcPr>
          <w:p w14:paraId="29486816" w14:textId="77777777" w:rsidR="008A7F1C" w:rsidRPr="00C9656A" w:rsidRDefault="008A7F1C" w:rsidP="00E94DFD">
            <w:pPr>
              <w:rPr>
                <w:sz w:val="18"/>
                <w:szCs w:val="18"/>
              </w:rPr>
            </w:pPr>
            <w:r w:rsidRPr="00C9656A">
              <w:rPr>
                <w:sz w:val="18"/>
                <w:szCs w:val="18"/>
              </w:rPr>
              <w:t>Consultant’s report</w:t>
            </w:r>
          </w:p>
        </w:tc>
        <w:tc>
          <w:tcPr>
            <w:tcW w:w="803" w:type="pct"/>
            <w:shd w:val="clear" w:color="auto" w:fill="auto"/>
          </w:tcPr>
          <w:p w14:paraId="59CDD122" w14:textId="77777777" w:rsidR="008A7F1C" w:rsidRPr="00C9656A" w:rsidRDefault="008A7F1C" w:rsidP="004622EC">
            <w:pPr>
              <w:rPr>
                <w:sz w:val="18"/>
                <w:szCs w:val="18"/>
              </w:rPr>
            </w:pPr>
          </w:p>
        </w:tc>
      </w:tr>
      <w:tr w:rsidR="00621087" w:rsidRPr="00C9656A" w14:paraId="70C88618" w14:textId="77777777" w:rsidTr="00DB1EB8">
        <w:trPr>
          <w:trHeight w:val="1367"/>
        </w:trPr>
        <w:tc>
          <w:tcPr>
            <w:tcW w:w="495" w:type="pct"/>
            <w:tcBorders>
              <w:top w:val="nil"/>
            </w:tcBorders>
            <w:shd w:val="clear" w:color="auto" w:fill="auto"/>
          </w:tcPr>
          <w:p w14:paraId="00AD1DFE" w14:textId="77777777" w:rsidR="008A7F1C" w:rsidRPr="00C9656A" w:rsidRDefault="008A7F1C" w:rsidP="004622EC">
            <w:pPr>
              <w:rPr>
                <w:b/>
                <w:sz w:val="18"/>
                <w:szCs w:val="18"/>
              </w:rPr>
            </w:pPr>
          </w:p>
        </w:tc>
        <w:tc>
          <w:tcPr>
            <w:tcW w:w="773" w:type="pct"/>
            <w:tcBorders>
              <w:bottom w:val="nil"/>
            </w:tcBorders>
            <w:shd w:val="clear" w:color="auto" w:fill="auto"/>
          </w:tcPr>
          <w:p w14:paraId="0C644B1B" w14:textId="77777777" w:rsidR="008A7F1C" w:rsidRPr="00C9656A" w:rsidRDefault="008A7F1C" w:rsidP="004622EC">
            <w:pPr>
              <w:rPr>
                <w:b/>
                <w:i/>
                <w:sz w:val="18"/>
                <w:szCs w:val="18"/>
              </w:rPr>
            </w:pPr>
            <w:r w:rsidRPr="00C9656A">
              <w:rPr>
                <w:b/>
                <w:i/>
                <w:sz w:val="18"/>
                <w:szCs w:val="18"/>
              </w:rPr>
              <w:t>Indicator 3. 2:</w:t>
            </w:r>
            <w:r w:rsidRPr="00C9656A">
              <w:rPr>
                <w:rFonts w:eastAsia="Times New Roman" w:cs="Arial"/>
                <w:color w:val="000000"/>
                <w:sz w:val="18"/>
                <w:szCs w:val="18"/>
              </w:rPr>
              <w:t xml:space="preserve"> Appropriate financial instruments created for pilot investments in small-scale rural and urban renewables</w:t>
            </w:r>
          </w:p>
        </w:tc>
        <w:tc>
          <w:tcPr>
            <w:tcW w:w="749" w:type="pct"/>
          </w:tcPr>
          <w:p w14:paraId="7EA1F644" w14:textId="77777777" w:rsidR="008A7F1C" w:rsidRPr="00A8609D" w:rsidRDefault="008A7F1C" w:rsidP="002243E1">
            <w:pPr>
              <w:rPr>
                <w:sz w:val="18"/>
                <w:szCs w:val="18"/>
              </w:rPr>
            </w:pPr>
            <w:r w:rsidRPr="00A8609D">
              <w:rPr>
                <w:rFonts w:eastAsia="Times New Roman" w:cs="Arial"/>
                <w:color w:val="000000"/>
                <w:sz w:val="18"/>
                <w:szCs w:val="18"/>
              </w:rPr>
              <w:t>Developed models are endorsed by the government and local financial institutions</w:t>
            </w:r>
          </w:p>
        </w:tc>
        <w:tc>
          <w:tcPr>
            <w:tcW w:w="586" w:type="pct"/>
            <w:shd w:val="clear" w:color="auto" w:fill="auto"/>
          </w:tcPr>
          <w:p w14:paraId="26718188" w14:textId="77777777" w:rsidR="008A7F1C" w:rsidRPr="00C9656A" w:rsidRDefault="008A7F1C" w:rsidP="001C2C78">
            <w:pPr>
              <w:rPr>
                <w:i/>
                <w:sz w:val="18"/>
                <w:szCs w:val="18"/>
              </w:rPr>
            </w:pPr>
            <w:r w:rsidRPr="00C9656A">
              <w:rPr>
                <w:sz w:val="18"/>
                <w:szCs w:val="18"/>
                <w:lang w:val="en-GB"/>
              </w:rPr>
              <w:t>Government policy documents, interviews with financial institutions</w:t>
            </w:r>
          </w:p>
        </w:tc>
        <w:tc>
          <w:tcPr>
            <w:tcW w:w="533" w:type="pct"/>
            <w:shd w:val="clear" w:color="auto" w:fill="auto"/>
          </w:tcPr>
          <w:p w14:paraId="6B831326" w14:textId="77777777" w:rsidR="008A7F1C" w:rsidRPr="00C9656A" w:rsidRDefault="008A7F1C" w:rsidP="001C2C78">
            <w:pPr>
              <w:rPr>
                <w:sz w:val="18"/>
                <w:szCs w:val="18"/>
                <w:lang w:val="en-GB"/>
              </w:rPr>
            </w:pPr>
            <w:r w:rsidRPr="00C9656A">
              <w:rPr>
                <w:sz w:val="18"/>
                <w:szCs w:val="18"/>
                <w:lang w:val="en-GB"/>
              </w:rPr>
              <w:t>Annually from 3</w:t>
            </w:r>
            <w:r w:rsidR="00E94DFD" w:rsidRPr="00C9656A">
              <w:rPr>
                <w:sz w:val="18"/>
                <w:szCs w:val="18"/>
                <w:lang w:val="en-GB"/>
              </w:rPr>
              <w:t>r</w:t>
            </w:r>
            <w:r w:rsidRPr="00C9656A">
              <w:rPr>
                <w:sz w:val="18"/>
                <w:szCs w:val="18"/>
                <w:lang w:val="en-GB"/>
              </w:rPr>
              <w:t>d year of the project</w:t>
            </w:r>
          </w:p>
          <w:p w14:paraId="1E82835B" w14:textId="77777777" w:rsidR="008A7F1C" w:rsidRPr="00C9656A" w:rsidRDefault="008A7F1C" w:rsidP="00E94DFD">
            <w:pPr>
              <w:rPr>
                <w:sz w:val="18"/>
                <w:szCs w:val="18"/>
              </w:rPr>
            </w:pPr>
            <w:r w:rsidRPr="00C9656A">
              <w:rPr>
                <w:sz w:val="18"/>
                <w:szCs w:val="18"/>
                <w:lang w:val="en-GB"/>
              </w:rPr>
              <w:t>Reported in DO tab of the GEF PIR</w:t>
            </w:r>
          </w:p>
        </w:tc>
        <w:tc>
          <w:tcPr>
            <w:tcW w:w="437" w:type="pct"/>
            <w:shd w:val="clear" w:color="auto" w:fill="auto"/>
          </w:tcPr>
          <w:p w14:paraId="0FF5F8ED" w14:textId="77777777" w:rsidR="008A7F1C" w:rsidRPr="00C9656A" w:rsidRDefault="008A7F1C" w:rsidP="001C2C78">
            <w:pPr>
              <w:rPr>
                <w:i/>
                <w:sz w:val="18"/>
                <w:szCs w:val="18"/>
              </w:rPr>
            </w:pPr>
            <w:r w:rsidRPr="00C9656A">
              <w:rPr>
                <w:sz w:val="18"/>
                <w:szCs w:val="18"/>
                <w:lang w:val="en-GB"/>
              </w:rPr>
              <w:t>UNDP CO</w:t>
            </w:r>
          </w:p>
        </w:tc>
        <w:tc>
          <w:tcPr>
            <w:tcW w:w="623" w:type="pct"/>
            <w:shd w:val="clear" w:color="auto" w:fill="auto"/>
          </w:tcPr>
          <w:p w14:paraId="6A5B5EC8" w14:textId="77777777" w:rsidR="008A7F1C" w:rsidRPr="00C9656A" w:rsidRDefault="008A7F1C" w:rsidP="00E94DFD">
            <w:pPr>
              <w:rPr>
                <w:i/>
                <w:sz w:val="18"/>
                <w:szCs w:val="18"/>
              </w:rPr>
            </w:pPr>
            <w:r w:rsidRPr="00C9656A">
              <w:rPr>
                <w:bCs/>
                <w:sz w:val="18"/>
                <w:szCs w:val="18"/>
                <w:lang w:val="en-GB"/>
              </w:rPr>
              <w:t>Policy and regulatory proposals, local financial institutions’ documents</w:t>
            </w:r>
          </w:p>
        </w:tc>
        <w:tc>
          <w:tcPr>
            <w:tcW w:w="803" w:type="pct"/>
            <w:shd w:val="clear" w:color="auto" w:fill="auto"/>
          </w:tcPr>
          <w:p w14:paraId="4E5011D2" w14:textId="77777777" w:rsidR="008A7F1C" w:rsidRPr="00C9656A" w:rsidRDefault="008A7F1C" w:rsidP="004622EC">
            <w:pPr>
              <w:rPr>
                <w:i/>
                <w:sz w:val="18"/>
                <w:szCs w:val="18"/>
              </w:rPr>
            </w:pPr>
            <w:r w:rsidRPr="00C9656A">
              <w:rPr>
                <w:sz w:val="18"/>
                <w:szCs w:val="18"/>
                <w:lang w:val="en-GB"/>
              </w:rPr>
              <w:t>Government supports development of small-scale RES, local financial institutions are willing to support small-scale developments</w:t>
            </w:r>
          </w:p>
        </w:tc>
      </w:tr>
      <w:tr w:rsidR="00621087" w:rsidRPr="00C9656A" w14:paraId="4986357E" w14:textId="77777777" w:rsidTr="00DB1EB8">
        <w:trPr>
          <w:trHeight w:val="424"/>
        </w:trPr>
        <w:tc>
          <w:tcPr>
            <w:tcW w:w="495" w:type="pct"/>
            <w:tcBorders>
              <w:top w:val="nil"/>
            </w:tcBorders>
            <w:shd w:val="clear" w:color="auto" w:fill="auto"/>
          </w:tcPr>
          <w:p w14:paraId="4E517E0D" w14:textId="77777777" w:rsidR="008A7F1C" w:rsidRPr="00C9656A" w:rsidRDefault="008A7F1C" w:rsidP="004622EC">
            <w:pPr>
              <w:rPr>
                <w:b/>
                <w:sz w:val="18"/>
                <w:szCs w:val="18"/>
              </w:rPr>
            </w:pPr>
          </w:p>
        </w:tc>
        <w:tc>
          <w:tcPr>
            <w:tcW w:w="773" w:type="pct"/>
            <w:shd w:val="clear" w:color="auto" w:fill="auto"/>
          </w:tcPr>
          <w:p w14:paraId="275D86F3" w14:textId="0191DC60" w:rsidR="008A7F1C" w:rsidRPr="00C9656A" w:rsidRDefault="008A7F1C" w:rsidP="004622EC">
            <w:pPr>
              <w:rPr>
                <w:b/>
                <w:i/>
                <w:sz w:val="18"/>
                <w:szCs w:val="18"/>
              </w:rPr>
            </w:pPr>
            <w:r w:rsidRPr="00C9656A">
              <w:rPr>
                <w:b/>
                <w:i/>
                <w:sz w:val="18"/>
                <w:szCs w:val="18"/>
              </w:rPr>
              <w:t>Indicator 3.</w:t>
            </w:r>
            <w:r w:rsidR="00DB1EB8">
              <w:rPr>
                <w:b/>
                <w:i/>
                <w:sz w:val="18"/>
                <w:szCs w:val="18"/>
              </w:rPr>
              <w:t>3</w:t>
            </w:r>
            <w:r w:rsidRPr="00C9656A">
              <w:rPr>
                <w:b/>
                <w:i/>
                <w:sz w:val="18"/>
                <w:szCs w:val="18"/>
              </w:rPr>
              <w:t xml:space="preserve">: </w:t>
            </w:r>
            <w:r w:rsidRPr="00C9656A">
              <w:rPr>
                <w:rFonts w:eastAsia="Times New Roman" w:cs="Arial"/>
                <w:color w:val="000000"/>
                <w:sz w:val="18"/>
                <w:szCs w:val="18"/>
              </w:rPr>
              <w:t xml:space="preserve"> Investment mobilized to support small-scale projects</w:t>
            </w:r>
          </w:p>
        </w:tc>
        <w:tc>
          <w:tcPr>
            <w:tcW w:w="749" w:type="pct"/>
          </w:tcPr>
          <w:p w14:paraId="4A0EE408" w14:textId="77777777" w:rsidR="008A7F1C" w:rsidRPr="00A8609D" w:rsidRDefault="008A7F1C" w:rsidP="001C2C78">
            <w:pPr>
              <w:rPr>
                <w:rFonts w:eastAsia="Times New Roman" w:cs="Arial"/>
                <w:color w:val="000000"/>
                <w:sz w:val="18"/>
                <w:szCs w:val="18"/>
              </w:rPr>
            </w:pPr>
            <w:r w:rsidRPr="00A8609D">
              <w:rPr>
                <w:rFonts w:eastAsia="Times New Roman" w:cs="Arial"/>
                <w:color w:val="000000"/>
                <w:sz w:val="18"/>
                <w:szCs w:val="18"/>
              </w:rPr>
              <w:t>Small-scale developers are investing in wind and solar PV</w:t>
            </w:r>
          </w:p>
        </w:tc>
        <w:tc>
          <w:tcPr>
            <w:tcW w:w="586" w:type="pct"/>
            <w:shd w:val="clear" w:color="auto" w:fill="auto"/>
          </w:tcPr>
          <w:p w14:paraId="384ED2E2" w14:textId="77777777" w:rsidR="008A7F1C" w:rsidRPr="00C9656A" w:rsidRDefault="008A7F1C" w:rsidP="001C2C78">
            <w:pPr>
              <w:rPr>
                <w:rFonts w:eastAsia="Times New Roman" w:cs="Arial"/>
                <w:color w:val="000000"/>
                <w:sz w:val="18"/>
                <w:szCs w:val="18"/>
              </w:rPr>
            </w:pPr>
            <w:r w:rsidRPr="00C9656A">
              <w:rPr>
                <w:rFonts w:eastAsia="Times New Roman" w:cs="Arial"/>
                <w:color w:val="000000"/>
                <w:sz w:val="18"/>
                <w:szCs w:val="18"/>
              </w:rPr>
              <w:t>Grant applications</w:t>
            </w:r>
          </w:p>
        </w:tc>
        <w:tc>
          <w:tcPr>
            <w:tcW w:w="533" w:type="pct"/>
            <w:shd w:val="clear" w:color="auto" w:fill="auto"/>
          </w:tcPr>
          <w:p w14:paraId="42FD08FC" w14:textId="77777777" w:rsidR="008A7F1C" w:rsidRPr="00C9656A" w:rsidRDefault="008A7F1C" w:rsidP="001C2C78">
            <w:pPr>
              <w:rPr>
                <w:sz w:val="18"/>
                <w:szCs w:val="18"/>
                <w:lang w:val="en-GB"/>
              </w:rPr>
            </w:pPr>
            <w:r w:rsidRPr="00C9656A">
              <w:rPr>
                <w:sz w:val="18"/>
                <w:szCs w:val="18"/>
                <w:lang w:val="en-GB"/>
              </w:rPr>
              <w:t>Annually from 3d year of the project</w:t>
            </w:r>
          </w:p>
          <w:p w14:paraId="004E8012" w14:textId="77777777" w:rsidR="008A7F1C" w:rsidRPr="00C9656A" w:rsidRDefault="008A7F1C" w:rsidP="001C2C78">
            <w:pPr>
              <w:rPr>
                <w:sz w:val="18"/>
                <w:szCs w:val="18"/>
              </w:rPr>
            </w:pPr>
          </w:p>
        </w:tc>
        <w:tc>
          <w:tcPr>
            <w:tcW w:w="437" w:type="pct"/>
            <w:shd w:val="clear" w:color="auto" w:fill="auto"/>
          </w:tcPr>
          <w:p w14:paraId="5E93E1D1" w14:textId="77777777" w:rsidR="008A7F1C" w:rsidRPr="00C9656A" w:rsidRDefault="008A7F1C" w:rsidP="001C2C78">
            <w:pPr>
              <w:rPr>
                <w:i/>
                <w:sz w:val="18"/>
                <w:szCs w:val="18"/>
              </w:rPr>
            </w:pPr>
            <w:r w:rsidRPr="00C9656A">
              <w:rPr>
                <w:sz w:val="18"/>
                <w:szCs w:val="18"/>
                <w:lang w:val="en-GB"/>
              </w:rPr>
              <w:t>UNDP CO</w:t>
            </w:r>
          </w:p>
        </w:tc>
        <w:tc>
          <w:tcPr>
            <w:tcW w:w="623" w:type="pct"/>
            <w:shd w:val="clear" w:color="auto" w:fill="auto"/>
          </w:tcPr>
          <w:p w14:paraId="6A4B005E" w14:textId="77777777" w:rsidR="008A7F1C" w:rsidRPr="00C9656A" w:rsidRDefault="008A7F1C" w:rsidP="001C2C78">
            <w:pPr>
              <w:rPr>
                <w:i/>
                <w:sz w:val="18"/>
                <w:szCs w:val="18"/>
              </w:rPr>
            </w:pPr>
            <w:r w:rsidRPr="00C9656A">
              <w:rPr>
                <w:sz w:val="18"/>
                <w:szCs w:val="18"/>
                <w:lang w:val="en-GB"/>
              </w:rPr>
              <w:t>Project final evaluation report</w:t>
            </w:r>
          </w:p>
        </w:tc>
        <w:tc>
          <w:tcPr>
            <w:tcW w:w="803" w:type="pct"/>
            <w:shd w:val="clear" w:color="auto" w:fill="auto"/>
          </w:tcPr>
          <w:p w14:paraId="5A59FE86" w14:textId="77777777" w:rsidR="008A7F1C" w:rsidRPr="00C9656A" w:rsidRDefault="008A7F1C" w:rsidP="004622EC">
            <w:pPr>
              <w:rPr>
                <w:i/>
                <w:sz w:val="18"/>
                <w:szCs w:val="18"/>
              </w:rPr>
            </w:pPr>
            <w:r w:rsidRPr="00C9656A">
              <w:rPr>
                <w:sz w:val="18"/>
                <w:szCs w:val="18"/>
                <w:lang w:val="en-GB"/>
              </w:rPr>
              <w:t>Adequate demand for small-scale RES finance</w:t>
            </w:r>
          </w:p>
        </w:tc>
      </w:tr>
      <w:tr w:rsidR="00621087" w:rsidRPr="00C9656A" w14:paraId="4C6EC973" w14:textId="77777777" w:rsidTr="00DB1EB8">
        <w:trPr>
          <w:trHeight w:val="424"/>
        </w:trPr>
        <w:tc>
          <w:tcPr>
            <w:tcW w:w="495" w:type="pct"/>
            <w:vMerge w:val="restart"/>
            <w:shd w:val="clear" w:color="auto" w:fill="auto"/>
          </w:tcPr>
          <w:p w14:paraId="3CBF024F" w14:textId="77777777" w:rsidR="007209CC" w:rsidRPr="00C9656A" w:rsidRDefault="007209CC" w:rsidP="004622EC">
            <w:pPr>
              <w:rPr>
                <w:b/>
                <w:sz w:val="18"/>
                <w:szCs w:val="18"/>
              </w:rPr>
            </w:pPr>
          </w:p>
          <w:p w14:paraId="06C85AE2" w14:textId="77777777" w:rsidR="008A7F1C" w:rsidRPr="00C9656A" w:rsidRDefault="001C2C78" w:rsidP="004622EC">
            <w:pPr>
              <w:rPr>
                <w:b/>
                <w:sz w:val="18"/>
                <w:szCs w:val="18"/>
              </w:rPr>
            </w:pPr>
            <w:r w:rsidRPr="00C9656A">
              <w:rPr>
                <w:b/>
                <w:sz w:val="18"/>
                <w:szCs w:val="18"/>
              </w:rPr>
              <w:t xml:space="preserve">Project Management </w:t>
            </w:r>
          </w:p>
        </w:tc>
        <w:tc>
          <w:tcPr>
            <w:tcW w:w="773" w:type="pct"/>
            <w:shd w:val="clear" w:color="auto" w:fill="auto"/>
          </w:tcPr>
          <w:p w14:paraId="4F533CD5" w14:textId="77777777" w:rsidR="008A7F1C" w:rsidRPr="00C9656A" w:rsidRDefault="008A7F1C" w:rsidP="004622EC">
            <w:pPr>
              <w:rPr>
                <w:b/>
                <w:i/>
                <w:sz w:val="18"/>
                <w:szCs w:val="18"/>
              </w:rPr>
            </w:pPr>
            <w:r w:rsidRPr="00C9656A">
              <w:rPr>
                <w:b/>
                <w:i/>
                <w:sz w:val="18"/>
                <w:szCs w:val="18"/>
              </w:rPr>
              <w:t xml:space="preserve">Indicator 4. 1 </w:t>
            </w:r>
          </w:p>
          <w:p w14:paraId="4751A214" w14:textId="77777777" w:rsidR="008A7F1C" w:rsidRPr="00C9656A" w:rsidRDefault="008A7F1C" w:rsidP="004622EC">
            <w:pPr>
              <w:rPr>
                <w:sz w:val="18"/>
                <w:szCs w:val="18"/>
              </w:rPr>
            </w:pPr>
          </w:p>
        </w:tc>
        <w:tc>
          <w:tcPr>
            <w:tcW w:w="749" w:type="pct"/>
          </w:tcPr>
          <w:p w14:paraId="21C3A5EB" w14:textId="77777777" w:rsidR="008A7F1C" w:rsidRPr="00A8609D" w:rsidRDefault="008A7F1C" w:rsidP="001C2C78">
            <w:pPr>
              <w:rPr>
                <w:sz w:val="18"/>
                <w:szCs w:val="18"/>
              </w:rPr>
            </w:pPr>
            <w:r w:rsidRPr="00A8609D">
              <w:rPr>
                <w:rFonts w:eastAsia="Times New Roman" w:cs="Arial"/>
                <w:color w:val="000000"/>
                <w:sz w:val="18"/>
                <w:szCs w:val="18"/>
              </w:rPr>
              <w:t>Adequate monitoring and evaluation facilitates smooth and successful project implementation</w:t>
            </w:r>
          </w:p>
        </w:tc>
        <w:tc>
          <w:tcPr>
            <w:tcW w:w="586" w:type="pct"/>
            <w:shd w:val="clear" w:color="auto" w:fill="auto"/>
          </w:tcPr>
          <w:p w14:paraId="69C0FB3D" w14:textId="77777777" w:rsidR="008A7F1C" w:rsidRPr="00C9656A" w:rsidRDefault="008A7F1C" w:rsidP="001C2C78">
            <w:pPr>
              <w:rPr>
                <w:sz w:val="18"/>
                <w:szCs w:val="18"/>
              </w:rPr>
            </w:pPr>
            <w:r w:rsidRPr="00C9656A">
              <w:rPr>
                <w:sz w:val="18"/>
                <w:szCs w:val="18"/>
                <w:lang w:val="en-GB"/>
              </w:rPr>
              <w:t>PIR, Mid-term Review, Project Terminal report</w:t>
            </w:r>
          </w:p>
        </w:tc>
        <w:tc>
          <w:tcPr>
            <w:tcW w:w="533" w:type="pct"/>
            <w:shd w:val="clear" w:color="auto" w:fill="auto"/>
          </w:tcPr>
          <w:p w14:paraId="2B734F51" w14:textId="77777777" w:rsidR="008A7F1C" w:rsidRPr="00C9656A" w:rsidRDefault="008A7F1C" w:rsidP="001C2C78">
            <w:pPr>
              <w:rPr>
                <w:sz w:val="18"/>
                <w:szCs w:val="18"/>
              </w:rPr>
            </w:pPr>
            <w:r w:rsidRPr="00C9656A">
              <w:rPr>
                <w:sz w:val="18"/>
                <w:szCs w:val="18"/>
              </w:rPr>
              <w:t>Annually</w:t>
            </w:r>
          </w:p>
          <w:p w14:paraId="01B6AF72" w14:textId="77777777" w:rsidR="008A7F1C" w:rsidRPr="00C9656A" w:rsidRDefault="008A7F1C" w:rsidP="001C2C78">
            <w:pPr>
              <w:rPr>
                <w:sz w:val="18"/>
                <w:szCs w:val="18"/>
              </w:rPr>
            </w:pPr>
            <w:r w:rsidRPr="00C9656A">
              <w:rPr>
                <w:sz w:val="18"/>
                <w:szCs w:val="18"/>
              </w:rPr>
              <w:t>Reported in DO tab of the GEF PIR</w:t>
            </w:r>
          </w:p>
        </w:tc>
        <w:tc>
          <w:tcPr>
            <w:tcW w:w="437" w:type="pct"/>
            <w:shd w:val="clear" w:color="auto" w:fill="auto"/>
          </w:tcPr>
          <w:p w14:paraId="587553CC" w14:textId="77777777" w:rsidR="008A7F1C" w:rsidRPr="00C9656A" w:rsidRDefault="008A7F1C" w:rsidP="001C2C78">
            <w:pPr>
              <w:rPr>
                <w:sz w:val="18"/>
                <w:szCs w:val="18"/>
              </w:rPr>
            </w:pPr>
            <w:r w:rsidRPr="00C9656A">
              <w:rPr>
                <w:sz w:val="18"/>
                <w:szCs w:val="18"/>
                <w:lang w:val="en-GB"/>
              </w:rPr>
              <w:t>UNDP CO</w:t>
            </w:r>
          </w:p>
        </w:tc>
        <w:tc>
          <w:tcPr>
            <w:tcW w:w="623" w:type="pct"/>
            <w:shd w:val="clear" w:color="auto" w:fill="auto"/>
          </w:tcPr>
          <w:p w14:paraId="281C9979" w14:textId="77777777" w:rsidR="008A7F1C" w:rsidRPr="00C9656A" w:rsidRDefault="008A7F1C" w:rsidP="001C2C78">
            <w:pPr>
              <w:rPr>
                <w:sz w:val="18"/>
                <w:szCs w:val="18"/>
              </w:rPr>
            </w:pPr>
            <w:r w:rsidRPr="00C9656A">
              <w:rPr>
                <w:sz w:val="18"/>
                <w:szCs w:val="18"/>
                <w:lang w:val="en-GB"/>
              </w:rPr>
              <w:t>PIR, Mid-term Review, Project Terminal report</w:t>
            </w:r>
          </w:p>
        </w:tc>
        <w:tc>
          <w:tcPr>
            <w:tcW w:w="803" w:type="pct"/>
            <w:shd w:val="clear" w:color="auto" w:fill="auto"/>
          </w:tcPr>
          <w:p w14:paraId="6C3871B3" w14:textId="77777777" w:rsidR="008A7F1C" w:rsidRPr="00C9656A" w:rsidRDefault="008A7F1C" w:rsidP="004622EC">
            <w:pPr>
              <w:rPr>
                <w:sz w:val="18"/>
                <w:szCs w:val="18"/>
              </w:rPr>
            </w:pPr>
          </w:p>
        </w:tc>
      </w:tr>
      <w:tr w:rsidR="00621087" w:rsidRPr="00C9656A" w14:paraId="7248AF94" w14:textId="77777777" w:rsidTr="00DB1EB8">
        <w:trPr>
          <w:trHeight w:val="424"/>
        </w:trPr>
        <w:tc>
          <w:tcPr>
            <w:tcW w:w="495" w:type="pct"/>
            <w:vMerge/>
            <w:shd w:val="clear" w:color="auto" w:fill="auto"/>
          </w:tcPr>
          <w:p w14:paraId="5133307F" w14:textId="77777777" w:rsidR="008A7F1C" w:rsidRPr="00C9656A" w:rsidRDefault="008A7F1C" w:rsidP="004622EC">
            <w:pPr>
              <w:rPr>
                <w:b/>
                <w:sz w:val="18"/>
                <w:szCs w:val="18"/>
              </w:rPr>
            </w:pPr>
          </w:p>
        </w:tc>
        <w:tc>
          <w:tcPr>
            <w:tcW w:w="773" w:type="pct"/>
            <w:shd w:val="clear" w:color="auto" w:fill="auto"/>
          </w:tcPr>
          <w:p w14:paraId="33D84B4F" w14:textId="77777777" w:rsidR="008A7F1C" w:rsidRPr="00C9656A" w:rsidRDefault="008A7F1C" w:rsidP="004622EC">
            <w:pPr>
              <w:rPr>
                <w:b/>
                <w:i/>
                <w:sz w:val="18"/>
                <w:szCs w:val="18"/>
              </w:rPr>
            </w:pPr>
            <w:r w:rsidRPr="00C9656A">
              <w:rPr>
                <w:b/>
                <w:i/>
                <w:sz w:val="18"/>
                <w:szCs w:val="18"/>
              </w:rPr>
              <w:t>Indicator 4. 2</w:t>
            </w:r>
          </w:p>
          <w:p w14:paraId="0BCDE101" w14:textId="77777777" w:rsidR="008A7F1C" w:rsidRPr="00C9656A" w:rsidRDefault="008A7F1C" w:rsidP="004622EC">
            <w:pPr>
              <w:rPr>
                <w:b/>
                <w:i/>
                <w:sz w:val="18"/>
                <w:szCs w:val="18"/>
              </w:rPr>
            </w:pPr>
          </w:p>
        </w:tc>
        <w:tc>
          <w:tcPr>
            <w:tcW w:w="749" w:type="pct"/>
          </w:tcPr>
          <w:p w14:paraId="743DABE4" w14:textId="77777777" w:rsidR="008A7F1C" w:rsidRPr="00A8609D" w:rsidRDefault="008A7F1C" w:rsidP="001C2C78">
            <w:pPr>
              <w:rPr>
                <w:rFonts w:eastAsia="Times New Roman" w:cs="Arial"/>
                <w:color w:val="000000"/>
                <w:sz w:val="18"/>
                <w:szCs w:val="18"/>
              </w:rPr>
            </w:pPr>
            <w:r w:rsidRPr="00A8609D">
              <w:rPr>
                <w:sz w:val="18"/>
                <w:szCs w:val="18"/>
              </w:rPr>
              <w:t>Project staff and stakeholders are aware of gender issues in project monitoring and evaluation</w:t>
            </w:r>
          </w:p>
        </w:tc>
        <w:tc>
          <w:tcPr>
            <w:tcW w:w="586" w:type="pct"/>
            <w:shd w:val="clear" w:color="auto" w:fill="auto"/>
          </w:tcPr>
          <w:p w14:paraId="7CF8436F" w14:textId="77777777" w:rsidR="008A7F1C" w:rsidRPr="00C9656A" w:rsidRDefault="008A7F1C" w:rsidP="001C2C78">
            <w:pPr>
              <w:rPr>
                <w:sz w:val="18"/>
                <w:szCs w:val="18"/>
              </w:rPr>
            </w:pPr>
            <w:r w:rsidRPr="00C9656A">
              <w:rPr>
                <w:sz w:val="18"/>
                <w:szCs w:val="18"/>
                <w:lang w:val="en-GB"/>
              </w:rPr>
              <w:t>PIR, Mid-term Review, Project Terminal report</w:t>
            </w:r>
          </w:p>
        </w:tc>
        <w:tc>
          <w:tcPr>
            <w:tcW w:w="533" w:type="pct"/>
            <w:shd w:val="clear" w:color="auto" w:fill="auto"/>
          </w:tcPr>
          <w:p w14:paraId="5B3FF208" w14:textId="77777777" w:rsidR="008A7F1C" w:rsidRPr="00C9656A" w:rsidRDefault="008A7F1C" w:rsidP="001C2C78">
            <w:pPr>
              <w:rPr>
                <w:sz w:val="18"/>
                <w:szCs w:val="18"/>
              </w:rPr>
            </w:pPr>
            <w:r w:rsidRPr="00C9656A">
              <w:rPr>
                <w:sz w:val="18"/>
                <w:szCs w:val="18"/>
              </w:rPr>
              <w:t>Annually</w:t>
            </w:r>
          </w:p>
          <w:p w14:paraId="3F350EB9" w14:textId="77777777" w:rsidR="008A7F1C" w:rsidRPr="00C9656A" w:rsidRDefault="008A7F1C" w:rsidP="001C2C78">
            <w:pPr>
              <w:rPr>
                <w:sz w:val="18"/>
                <w:szCs w:val="18"/>
              </w:rPr>
            </w:pPr>
            <w:r w:rsidRPr="00C9656A">
              <w:rPr>
                <w:sz w:val="18"/>
                <w:szCs w:val="18"/>
              </w:rPr>
              <w:t>Reported in DO tab of the GEF PIR</w:t>
            </w:r>
          </w:p>
        </w:tc>
        <w:tc>
          <w:tcPr>
            <w:tcW w:w="437" w:type="pct"/>
            <w:shd w:val="clear" w:color="auto" w:fill="auto"/>
          </w:tcPr>
          <w:p w14:paraId="7182A5AC" w14:textId="77777777" w:rsidR="008A7F1C" w:rsidRPr="00C9656A" w:rsidRDefault="008A7F1C" w:rsidP="001C2C78">
            <w:pPr>
              <w:rPr>
                <w:sz w:val="18"/>
                <w:szCs w:val="18"/>
              </w:rPr>
            </w:pPr>
            <w:r w:rsidRPr="00C9656A">
              <w:rPr>
                <w:sz w:val="18"/>
                <w:szCs w:val="18"/>
                <w:lang w:val="en-GB"/>
              </w:rPr>
              <w:t>UNDP CO</w:t>
            </w:r>
          </w:p>
        </w:tc>
        <w:tc>
          <w:tcPr>
            <w:tcW w:w="623" w:type="pct"/>
            <w:shd w:val="clear" w:color="auto" w:fill="auto"/>
          </w:tcPr>
          <w:p w14:paraId="3C1AA8DA" w14:textId="77777777" w:rsidR="008A7F1C" w:rsidRPr="00C9656A" w:rsidRDefault="008A7F1C" w:rsidP="001C2C78">
            <w:pPr>
              <w:rPr>
                <w:sz w:val="18"/>
                <w:szCs w:val="18"/>
              </w:rPr>
            </w:pPr>
            <w:r w:rsidRPr="00C9656A">
              <w:rPr>
                <w:sz w:val="18"/>
                <w:szCs w:val="18"/>
                <w:lang w:val="en-GB"/>
              </w:rPr>
              <w:t>PIR, Mid-term Review, Project Terminal report</w:t>
            </w:r>
          </w:p>
        </w:tc>
        <w:tc>
          <w:tcPr>
            <w:tcW w:w="803" w:type="pct"/>
            <w:shd w:val="clear" w:color="auto" w:fill="auto"/>
          </w:tcPr>
          <w:p w14:paraId="65CC864A" w14:textId="77777777" w:rsidR="008A7F1C" w:rsidRPr="00C9656A" w:rsidRDefault="008A7F1C" w:rsidP="004622EC">
            <w:pPr>
              <w:rPr>
                <w:sz w:val="18"/>
                <w:szCs w:val="18"/>
              </w:rPr>
            </w:pPr>
          </w:p>
        </w:tc>
      </w:tr>
      <w:tr w:rsidR="00621087" w:rsidRPr="00C9656A" w14:paraId="650C5AA8" w14:textId="77777777" w:rsidTr="00DB1EB8">
        <w:trPr>
          <w:trHeight w:val="424"/>
        </w:trPr>
        <w:tc>
          <w:tcPr>
            <w:tcW w:w="495" w:type="pct"/>
            <w:shd w:val="clear" w:color="auto" w:fill="auto"/>
          </w:tcPr>
          <w:p w14:paraId="6984B3C7" w14:textId="77777777" w:rsidR="008A7F1C" w:rsidRPr="00C9656A" w:rsidRDefault="008A7F1C" w:rsidP="00AE69B1">
            <w:pPr>
              <w:rPr>
                <w:b/>
                <w:i/>
                <w:sz w:val="18"/>
                <w:szCs w:val="18"/>
              </w:rPr>
            </w:pPr>
            <w:r w:rsidRPr="00C9656A">
              <w:rPr>
                <w:b/>
                <w:i/>
                <w:sz w:val="18"/>
                <w:szCs w:val="18"/>
              </w:rPr>
              <w:t>Mid-term GEF Tracking Tool</w:t>
            </w:r>
          </w:p>
        </w:tc>
        <w:tc>
          <w:tcPr>
            <w:tcW w:w="773" w:type="pct"/>
            <w:shd w:val="clear" w:color="auto" w:fill="auto"/>
          </w:tcPr>
          <w:p w14:paraId="22F1D29B" w14:textId="77777777" w:rsidR="008A7F1C" w:rsidRPr="00C9656A" w:rsidRDefault="008A7F1C" w:rsidP="004622EC">
            <w:pPr>
              <w:rPr>
                <w:sz w:val="18"/>
                <w:szCs w:val="18"/>
              </w:rPr>
            </w:pPr>
            <w:r w:rsidRPr="00C9656A">
              <w:rPr>
                <w:sz w:val="18"/>
                <w:szCs w:val="18"/>
              </w:rPr>
              <w:t>N/A</w:t>
            </w:r>
          </w:p>
        </w:tc>
        <w:tc>
          <w:tcPr>
            <w:tcW w:w="749" w:type="pct"/>
          </w:tcPr>
          <w:p w14:paraId="32293AB5" w14:textId="77777777" w:rsidR="008A7F1C" w:rsidRPr="00A8609D" w:rsidRDefault="008A7F1C" w:rsidP="001C2C78">
            <w:pPr>
              <w:rPr>
                <w:sz w:val="18"/>
                <w:szCs w:val="18"/>
              </w:rPr>
            </w:pPr>
            <w:r w:rsidRPr="00A8609D">
              <w:rPr>
                <w:sz w:val="18"/>
                <w:szCs w:val="18"/>
              </w:rPr>
              <w:t>N/A</w:t>
            </w:r>
          </w:p>
        </w:tc>
        <w:tc>
          <w:tcPr>
            <w:tcW w:w="586" w:type="pct"/>
            <w:shd w:val="clear" w:color="auto" w:fill="auto"/>
          </w:tcPr>
          <w:p w14:paraId="72BE06A5" w14:textId="77777777" w:rsidR="008A7F1C" w:rsidRPr="00C9656A" w:rsidRDefault="008A7F1C" w:rsidP="001C2C78">
            <w:pPr>
              <w:rPr>
                <w:sz w:val="18"/>
                <w:szCs w:val="18"/>
              </w:rPr>
            </w:pPr>
            <w:r w:rsidRPr="00C9656A">
              <w:rPr>
                <w:sz w:val="18"/>
                <w:szCs w:val="18"/>
              </w:rPr>
              <w:t xml:space="preserve">Standard GEF Tracking Tool available at </w:t>
            </w:r>
            <w:hyperlink r:id="rId43" w:history="1">
              <w:r w:rsidRPr="00C9656A">
                <w:rPr>
                  <w:rStyle w:val="ae"/>
                  <w:sz w:val="18"/>
                  <w:szCs w:val="18"/>
                </w:rPr>
                <w:t>www.thegef.org</w:t>
              </w:r>
            </w:hyperlink>
            <w:r w:rsidRPr="00C9656A">
              <w:rPr>
                <w:sz w:val="18"/>
                <w:szCs w:val="18"/>
              </w:rPr>
              <w:t xml:space="preserve"> Baseline GEF Tracking Tool included in Annex.</w:t>
            </w:r>
          </w:p>
        </w:tc>
        <w:tc>
          <w:tcPr>
            <w:tcW w:w="533" w:type="pct"/>
            <w:shd w:val="clear" w:color="auto" w:fill="auto"/>
          </w:tcPr>
          <w:p w14:paraId="7F11E06C" w14:textId="77777777" w:rsidR="008A7F1C" w:rsidRPr="00C9656A" w:rsidRDefault="008A7F1C" w:rsidP="001C2C78">
            <w:pPr>
              <w:rPr>
                <w:sz w:val="18"/>
                <w:szCs w:val="18"/>
              </w:rPr>
            </w:pPr>
            <w:r w:rsidRPr="00C9656A">
              <w:rPr>
                <w:sz w:val="18"/>
                <w:szCs w:val="18"/>
              </w:rPr>
              <w:t>After 2</w:t>
            </w:r>
            <w:r w:rsidRPr="00C9656A">
              <w:rPr>
                <w:sz w:val="18"/>
                <w:szCs w:val="18"/>
                <w:vertAlign w:val="superscript"/>
              </w:rPr>
              <w:t>nd</w:t>
            </w:r>
            <w:r w:rsidRPr="00C9656A">
              <w:rPr>
                <w:sz w:val="18"/>
                <w:szCs w:val="18"/>
              </w:rPr>
              <w:t xml:space="preserve"> PIR submitted to GEF</w:t>
            </w:r>
          </w:p>
        </w:tc>
        <w:tc>
          <w:tcPr>
            <w:tcW w:w="437" w:type="pct"/>
            <w:shd w:val="clear" w:color="auto" w:fill="auto"/>
          </w:tcPr>
          <w:p w14:paraId="6BDB926E" w14:textId="77777777" w:rsidR="008A7F1C" w:rsidRPr="00C9656A" w:rsidRDefault="008A7F1C" w:rsidP="001C2C78">
            <w:pPr>
              <w:rPr>
                <w:i/>
                <w:sz w:val="18"/>
                <w:szCs w:val="18"/>
              </w:rPr>
            </w:pPr>
            <w:r w:rsidRPr="00C9656A">
              <w:rPr>
                <w:sz w:val="18"/>
                <w:szCs w:val="18"/>
                <w:lang w:val="en-GB"/>
              </w:rPr>
              <w:t>UNDP CO</w:t>
            </w:r>
          </w:p>
        </w:tc>
        <w:tc>
          <w:tcPr>
            <w:tcW w:w="623" w:type="pct"/>
            <w:shd w:val="clear" w:color="auto" w:fill="auto"/>
          </w:tcPr>
          <w:p w14:paraId="618D8842" w14:textId="77777777" w:rsidR="008A7F1C" w:rsidRPr="00C9656A" w:rsidRDefault="008A7F1C" w:rsidP="001C2C78">
            <w:pPr>
              <w:rPr>
                <w:sz w:val="18"/>
                <w:szCs w:val="18"/>
              </w:rPr>
            </w:pPr>
            <w:r w:rsidRPr="00C9656A">
              <w:rPr>
                <w:sz w:val="18"/>
                <w:szCs w:val="18"/>
              </w:rPr>
              <w:t>Completed GEF Tracking Tool</w:t>
            </w:r>
          </w:p>
        </w:tc>
        <w:tc>
          <w:tcPr>
            <w:tcW w:w="803" w:type="pct"/>
            <w:shd w:val="clear" w:color="auto" w:fill="auto"/>
          </w:tcPr>
          <w:p w14:paraId="0DB14763" w14:textId="77777777" w:rsidR="008A7F1C" w:rsidRPr="00C9656A" w:rsidRDefault="008A7F1C" w:rsidP="004622EC">
            <w:pPr>
              <w:rPr>
                <w:sz w:val="18"/>
                <w:szCs w:val="18"/>
              </w:rPr>
            </w:pPr>
          </w:p>
        </w:tc>
      </w:tr>
      <w:tr w:rsidR="00621087" w:rsidRPr="00C9656A" w14:paraId="1624F350" w14:textId="77777777" w:rsidTr="00DB1EB8">
        <w:trPr>
          <w:trHeight w:val="424"/>
        </w:trPr>
        <w:tc>
          <w:tcPr>
            <w:tcW w:w="495" w:type="pct"/>
            <w:shd w:val="clear" w:color="auto" w:fill="auto"/>
          </w:tcPr>
          <w:p w14:paraId="25FED9FE" w14:textId="77777777" w:rsidR="008A7F1C" w:rsidRPr="00C9656A" w:rsidRDefault="008A7F1C" w:rsidP="00543AD0">
            <w:pPr>
              <w:rPr>
                <w:b/>
                <w:sz w:val="18"/>
                <w:szCs w:val="18"/>
              </w:rPr>
            </w:pPr>
            <w:r w:rsidRPr="00C9656A">
              <w:rPr>
                <w:b/>
                <w:sz w:val="18"/>
                <w:szCs w:val="18"/>
              </w:rPr>
              <w:t>Terminal GEF Tracking Tool</w:t>
            </w:r>
          </w:p>
        </w:tc>
        <w:tc>
          <w:tcPr>
            <w:tcW w:w="773" w:type="pct"/>
            <w:shd w:val="clear" w:color="auto" w:fill="auto"/>
          </w:tcPr>
          <w:p w14:paraId="3CFD9B86" w14:textId="77777777" w:rsidR="008A7F1C" w:rsidRPr="00C9656A" w:rsidRDefault="008A7F1C" w:rsidP="004622EC">
            <w:pPr>
              <w:rPr>
                <w:sz w:val="18"/>
                <w:szCs w:val="18"/>
              </w:rPr>
            </w:pPr>
            <w:r w:rsidRPr="00C9656A">
              <w:rPr>
                <w:sz w:val="18"/>
                <w:szCs w:val="18"/>
              </w:rPr>
              <w:t>N/A</w:t>
            </w:r>
          </w:p>
        </w:tc>
        <w:tc>
          <w:tcPr>
            <w:tcW w:w="749" w:type="pct"/>
          </w:tcPr>
          <w:p w14:paraId="68442AA2" w14:textId="77777777" w:rsidR="008A7F1C" w:rsidRPr="00A8609D" w:rsidRDefault="008A7F1C" w:rsidP="001C2C78">
            <w:pPr>
              <w:rPr>
                <w:sz w:val="18"/>
                <w:szCs w:val="18"/>
              </w:rPr>
            </w:pPr>
            <w:r w:rsidRPr="00A8609D">
              <w:rPr>
                <w:sz w:val="18"/>
                <w:szCs w:val="18"/>
              </w:rPr>
              <w:t>N/A</w:t>
            </w:r>
          </w:p>
        </w:tc>
        <w:tc>
          <w:tcPr>
            <w:tcW w:w="586" w:type="pct"/>
            <w:shd w:val="clear" w:color="auto" w:fill="auto"/>
          </w:tcPr>
          <w:p w14:paraId="1A248995" w14:textId="77777777" w:rsidR="008A7F1C" w:rsidRPr="00C9656A" w:rsidRDefault="008A7F1C" w:rsidP="001C2C78">
            <w:pPr>
              <w:rPr>
                <w:sz w:val="18"/>
                <w:szCs w:val="18"/>
              </w:rPr>
            </w:pPr>
            <w:r w:rsidRPr="00C9656A">
              <w:rPr>
                <w:sz w:val="18"/>
                <w:szCs w:val="18"/>
              </w:rPr>
              <w:t xml:space="preserve">Standard GEF Tracking Tool available at </w:t>
            </w:r>
            <w:hyperlink r:id="rId44" w:history="1">
              <w:r w:rsidRPr="00C9656A">
                <w:rPr>
                  <w:rStyle w:val="ae"/>
                  <w:sz w:val="18"/>
                  <w:szCs w:val="18"/>
                </w:rPr>
                <w:t>www.thegef.org</w:t>
              </w:r>
            </w:hyperlink>
            <w:r w:rsidRPr="00C9656A">
              <w:rPr>
                <w:sz w:val="18"/>
                <w:szCs w:val="18"/>
              </w:rPr>
              <w:t xml:space="preserve"> Baseline GEF Tracking Tool included in Annex.</w:t>
            </w:r>
          </w:p>
        </w:tc>
        <w:tc>
          <w:tcPr>
            <w:tcW w:w="533" w:type="pct"/>
            <w:shd w:val="clear" w:color="auto" w:fill="auto"/>
          </w:tcPr>
          <w:p w14:paraId="06BECEDB" w14:textId="77777777" w:rsidR="008A7F1C" w:rsidRPr="00C9656A" w:rsidRDefault="008A7F1C" w:rsidP="001C2C78">
            <w:pPr>
              <w:rPr>
                <w:sz w:val="18"/>
                <w:szCs w:val="18"/>
              </w:rPr>
            </w:pPr>
            <w:r w:rsidRPr="00C9656A">
              <w:rPr>
                <w:sz w:val="18"/>
                <w:szCs w:val="18"/>
              </w:rPr>
              <w:t>After final PIR submitted to GEF</w:t>
            </w:r>
          </w:p>
        </w:tc>
        <w:tc>
          <w:tcPr>
            <w:tcW w:w="437" w:type="pct"/>
            <w:shd w:val="clear" w:color="auto" w:fill="auto"/>
          </w:tcPr>
          <w:p w14:paraId="61126419" w14:textId="77777777" w:rsidR="008A7F1C" w:rsidRPr="00C9656A" w:rsidRDefault="008A7F1C" w:rsidP="001C2C78">
            <w:pPr>
              <w:rPr>
                <w:sz w:val="18"/>
                <w:szCs w:val="18"/>
                <w:highlight w:val="yellow"/>
              </w:rPr>
            </w:pPr>
            <w:r w:rsidRPr="00C9656A">
              <w:rPr>
                <w:sz w:val="18"/>
                <w:szCs w:val="18"/>
                <w:lang w:val="en-GB"/>
              </w:rPr>
              <w:t>UNDP CO</w:t>
            </w:r>
          </w:p>
        </w:tc>
        <w:tc>
          <w:tcPr>
            <w:tcW w:w="623" w:type="pct"/>
            <w:shd w:val="clear" w:color="auto" w:fill="auto"/>
          </w:tcPr>
          <w:p w14:paraId="19970A4C" w14:textId="77777777" w:rsidR="008A7F1C" w:rsidRPr="00C9656A" w:rsidRDefault="008A7F1C" w:rsidP="001C2C78">
            <w:pPr>
              <w:rPr>
                <w:sz w:val="18"/>
                <w:szCs w:val="18"/>
              </w:rPr>
            </w:pPr>
            <w:r w:rsidRPr="00C9656A">
              <w:rPr>
                <w:sz w:val="18"/>
                <w:szCs w:val="18"/>
              </w:rPr>
              <w:t>Completed GEF Tracking Tool</w:t>
            </w:r>
          </w:p>
        </w:tc>
        <w:tc>
          <w:tcPr>
            <w:tcW w:w="803" w:type="pct"/>
            <w:shd w:val="clear" w:color="auto" w:fill="auto"/>
          </w:tcPr>
          <w:p w14:paraId="5272B8B6" w14:textId="77777777" w:rsidR="008A7F1C" w:rsidRPr="00C9656A" w:rsidRDefault="008A7F1C" w:rsidP="004622EC">
            <w:pPr>
              <w:rPr>
                <w:sz w:val="18"/>
                <w:szCs w:val="18"/>
              </w:rPr>
            </w:pPr>
          </w:p>
        </w:tc>
      </w:tr>
      <w:tr w:rsidR="00621087" w:rsidRPr="00C9656A" w14:paraId="6E7059D4" w14:textId="77777777" w:rsidTr="00DB1EB8">
        <w:trPr>
          <w:trHeight w:val="424"/>
        </w:trPr>
        <w:tc>
          <w:tcPr>
            <w:tcW w:w="495" w:type="pct"/>
            <w:shd w:val="clear" w:color="auto" w:fill="auto"/>
          </w:tcPr>
          <w:p w14:paraId="22970BB2" w14:textId="77777777" w:rsidR="008A7F1C" w:rsidRPr="00C9656A" w:rsidRDefault="008A7F1C" w:rsidP="00AE69B1">
            <w:pPr>
              <w:rPr>
                <w:b/>
                <w:i/>
                <w:sz w:val="18"/>
                <w:szCs w:val="18"/>
              </w:rPr>
            </w:pPr>
            <w:r w:rsidRPr="00C9656A">
              <w:rPr>
                <w:b/>
                <w:i/>
                <w:sz w:val="18"/>
                <w:szCs w:val="18"/>
              </w:rPr>
              <w:t>Mid-term Review)</w:t>
            </w:r>
          </w:p>
        </w:tc>
        <w:tc>
          <w:tcPr>
            <w:tcW w:w="773" w:type="pct"/>
            <w:shd w:val="clear" w:color="auto" w:fill="auto"/>
          </w:tcPr>
          <w:p w14:paraId="17A87805" w14:textId="77777777" w:rsidR="008A7F1C" w:rsidRPr="00C9656A" w:rsidRDefault="008A7F1C" w:rsidP="004622EC">
            <w:pPr>
              <w:rPr>
                <w:sz w:val="18"/>
                <w:szCs w:val="18"/>
              </w:rPr>
            </w:pPr>
            <w:r w:rsidRPr="00C9656A">
              <w:rPr>
                <w:sz w:val="18"/>
                <w:szCs w:val="18"/>
              </w:rPr>
              <w:t>N/A</w:t>
            </w:r>
          </w:p>
        </w:tc>
        <w:tc>
          <w:tcPr>
            <w:tcW w:w="749" w:type="pct"/>
          </w:tcPr>
          <w:p w14:paraId="35110ED1" w14:textId="77777777" w:rsidR="008A7F1C" w:rsidRPr="00A8609D" w:rsidRDefault="008A7F1C" w:rsidP="001C2C78">
            <w:pPr>
              <w:rPr>
                <w:sz w:val="18"/>
                <w:szCs w:val="18"/>
              </w:rPr>
            </w:pPr>
            <w:r w:rsidRPr="00A8609D">
              <w:rPr>
                <w:sz w:val="18"/>
                <w:szCs w:val="18"/>
              </w:rPr>
              <w:t>N/A</w:t>
            </w:r>
          </w:p>
        </w:tc>
        <w:tc>
          <w:tcPr>
            <w:tcW w:w="586" w:type="pct"/>
            <w:shd w:val="clear" w:color="auto" w:fill="auto"/>
          </w:tcPr>
          <w:p w14:paraId="6A7227D6" w14:textId="77777777" w:rsidR="008A7F1C" w:rsidRPr="00C9656A" w:rsidRDefault="008A7F1C" w:rsidP="001C2C78">
            <w:pPr>
              <w:rPr>
                <w:sz w:val="18"/>
                <w:szCs w:val="18"/>
              </w:rPr>
            </w:pPr>
            <w:r w:rsidRPr="00C9656A">
              <w:rPr>
                <w:sz w:val="18"/>
                <w:szCs w:val="18"/>
              </w:rPr>
              <w:t>To be outlined in MTR inception report</w:t>
            </w:r>
          </w:p>
        </w:tc>
        <w:tc>
          <w:tcPr>
            <w:tcW w:w="533" w:type="pct"/>
            <w:shd w:val="clear" w:color="auto" w:fill="auto"/>
          </w:tcPr>
          <w:p w14:paraId="386F3A9F" w14:textId="77777777" w:rsidR="008A7F1C" w:rsidRPr="00C9656A" w:rsidRDefault="008A7F1C" w:rsidP="001C2C78">
            <w:pPr>
              <w:rPr>
                <w:sz w:val="18"/>
                <w:szCs w:val="18"/>
              </w:rPr>
            </w:pPr>
            <w:r w:rsidRPr="00C9656A">
              <w:rPr>
                <w:sz w:val="18"/>
                <w:szCs w:val="18"/>
              </w:rPr>
              <w:t>Submitted to GEF same year as 3</w:t>
            </w:r>
            <w:r w:rsidRPr="00C9656A">
              <w:rPr>
                <w:sz w:val="18"/>
                <w:szCs w:val="18"/>
                <w:vertAlign w:val="superscript"/>
              </w:rPr>
              <w:t>rd</w:t>
            </w:r>
            <w:r w:rsidRPr="00C9656A">
              <w:rPr>
                <w:sz w:val="18"/>
                <w:szCs w:val="18"/>
              </w:rPr>
              <w:t xml:space="preserve"> PIR</w:t>
            </w:r>
          </w:p>
        </w:tc>
        <w:tc>
          <w:tcPr>
            <w:tcW w:w="437" w:type="pct"/>
            <w:shd w:val="clear" w:color="auto" w:fill="auto"/>
          </w:tcPr>
          <w:p w14:paraId="1E28C599" w14:textId="77777777" w:rsidR="008A7F1C" w:rsidRPr="00C9656A" w:rsidRDefault="008A7F1C" w:rsidP="001C2C78">
            <w:pPr>
              <w:rPr>
                <w:i/>
                <w:sz w:val="18"/>
                <w:szCs w:val="18"/>
              </w:rPr>
            </w:pPr>
            <w:r w:rsidRPr="00C9656A">
              <w:rPr>
                <w:i/>
                <w:sz w:val="18"/>
                <w:szCs w:val="18"/>
              </w:rPr>
              <w:t>Independent evaluator</w:t>
            </w:r>
          </w:p>
        </w:tc>
        <w:tc>
          <w:tcPr>
            <w:tcW w:w="623" w:type="pct"/>
            <w:shd w:val="clear" w:color="auto" w:fill="auto"/>
          </w:tcPr>
          <w:p w14:paraId="1D313E46" w14:textId="77777777" w:rsidR="008A7F1C" w:rsidRPr="00C9656A" w:rsidRDefault="008A7F1C" w:rsidP="001C2C78">
            <w:pPr>
              <w:rPr>
                <w:sz w:val="18"/>
                <w:szCs w:val="18"/>
              </w:rPr>
            </w:pPr>
            <w:r w:rsidRPr="00C9656A">
              <w:rPr>
                <w:sz w:val="18"/>
                <w:szCs w:val="18"/>
              </w:rPr>
              <w:t>Completed MTR</w:t>
            </w:r>
          </w:p>
        </w:tc>
        <w:tc>
          <w:tcPr>
            <w:tcW w:w="803" w:type="pct"/>
            <w:shd w:val="clear" w:color="auto" w:fill="auto"/>
          </w:tcPr>
          <w:p w14:paraId="052EC60B" w14:textId="77777777" w:rsidR="008A7F1C" w:rsidRPr="00C9656A" w:rsidRDefault="008A7F1C" w:rsidP="004622EC">
            <w:pPr>
              <w:rPr>
                <w:i/>
                <w:sz w:val="18"/>
                <w:szCs w:val="18"/>
              </w:rPr>
            </w:pPr>
          </w:p>
        </w:tc>
      </w:tr>
      <w:tr w:rsidR="00621087" w:rsidRPr="00C9656A" w14:paraId="1047CDC1" w14:textId="77777777" w:rsidTr="00DB1EB8">
        <w:trPr>
          <w:trHeight w:val="424"/>
        </w:trPr>
        <w:tc>
          <w:tcPr>
            <w:tcW w:w="495" w:type="pct"/>
            <w:shd w:val="clear" w:color="auto" w:fill="auto"/>
          </w:tcPr>
          <w:p w14:paraId="6732FEF1" w14:textId="77777777" w:rsidR="008A7F1C" w:rsidRPr="00C9656A" w:rsidRDefault="008A7F1C" w:rsidP="00543AD0">
            <w:pPr>
              <w:rPr>
                <w:b/>
                <w:sz w:val="18"/>
                <w:szCs w:val="18"/>
              </w:rPr>
            </w:pPr>
            <w:r w:rsidRPr="00C9656A">
              <w:rPr>
                <w:b/>
                <w:sz w:val="18"/>
                <w:szCs w:val="18"/>
              </w:rPr>
              <w:t>Environmental and Social risks and management plans, as relevant.</w:t>
            </w:r>
          </w:p>
        </w:tc>
        <w:tc>
          <w:tcPr>
            <w:tcW w:w="773" w:type="pct"/>
            <w:shd w:val="clear" w:color="auto" w:fill="auto"/>
          </w:tcPr>
          <w:p w14:paraId="2A6B572B" w14:textId="77777777" w:rsidR="008A7F1C" w:rsidRPr="00C9656A" w:rsidRDefault="008A7F1C" w:rsidP="004622EC">
            <w:pPr>
              <w:rPr>
                <w:sz w:val="18"/>
                <w:szCs w:val="18"/>
              </w:rPr>
            </w:pPr>
            <w:r w:rsidRPr="00C9656A">
              <w:rPr>
                <w:sz w:val="18"/>
                <w:szCs w:val="18"/>
              </w:rPr>
              <w:t>N/A</w:t>
            </w:r>
          </w:p>
        </w:tc>
        <w:tc>
          <w:tcPr>
            <w:tcW w:w="749" w:type="pct"/>
          </w:tcPr>
          <w:p w14:paraId="72FBCA82" w14:textId="77777777" w:rsidR="008A7F1C" w:rsidRPr="00A8609D" w:rsidRDefault="008A7F1C" w:rsidP="001C2C78">
            <w:pPr>
              <w:rPr>
                <w:sz w:val="18"/>
                <w:szCs w:val="18"/>
              </w:rPr>
            </w:pPr>
            <w:r w:rsidRPr="00A8609D">
              <w:rPr>
                <w:sz w:val="18"/>
                <w:szCs w:val="18"/>
              </w:rPr>
              <w:t>N/A</w:t>
            </w:r>
          </w:p>
        </w:tc>
        <w:tc>
          <w:tcPr>
            <w:tcW w:w="586" w:type="pct"/>
            <w:shd w:val="clear" w:color="auto" w:fill="auto"/>
          </w:tcPr>
          <w:p w14:paraId="4094DEC7" w14:textId="77777777" w:rsidR="008A7F1C" w:rsidRPr="00C9656A" w:rsidRDefault="008A7F1C" w:rsidP="001C2C78">
            <w:pPr>
              <w:rPr>
                <w:sz w:val="18"/>
                <w:szCs w:val="18"/>
              </w:rPr>
            </w:pPr>
            <w:r w:rsidRPr="00C9656A">
              <w:rPr>
                <w:sz w:val="18"/>
                <w:szCs w:val="18"/>
              </w:rPr>
              <w:t>Updated SESP and management plans</w:t>
            </w:r>
          </w:p>
        </w:tc>
        <w:tc>
          <w:tcPr>
            <w:tcW w:w="533" w:type="pct"/>
            <w:shd w:val="clear" w:color="auto" w:fill="auto"/>
          </w:tcPr>
          <w:p w14:paraId="2A335462" w14:textId="77777777" w:rsidR="008A7F1C" w:rsidRPr="00C9656A" w:rsidRDefault="008A7F1C" w:rsidP="001C2C78">
            <w:pPr>
              <w:rPr>
                <w:sz w:val="18"/>
                <w:szCs w:val="18"/>
              </w:rPr>
            </w:pPr>
            <w:r w:rsidRPr="00C9656A">
              <w:rPr>
                <w:sz w:val="18"/>
                <w:szCs w:val="18"/>
              </w:rPr>
              <w:t>Annually</w:t>
            </w:r>
          </w:p>
        </w:tc>
        <w:tc>
          <w:tcPr>
            <w:tcW w:w="437" w:type="pct"/>
            <w:shd w:val="clear" w:color="auto" w:fill="auto"/>
          </w:tcPr>
          <w:p w14:paraId="0E38F026" w14:textId="77777777" w:rsidR="008A7F1C" w:rsidRPr="00C9656A" w:rsidRDefault="008A7F1C" w:rsidP="001C2C78">
            <w:pPr>
              <w:rPr>
                <w:sz w:val="18"/>
                <w:szCs w:val="18"/>
              </w:rPr>
            </w:pPr>
            <w:r w:rsidRPr="00C9656A">
              <w:rPr>
                <w:sz w:val="18"/>
                <w:szCs w:val="18"/>
              </w:rPr>
              <w:t>Project Manager</w:t>
            </w:r>
          </w:p>
          <w:p w14:paraId="39618C4A" w14:textId="77777777" w:rsidR="008A7F1C" w:rsidRPr="00C9656A" w:rsidRDefault="008A7F1C" w:rsidP="001C2C78">
            <w:pPr>
              <w:rPr>
                <w:i/>
                <w:sz w:val="18"/>
                <w:szCs w:val="18"/>
              </w:rPr>
            </w:pPr>
            <w:r w:rsidRPr="00C9656A">
              <w:rPr>
                <w:sz w:val="18"/>
                <w:szCs w:val="18"/>
              </w:rPr>
              <w:t>UNDP CO</w:t>
            </w:r>
          </w:p>
        </w:tc>
        <w:tc>
          <w:tcPr>
            <w:tcW w:w="623" w:type="pct"/>
            <w:shd w:val="clear" w:color="auto" w:fill="auto"/>
          </w:tcPr>
          <w:p w14:paraId="6E4FCC58" w14:textId="77777777" w:rsidR="008A7F1C" w:rsidRPr="00C9656A" w:rsidRDefault="008A7F1C" w:rsidP="001C2C78">
            <w:pPr>
              <w:rPr>
                <w:sz w:val="18"/>
                <w:szCs w:val="18"/>
              </w:rPr>
            </w:pPr>
            <w:r w:rsidRPr="00C9656A">
              <w:rPr>
                <w:sz w:val="18"/>
                <w:szCs w:val="18"/>
              </w:rPr>
              <w:t>Updated SESP</w:t>
            </w:r>
          </w:p>
        </w:tc>
        <w:tc>
          <w:tcPr>
            <w:tcW w:w="803" w:type="pct"/>
            <w:shd w:val="clear" w:color="auto" w:fill="auto"/>
          </w:tcPr>
          <w:p w14:paraId="065F4788" w14:textId="77777777" w:rsidR="008A7F1C" w:rsidRPr="00C9656A" w:rsidRDefault="008A7F1C" w:rsidP="004622EC">
            <w:pPr>
              <w:rPr>
                <w:i/>
                <w:sz w:val="18"/>
                <w:szCs w:val="18"/>
              </w:rPr>
            </w:pPr>
          </w:p>
        </w:tc>
      </w:tr>
    </w:tbl>
    <w:p w14:paraId="2DAD1212" w14:textId="77777777" w:rsidR="008A7F1C" w:rsidRPr="006C46D0" w:rsidRDefault="008A7F1C" w:rsidP="008A7F1C"/>
    <w:p w14:paraId="639B15C7" w14:textId="77777777" w:rsidR="003E6878" w:rsidRDefault="003E6878" w:rsidP="009A3027">
      <w:pPr>
        <w:pStyle w:val="2"/>
        <w:sectPr w:rsidR="003E6878" w:rsidSect="004622EC">
          <w:pgSz w:w="16840" w:h="11900" w:orient="landscape"/>
          <w:pgMar w:top="1440" w:right="1440" w:bottom="1440" w:left="1440" w:header="720" w:footer="720" w:gutter="0"/>
          <w:cols w:space="720"/>
          <w:titlePg/>
          <w:docGrid w:linePitch="360"/>
        </w:sectPr>
      </w:pPr>
    </w:p>
    <w:p w14:paraId="4F9F59F2" w14:textId="77777777" w:rsidR="009A3027" w:rsidRPr="00043685" w:rsidRDefault="00996ED8" w:rsidP="004622EC">
      <w:pPr>
        <w:pStyle w:val="2"/>
        <w:numPr>
          <w:ilvl w:val="0"/>
          <w:numId w:val="0"/>
        </w:numPr>
      </w:pPr>
      <w:bookmarkStart w:id="117" w:name="_Ref476653672"/>
      <w:bookmarkStart w:id="118" w:name="_Toc479693893"/>
      <w:r w:rsidRPr="00043685">
        <w:rPr>
          <w:rFonts w:asciiTheme="majorHAnsi" w:hAnsiTheme="majorHAnsi"/>
          <w:iCs w:val="0"/>
        </w:rPr>
        <w:t>A</w:t>
      </w:r>
      <w:r w:rsidR="00BF4AB4" w:rsidRPr="00043685">
        <w:rPr>
          <w:rFonts w:asciiTheme="majorHAnsi" w:hAnsiTheme="majorHAnsi"/>
          <w:iCs w:val="0"/>
        </w:rPr>
        <w:t xml:space="preserve">nnex </w:t>
      </w:r>
      <w:r w:rsidRPr="00043685">
        <w:rPr>
          <w:rFonts w:asciiTheme="majorHAnsi" w:hAnsiTheme="majorHAnsi"/>
          <w:iCs w:val="0"/>
        </w:rPr>
        <w:t>C</w:t>
      </w:r>
      <w:r w:rsidR="00FD0091" w:rsidRPr="00043685">
        <w:rPr>
          <w:rFonts w:asciiTheme="majorHAnsi" w:hAnsiTheme="majorHAnsi"/>
        </w:rPr>
        <w:t>.</w:t>
      </w:r>
      <w:r w:rsidRPr="00043685">
        <w:rPr>
          <w:rFonts w:asciiTheme="majorHAnsi" w:hAnsiTheme="majorHAnsi"/>
          <w:iCs w:val="0"/>
        </w:rPr>
        <w:t xml:space="preserve"> </w:t>
      </w:r>
      <w:r w:rsidR="003E3ABA" w:rsidRPr="00043685">
        <w:rPr>
          <w:rFonts w:asciiTheme="majorHAnsi" w:hAnsiTheme="majorHAnsi"/>
          <w:iCs w:val="0"/>
        </w:rPr>
        <w:t>Evaluation Plan</w:t>
      </w:r>
      <w:bookmarkEnd w:id="117"/>
      <w:bookmarkEnd w:id="118"/>
    </w:p>
    <w:p w14:paraId="2F4A6CE9" w14:textId="77777777" w:rsidR="003E3ABA" w:rsidRPr="006004D1" w:rsidRDefault="003E3ABA" w:rsidP="009A3027"/>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1394"/>
        <w:gridCol w:w="1344"/>
        <w:gridCol w:w="1395"/>
        <w:gridCol w:w="1337"/>
        <w:gridCol w:w="1237"/>
        <w:gridCol w:w="1124"/>
      </w:tblGrid>
      <w:tr w:rsidR="007A2969" w:rsidRPr="00C9656A" w14:paraId="150C7085" w14:textId="77777777" w:rsidTr="00A8609D">
        <w:trPr>
          <w:trHeight w:val="980"/>
        </w:trPr>
        <w:tc>
          <w:tcPr>
            <w:tcW w:w="1193" w:type="dxa"/>
            <w:shd w:val="clear" w:color="auto" w:fill="D9D9D9"/>
          </w:tcPr>
          <w:p w14:paraId="5540F1DF" w14:textId="77777777" w:rsidR="007A2969" w:rsidRPr="00C9656A" w:rsidRDefault="007A2969" w:rsidP="004622EC">
            <w:pPr>
              <w:rPr>
                <w:b/>
                <w:sz w:val="20"/>
                <w:szCs w:val="20"/>
              </w:rPr>
            </w:pPr>
            <w:bookmarkStart w:id="119" w:name="_Ref332981229"/>
            <w:bookmarkEnd w:id="87"/>
            <w:bookmarkEnd w:id="88"/>
            <w:r w:rsidRPr="00C9656A">
              <w:rPr>
                <w:b/>
                <w:sz w:val="20"/>
                <w:szCs w:val="20"/>
              </w:rPr>
              <w:t>Evaluation Title</w:t>
            </w:r>
          </w:p>
        </w:tc>
        <w:tc>
          <w:tcPr>
            <w:tcW w:w="1409" w:type="dxa"/>
            <w:shd w:val="clear" w:color="auto" w:fill="D9D9D9"/>
          </w:tcPr>
          <w:p w14:paraId="378BDFF0" w14:textId="77777777" w:rsidR="007A2969" w:rsidRPr="00C9656A" w:rsidRDefault="007A2969" w:rsidP="004622EC">
            <w:pPr>
              <w:rPr>
                <w:b/>
                <w:sz w:val="20"/>
                <w:szCs w:val="20"/>
              </w:rPr>
            </w:pPr>
            <w:r w:rsidRPr="00C9656A">
              <w:rPr>
                <w:b/>
                <w:sz w:val="20"/>
                <w:szCs w:val="20"/>
              </w:rPr>
              <w:t>Planned start date</w:t>
            </w:r>
          </w:p>
          <w:p w14:paraId="0C1AD18F" w14:textId="77777777" w:rsidR="007A2969" w:rsidRPr="00C9656A" w:rsidRDefault="007A2969" w:rsidP="004622EC">
            <w:pPr>
              <w:rPr>
                <w:b/>
                <w:sz w:val="20"/>
                <w:szCs w:val="20"/>
              </w:rPr>
            </w:pPr>
            <w:r w:rsidRPr="00C9656A">
              <w:rPr>
                <w:b/>
                <w:sz w:val="20"/>
                <w:szCs w:val="20"/>
              </w:rPr>
              <w:t>Month/year</w:t>
            </w:r>
          </w:p>
        </w:tc>
        <w:tc>
          <w:tcPr>
            <w:tcW w:w="1355" w:type="dxa"/>
            <w:shd w:val="clear" w:color="auto" w:fill="D9D9D9"/>
          </w:tcPr>
          <w:p w14:paraId="7BE6067B" w14:textId="77777777" w:rsidR="007A2969" w:rsidRPr="00C9656A" w:rsidRDefault="007A2969" w:rsidP="004622EC">
            <w:pPr>
              <w:rPr>
                <w:b/>
                <w:sz w:val="20"/>
                <w:szCs w:val="20"/>
              </w:rPr>
            </w:pPr>
            <w:r w:rsidRPr="00C9656A">
              <w:rPr>
                <w:b/>
                <w:sz w:val="20"/>
                <w:szCs w:val="20"/>
              </w:rPr>
              <w:t>Planned end date</w:t>
            </w:r>
          </w:p>
          <w:p w14:paraId="42938AFA" w14:textId="77777777" w:rsidR="007A2969" w:rsidRPr="00C9656A" w:rsidRDefault="007A2969" w:rsidP="004622EC">
            <w:pPr>
              <w:rPr>
                <w:b/>
                <w:sz w:val="20"/>
                <w:szCs w:val="20"/>
              </w:rPr>
            </w:pPr>
            <w:r w:rsidRPr="00C9656A">
              <w:rPr>
                <w:b/>
                <w:sz w:val="20"/>
                <w:szCs w:val="20"/>
              </w:rPr>
              <w:t>Month/year</w:t>
            </w:r>
          </w:p>
        </w:tc>
        <w:tc>
          <w:tcPr>
            <w:tcW w:w="1423" w:type="dxa"/>
            <w:shd w:val="clear" w:color="auto" w:fill="D9D9D9"/>
          </w:tcPr>
          <w:p w14:paraId="3147810C" w14:textId="77777777" w:rsidR="007A2969" w:rsidRPr="00C9656A" w:rsidRDefault="007A2969" w:rsidP="004622EC">
            <w:pPr>
              <w:rPr>
                <w:b/>
                <w:sz w:val="20"/>
                <w:szCs w:val="20"/>
              </w:rPr>
            </w:pPr>
            <w:r w:rsidRPr="00C9656A">
              <w:rPr>
                <w:b/>
                <w:sz w:val="20"/>
                <w:szCs w:val="20"/>
              </w:rPr>
              <w:t>Included in the Country Office Evaluation Plan</w:t>
            </w:r>
          </w:p>
        </w:tc>
        <w:tc>
          <w:tcPr>
            <w:tcW w:w="1352" w:type="dxa"/>
            <w:shd w:val="clear" w:color="auto" w:fill="D9D9D9"/>
          </w:tcPr>
          <w:p w14:paraId="1F2E763D" w14:textId="77777777" w:rsidR="007A2969" w:rsidRPr="00C9656A" w:rsidRDefault="007A2969" w:rsidP="004622EC">
            <w:pPr>
              <w:rPr>
                <w:b/>
                <w:sz w:val="20"/>
                <w:szCs w:val="20"/>
              </w:rPr>
            </w:pPr>
            <w:r w:rsidRPr="00C9656A">
              <w:rPr>
                <w:b/>
                <w:sz w:val="20"/>
                <w:szCs w:val="20"/>
              </w:rPr>
              <w:t>Budget for consultants</w:t>
            </w:r>
            <w:r w:rsidR="00543AD0" w:rsidRPr="00C9656A">
              <w:rPr>
                <w:b/>
                <w:sz w:val="20"/>
                <w:szCs w:val="20"/>
              </w:rPr>
              <w:t xml:space="preserve"> (US$)</w:t>
            </w:r>
          </w:p>
        </w:tc>
        <w:tc>
          <w:tcPr>
            <w:tcW w:w="1278" w:type="dxa"/>
            <w:shd w:val="clear" w:color="auto" w:fill="D9D9D9"/>
          </w:tcPr>
          <w:p w14:paraId="547AC392" w14:textId="77777777" w:rsidR="007A2969" w:rsidRPr="00C9656A" w:rsidRDefault="007A2969" w:rsidP="004622EC">
            <w:pPr>
              <w:rPr>
                <w:b/>
                <w:sz w:val="20"/>
                <w:szCs w:val="20"/>
              </w:rPr>
            </w:pPr>
            <w:r w:rsidRPr="00C9656A">
              <w:rPr>
                <w:b/>
                <w:sz w:val="20"/>
                <w:szCs w:val="20"/>
              </w:rPr>
              <w:t>Other budget (</w:t>
            </w:r>
            <w:r w:rsidR="00543AD0" w:rsidRPr="00C9656A">
              <w:rPr>
                <w:b/>
                <w:sz w:val="20"/>
                <w:szCs w:val="20"/>
              </w:rPr>
              <w:t xml:space="preserve">e.g. </w:t>
            </w:r>
            <w:r w:rsidRPr="00C9656A">
              <w:rPr>
                <w:b/>
                <w:sz w:val="20"/>
                <w:szCs w:val="20"/>
              </w:rPr>
              <w:t>travel, site visits etc</w:t>
            </w:r>
            <w:r w:rsidR="00543AD0" w:rsidRPr="00C9656A">
              <w:rPr>
                <w:b/>
                <w:sz w:val="20"/>
                <w:szCs w:val="20"/>
              </w:rPr>
              <w:t>.</w:t>
            </w:r>
            <w:r w:rsidRPr="00C9656A">
              <w:rPr>
                <w:b/>
                <w:sz w:val="20"/>
                <w:szCs w:val="20"/>
              </w:rPr>
              <w:t>)</w:t>
            </w:r>
          </w:p>
        </w:tc>
        <w:tc>
          <w:tcPr>
            <w:tcW w:w="1005" w:type="dxa"/>
            <w:shd w:val="clear" w:color="auto" w:fill="D9D9D9"/>
          </w:tcPr>
          <w:p w14:paraId="04ADA7D6" w14:textId="77777777" w:rsidR="007A2969" w:rsidRPr="00C9656A" w:rsidRDefault="007A2969" w:rsidP="004622EC">
            <w:pPr>
              <w:rPr>
                <w:b/>
                <w:sz w:val="20"/>
                <w:szCs w:val="20"/>
              </w:rPr>
            </w:pPr>
            <w:r w:rsidRPr="00C9656A">
              <w:rPr>
                <w:b/>
                <w:sz w:val="20"/>
                <w:szCs w:val="20"/>
              </w:rPr>
              <w:t xml:space="preserve">Budget for translation </w:t>
            </w:r>
          </w:p>
        </w:tc>
      </w:tr>
      <w:tr w:rsidR="007A2969" w:rsidRPr="00C9656A" w14:paraId="56782ED5" w14:textId="77777777" w:rsidTr="00A8609D">
        <w:trPr>
          <w:trHeight w:val="424"/>
        </w:trPr>
        <w:tc>
          <w:tcPr>
            <w:tcW w:w="1193" w:type="dxa"/>
            <w:shd w:val="clear" w:color="auto" w:fill="auto"/>
          </w:tcPr>
          <w:p w14:paraId="19456580" w14:textId="77777777" w:rsidR="007A2969" w:rsidRPr="00C9656A" w:rsidRDefault="007A2969" w:rsidP="009A3027">
            <w:pPr>
              <w:rPr>
                <w:b/>
                <w:sz w:val="18"/>
                <w:szCs w:val="18"/>
              </w:rPr>
            </w:pPr>
            <w:r w:rsidRPr="00C9656A">
              <w:rPr>
                <w:b/>
                <w:sz w:val="18"/>
                <w:szCs w:val="18"/>
              </w:rPr>
              <w:t>Mid-term review</w:t>
            </w:r>
          </w:p>
        </w:tc>
        <w:tc>
          <w:tcPr>
            <w:tcW w:w="1409" w:type="dxa"/>
            <w:shd w:val="clear" w:color="auto" w:fill="auto"/>
          </w:tcPr>
          <w:p w14:paraId="1653A868" w14:textId="77777777" w:rsidR="007A2969" w:rsidRPr="00B76C4E" w:rsidRDefault="00030E1D" w:rsidP="00473D26">
            <w:pPr>
              <w:rPr>
                <w:sz w:val="18"/>
                <w:szCs w:val="18"/>
              </w:rPr>
            </w:pPr>
            <w:r w:rsidRPr="00B76C4E">
              <w:rPr>
                <w:sz w:val="18"/>
                <w:szCs w:val="18"/>
              </w:rPr>
              <w:t xml:space="preserve">October </w:t>
            </w:r>
            <w:r w:rsidR="007A2969" w:rsidRPr="00B76C4E">
              <w:rPr>
                <w:sz w:val="18"/>
                <w:szCs w:val="18"/>
              </w:rPr>
              <w:t>2019</w:t>
            </w:r>
          </w:p>
        </w:tc>
        <w:tc>
          <w:tcPr>
            <w:tcW w:w="1355" w:type="dxa"/>
            <w:shd w:val="clear" w:color="auto" w:fill="auto"/>
          </w:tcPr>
          <w:p w14:paraId="22706D82" w14:textId="77777777" w:rsidR="007A2969" w:rsidRPr="00B76C4E" w:rsidRDefault="00030E1D" w:rsidP="00473D26">
            <w:pPr>
              <w:rPr>
                <w:sz w:val="18"/>
                <w:szCs w:val="18"/>
              </w:rPr>
            </w:pPr>
            <w:r w:rsidRPr="00B76C4E">
              <w:rPr>
                <w:sz w:val="18"/>
                <w:szCs w:val="18"/>
              </w:rPr>
              <w:t xml:space="preserve">December </w:t>
            </w:r>
            <w:r w:rsidR="007A2969" w:rsidRPr="00B76C4E">
              <w:rPr>
                <w:sz w:val="18"/>
                <w:szCs w:val="18"/>
              </w:rPr>
              <w:t>2019</w:t>
            </w:r>
          </w:p>
        </w:tc>
        <w:tc>
          <w:tcPr>
            <w:tcW w:w="1423" w:type="dxa"/>
            <w:shd w:val="clear" w:color="auto" w:fill="auto"/>
          </w:tcPr>
          <w:p w14:paraId="4E25D1E4" w14:textId="77777777" w:rsidR="007A2969" w:rsidRPr="00C9656A" w:rsidRDefault="007A2969" w:rsidP="00473D26">
            <w:pPr>
              <w:rPr>
                <w:sz w:val="18"/>
                <w:szCs w:val="18"/>
              </w:rPr>
            </w:pPr>
            <w:r w:rsidRPr="00C9656A">
              <w:rPr>
                <w:sz w:val="18"/>
                <w:szCs w:val="18"/>
              </w:rPr>
              <w:t>Yes</w:t>
            </w:r>
          </w:p>
        </w:tc>
        <w:tc>
          <w:tcPr>
            <w:tcW w:w="1352" w:type="dxa"/>
            <w:shd w:val="clear" w:color="auto" w:fill="auto"/>
          </w:tcPr>
          <w:p w14:paraId="1BF2047A" w14:textId="77777777" w:rsidR="007A2969" w:rsidRPr="00C9656A" w:rsidRDefault="007A2969" w:rsidP="00473D26">
            <w:pPr>
              <w:rPr>
                <w:sz w:val="18"/>
                <w:szCs w:val="18"/>
              </w:rPr>
            </w:pPr>
            <w:r w:rsidRPr="00C9656A">
              <w:rPr>
                <w:sz w:val="18"/>
                <w:szCs w:val="18"/>
              </w:rPr>
              <w:t>25</w:t>
            </w:r>
            <w:r w:rsidR="00543AD0" w:rsidRPr="00C9656A">
              <w:rPr>
                <w:sz w:val="18"/>
                <w:szCs w:val="18"/>
              </w:rPr>
              <w:t>,</w:t>
            </w:r>
            <w:r w:rsidRPr="00C9656A">
              <w:rPr>
                <w:sz w:val="18"/>
                <w:szCs w:val="18"/>
              </w:rPr>
              <w:t>000</w:t>
            </w:r>
          </w:p>
        </w:tc>
        <w:tc>
          <w:tcPr>
            <w:tcW w:w="1278" w:type="dxa"/>
            <w:shd w:val="clear" w:color="auto" w:fill="auto"/>
          </w:tcPr>
          <w:p w14:paraId="2EA27E55" w14:textId="77777777" w:rsidR="007A2969" w:rsidRPr="00C9656A" w:rsidRDefault="007A2969" w:rsidP="00473D26">
            <w:pPr>
              <w:rPr>
                <w:sz w:val="18"/>
                <w:szCs w:val="18"/>
              </w:rPr>
            </w:pPr>
            <w:r w:rsidRPr="00C9656A">
              <w:rPr>
                <w:sz w:val="18"/>
                <w:szCs w:val="18"/>
              </w:rPr>
              <w:t>n/a</w:t>
            </w:r>
          </w:p>
        </w:tc>
        <w:tc>
          <w:tcPr>
            <w:tcW w:w="1005" w:type="dxa"/>
            <w:shd w:val="clear" w:color="auto" w:fill="auto"/>
          </w:tcPr>
          <w:p w14:paraId="2AD55DB2" w14:textId="77777777" w:rsidR="007A2969" w:rsidRPr="00C9656A" w:rsidRDefault="007A2969" w:rsidP="00473D26">
            <w:pPr>
              <w:rPr>
                <w:sz w:val="18"/>
                <w:szCs w:val="18"/>
              </w:rPr>
            </w:pPr>
            <w:r w:rsidRPr="00C9656A">
              <w:rPr>
                <w:sz w:val="18"/>
                <w:szCs w:val="18"/>
              </w:rPr>
              <w:t>n/a</w:t>
            </w:r>
          </w:p>
        </w:tc>
      </w:tr>
      <w:tr w:rsidR="007A2969" w:rsidRPr="00C9656A" w14:paraId="1AB78CE8" w14:textId="77777777" w:rsidTr="00A8609D">
        <w:trPr>
          <w:trHeight w:val="424"/>
        </w:trPr>
        <w:tc>
          <w:tcPr>
            <w:tcW w:w="1193" w:type="dxa"/>
            <w:shd w:val="clear" w:color="auto" w:fill="auto"/>
          </w:tcPr>
          <w:p w14:paraId="5BA991EB" w14:textId="77777777" w:rsidR="007A2969" w:rsidRPr="00C9656A" w:rsidRDefault="007A2969" w:rsidP="009A3027">
            <w:pPr>
              <w:rPr>
                <w:b/>
                <w:sz w:val="18"/>
                <w:szCs w:val="18"/>
              </w:rPr>
            </w:pPr>
            <w:r w:rsidRPr="00C9656A">
              <w:rPr>
                <w:b/>
                <w:sz w:val="18"/>
                <w:szCs w:val="18"/>
              </w:rPr>
              <w:t>Terminal Evaluation</w:t>
            </w:r>
          </w:p>
        </w:tc>
        <w:tc>
          <w:tcPr>
            <w:tcW w:w="1409" w:type="dxa"/>
            <w:shd w:val="clear" w:color="auto" w:fill="auto"/>
          </w:tcPr>
          <w:p w14:paraId="134FDDD5" w14:textId="77777777" w:rsidR="007A2969" w:rsidRPr="00B76C4E" w:rsidRDefault="00030E1D" w:rsidP="00473D26">
            <w:pPr>
              <w:rPr>
                <w:sz w:val="18"/>
                <w:szCs w:val="18"/>
              </w:rPr>
            </w:pPr>
            <w:r w:rsidRPr="00B76C4E">
              <w:rPr>
                <w:sz w:val="18"/>
                <w:szCs w:val="18"/>
              </w:rPr>
              <w:t xml:space="preserve">November </w:t>
            </w:r>
            <w:r w:rsidR="007A2969" w:rsidRPr="00B76C4E">
              <w:rPr>
                <w:sz w:val="18"/>
                <w:szCs w:val="18"/>
              </w:rPr>
              <w:t>20</w:t>
            </w:r>
            <w:r w:rsidR="00543AD0" w:rsidRPr="00B76C4E">
              <w:rPr>
                <w:sz w:val="18"/>
                <w:szCs w:val="18"/>
              </w:rPr>
              <w:t>21</w:t>
            </w:r>
          </w:p>
        </w:tc>
        <w:tc>
          <w:tcPr>
            <w:tcW w:w="1355" w:type="dxa"/>
            <w:shd w:val="clear" w:color="auto" w:fill="auto"/>
          </w:tcPr>
          <w:p w14:paraId="79FDF8B6" w14:textId="77777777" w:rsidR="007A2969" w:rsidRPr="00B76C4E" w:rsidRDefault="00030E1D" w:rsidP="00030E1D">
            <w:pPr>
              <w:rPr>
                <w:sz w:val="18"/>
                <w:szCs w:val="18"/>
              </w:rPr>
            </w:pPr>
            <w:r w:rsidRPr="00B76C4E">
              <w:rPr>
                <w:sz w:val="18"/>
                <w:szCs w:val="18"/>
              </w:rPr>
              <w:t>February 2022</w:t>
            </w:r>
          </w:p>
        </w:tc>
        <w:tc>
          <w:tcPr>
            <w:tcW w:w="1423" w:type="dxa"/>
            <w:shd w:val="clear" w:color="auto" w:fill="auto"/>
          </w:tcPr>
          <w:p w14:paraId="1F3B5122" w14:textId="77777777" w:rsidR="007A2969" w:rsidRPr="00C9656A" w:rsidRDefault="007A2969" w:rsidP="00473D26">
            <w:pPr>
              <w:rPr>
                <w:sz w:val="18"/>
                <w:szCs w:val="18"/>
              </w:rPr>
            </w:pPr>
            <w:r w:rsidRPr="00C9656A">
              <w:rPr>
                <w:sz w:val="18"/>
                <w:szCs w:val="18"/>
              </w:rPr>
              <w:t>Yes</w:t>
            </w:r>
          </w:p>
        </w:tc>
        <w:tc>
          <w:tcPr>
            <w:tcW w:w="1352" w:type="dxa"/>
            <w:shd w:val="clear" w:color="auto" w:fill="auto"/>
          </w:tcPr>
          <w:p w14:paraId="41A4584C" w14:textId="77777777" w:rsidR="007A2969" w:rsidRPr="00C9656A" w:rsidRDefault="007A2969" w:rsidP="00473D26">
            <w:pPr>
              <w:rPr>
                <w:sz w:val="18"/>
                <w:szCs w:val="18"/>
              </w:rPr>
            </w:pPr>
            <w:r w:rsidRPr="00C9656A">
              <w:rPr>
                <w:sz w:val="18"/>
                <w:szCs w:val="18"/>
              </w:rPr>
              <w:t>28</w:t>
            </w:r>
            <w:r w:rsidR="00543AD0" w:rsidRPr="00C9656A">
              <w:rPr>
                <w:sz w:val="18"/>
                <w:szCs w:val="18"/>
              </w:rPr>
              <w:t>,</w:t>
            </w:r>
            <w:r w:rsidRPr="00C9656A">
              <w:rPr>
                <w:sz w:val="18"/>
                <w:szCs w:val="18"/>
              </w:rPr>
              <w:t>000</w:t>
            </w:r>
          </w:p>
        </w:tc>
        <w:tc>
          <w:tcPr>
            <w:tcW w:w="1278" w:type="dxa"/>
            <w:shd w:val="clear" w:color="auto" w:fill="auto"/>
          </w:tcPr>
          <w:p w14:paraId="58DC385F" w14:textId="77777777" w:rsidR="007A2969" w:rsidRPr="00C9656A" w:rsidRDefault="007A2969" w:rsidP="00473D26">
            <w:pPr>
              <w:rPr>
                <w:sz w:val="18"/>
                <w:szCs w:val="18"/>
              </w:rPr>
            </w:pPr>
            <w:r w:rsidRPr="00C9656A">
              <w:rPr>
                <w:sz w:val="18"/>
                <w:szCs w:val="18"/>
              </w:rPr>
              <w:t>n/a</w:t>
            </w:r>
          </w:p>
        </w:tc>
        <w:tc>
          <w:tcPr>
            <w:tcW w:w="1005" w:type="dxa"/>
            <w:shd w:val="clear" w:color="auto" w:fill="auto"/>
          </w:tcPr>
          <w:p w14:paraId="136B6969" w14:textId="77777777" w:rsidR="007A2969" w:rsidRPr="00C9656A" w:rsidRDefault="007A2969" w:rsidP="00473D26">
            <w:pPr>
              <w:rPr>
                <w:sz w:val="18"/>
                <w:szCs w:val="18"/>
              </w:rPr>
            </w:pPr>
            <w:r w:rsidRPr="00C9656A">
              <w:rPr>
                <w:sz w:val="18"/>
                <w:szCs w:val="18"/>
              </w:rPr>
              <w:t>n/a</w:t>
            </w:r>
          </w:p>
        </w:tc>
      </w:tr>
      <w:tr w:rsidR="007A2969" w:rsidRPr="00C9656A" w14:paraId="673815D2" w14:textId="77777777" w:rsidTr="00A8609D">
        <w:trPr>
          <w:trHeight w:val="424"/>
        </w:trPr>
        <w:tc>
          <w:tcPr>
            <w:tcW w:w="5380" w:type="dxa"/>
            <w:gridSpan w:val="4"/>
            <w:shd w:val="clear" w:color="auto" w:fill="auto"/>
          </w:tcPr>
          <w:p w14:paraId="0EA556C2" w14:textId="77777777" w:rsidR="007A2969" w:rsidRPr="00C9656A" w:rsidRDefault="007A2969" w:rsidP="00473D26">
            <w:pPr>
              <w:rPr>
                <w:b/>
                <w:sz w:val="18"/>
                <w:szCs w:val="18"/>
              </w:rPr>
            </w:pPr>
            <w:r w:rsidRPr="00C9656A">
              <w:rPr>
                <w:b/>
                <w:sz w:val="18"/>
                <w:szCs w:val="18"/>
              </w:rPr>
              <w:t>Total evaluation budget</w:t>
            </w:r>
          </w:p>
        </w:tc>
        <w:tc>
          <w:tcPr>
            <w:tcW w:w="3635" w:type="dxa"/>
            <w:gridSpan w:val="3"/>
            <w:shd w:val="clear" w:color="auto" w:fill="auto"/>
          </w:tcPr>
          <w:p w14:paraId="77FE05F9" w14:textId="77777777" w:rsidR="007A2969" w:rsidRPr="00C9656A" w:rsidRDefault="007A2969" w:rsidP="009A3027">
            <w:pPr>
              <w:rPr>
                <w:sz w:val="18"/>
                <w:szCs w:val="18"/>
              </w:rPr>
            </w:pPr>
            <w:r w:rsidRPr="00C9656A">
              <w:rPr>
                <w:sz w:val="18"/>
                <w:szCs w:val="18"/>
              </w:rPr>
              <w:t>53</w:t>
            </w:r>
            <w:r w:rsidR="00543AD0" w:rsidRPr="00C9656A">
              <w:rPr>
                <w:sz w:val="18"/>
                <w:szCs w:val="18"/>
              </w:rPr>
              <w:t>,</w:t>
            </w:r>
            <w:r w:rsidRPr="00C9656A">
              <w:rPr>
                <w:sz w:val="18"/>
                <w:szCs w:val="18"/>
              </w:rPr>
              <w:t>000</w:t>
            </w:r>
          </w:p>
        </w:tc>
      </w:tr>
    </w:tbl>
    <w:p w14:paraId="6DA9F693" w14:textId="77777777" w:rsidR="003162EA" w:rsidRDefault="003162EA" w:rsidP="008A2E95">
      <w:pPr>
        <w:spacing w:before="160"/>
        <w:ind w:right="-450"/>
        <w:sectPr w:rsidR="003162EA" w:rsidSect="004622EC">
          <w:pgSz w:w="11900" w:h="16840"/>
          <w:pgMar w:top="1440" w:right="1440" w:bottom="1440" w:left="1440" w:header="720" w:footer="720" w:gutter="0"/>
          <w:cols w:space="720"/>
          <w:titlePg/>
          <w:docGrid w:linePitch="360"/>
        </w:sectPr>
      </w:pPr>
    </w:p>
    <w:p w14:paraId="2C6544B6" w14:textId="77777777" w:rsidR="00481A70" w:rsidRPr="004622EC" w:rsidRDefault="00BF4AB4" w:rsidP="004622EC">
      <w:pPr>
        <w:pStyle w:val="2"/>
        <w:numPr>
          <w:ilvl w:val="0"/>
          <w:numId w:val="0"/>
        </w:numPr>
        <w:rPr>
          <w:rFonts w:asciiTheme="majorHAnsi" w:hAnsiTheme="majorHAnsi"/>
        </w:rPr>
      </w:pPr>
      <w:bookmarkStart w:id="120" w:name="_Ref337735629"/>
      <w:bookmarkStart w:id="121" w:name="_Toc479693894"/>
      <w:bookmarkEnd w:id="119"/>
      <w:r w:rsidRPr="004622EC">
        <w:rPr>
          <w:rFonts w:asciiTheme="majorHAnsi" w:hAnsiTheme="majorHAnsi"/>
        </w:rPr>
        <w:t xml:space="preserve">Annex </w:t>
      </w:r>
      <w:r w:rsidR="00CA6A37">
        <w:rPr>
          <w:rFonts w:asciiTheme="majorHAnsi" w:hAnsiTheme="majorHAnsi"/>
        </w:rPr>
        <w:t>D</w:t>
      </w:r>
      <w:r w:rsidR="00FD0091">
        <w:rPr>
          <w:rFonts w:asciiTheme="majorHAnsi" w:hAnsiTheme="majorHAnsi"/>
        </w:rPr>
        <w:t>.</w:t>
      </w:r>
      <w:r w:rsidR="00FD0091" w:rsidRPr="004622EC">
        <w:rPr>
          <w:rFonts w:asciiTheme="majorHAnsi" w:hAnsiTheme="majorHAnsi"/>
        </w:rPr>
        <w:t xml:space="preserve"> </w:t>
      </w:r>
      <w:r w:rsidR="00996ED8" w:rsidRPr="004622EC">
        <w:rPr>
          <w:rFonts w:asciiTheme="majorHAnsi" w:hAnsiTheme="majorHAnsi"/>
        </w:rPr>
        <w:t xml:space="preserve">GEF Tracking </w:t>
      </w:r>
      <w:r w:rsidR="008B169F">
        <w:rPr>
          <w:rFonts w:asciiTheme="majorHAnsi" w:hAnsiTheme="majorHAnsi"/>
        </w:rPr>
        <w:t>T</w:t>
      </w:r>
      <w:r w:rsidR="00996ED8" w:rsidRPr="004622EC">
        <w:rPr>
          <w:rFonts w:asciiTheme="majorHAnsi" w:hAnsiTheme="majorHAnsi"/>
        </w:rPr>
        <w:t>oo</w:t>
      </w:r>
      <w:r w:rsidR="00725214" w:rsidRPr="004622EC">
        <w:rPr>
          <w:rFonts w:asciiTheme="majorHAnsi" w:hAnsiTheme="majorHAnsi"/>
        </w:rPr>
        <w:t>l</w:t>
      </w:r>
      <w:bookmarkEnd w:id="120"/>
      <w:bookmarkEnd w:id="121"/>
    </w:p>
    <w:tbl>
      <w:tblPr>
        <w:tblW w:w="5000" w:type="pct"/>
        <w:tblLook w:val="04A0" w:firstRow="1" w:lastRow="0" w:firstColumn="1" w:lastColumn="0" w:noHBand="0" w:noVBand="1"/>
      </w:tblPr>
      <w:tblGrid>
        <w:gridCol w:w="6109"/>
        <w:gridCol w:w="2595"/>
        <w:gridCol w:w="655"/>
        <w:gridCol w:w="249"/>
        <w:gridCol w:w="782"/>
        <w:gridCol w:w="4990"/>
      </w:tblGrid>
      <w:tr w:rsidR="00EA158E" w:rsidRPr="00543AD0" w14:paraId="485A2C92" w14:textId="77777777" w:rsidTr="004622EC">
        <w:trPr>
          <w:trHeight w:val="660"/>
        </w:trPr>
        <w:tc>
          <w:tcPr>
            <w:tcW w:w="5000" w:type="pct"/>
            <w:gridSpan w:val="6"/>
            <w:tcBorders>
              <w:top w:val="single" w:sz="8" w:space="0" w:color="auto"/>
              <w:left w:val="single" w:sz="8" w:space="0" w:color="auto"/>
              <w:bottom w:val="single" w:sz="8" w:space="0" w:color="auto"/>
              <w:right w:val="single" w:sz="8" w:space="0" w:color="000000"/>
            </w:tcBorders>
            <w:shd w:val="clear" w:color="000000" w:fill="EBF1DE"/>
            <w:vAlign w:val="center"/>
            <w:hideMark/>
          </w:tcPr>
          <w:p w14:paraId="4409D5C1"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 xml:space="preserve">Special Notes: Projects need to report on all indicators that are included in their results framework  </w:t>
            </w:r>
          </w:p>
        </w:tc>
      </w:tr>
      <w:tr w:rsidR="00EA158E" w:rsidRPr="00543AD0" w14:paraId="560C4C40" w14:textId="77777777" w:rsidTr="004622EC">
        <w:trPr>
          <w:trHeight w:val="2415"/>
        </w:trPr>
        <w:tc>
          <w:tcPr>
            <w:tcW w:w="5000" w:type="pct"/>
            <w:gridSpan w:val="6"/>
            <w:tcBorders>
              <w:top w:val="single" w:sz="8" w:space="0" w:color="auto"/>
              <w:left w:val="single" w:sz="8" w:space="0" w:color="auto"/>
              <w:bottom w:val="nil"/>
              <w:right w:val="single" w:sz="8" w:space="0" w:color="000000"/>
            </w:tcBorders>
            <w:shd w:val="clear" w:color="000000" w:fill="EBF1DE"/>
            <w:hideMark/>
          </w:tcPr>
          <w:p w14:paraId="466CC69D" w14:textId="77777777" w:rsidR="00EA158E" w:rsidRPr="004622EC" w:rsidRDefault="00EA158E" w:rsidP="00B722BB">
            <w:pPr>
              <w:ind w:firstLineChars="100" w:firstLine="201"/>
              <w:rPr>
                <w:rFonts w:eastAsia="Times New Roman" w:cs="Microsoft Sans Serif"/>
                <w:color w:val="000000"/>
                <w:sz w:val="20"/>
                <w:szCs w:val="20"/>
                <w:lang w:val="en-GB" w:eastAsia="en-GB"/>
              </w:rPr>
            </w:pPr>
            <w:r w:rsidRPr="004622EC">
              <w:rPr>
                <w:rFonts w:eastAsia="Times New Roman" w:cs="Microsoft Sans Serif"/>
                <w:b/>
                <w:bCs/>
                <w:sz w:val="20"/>
                <w:szCs w:val="20"/>
                <w:u w:val="single"/>
                <w:lang w:val="en-GB" w:eastAsia="en-GB"/>
              </w:rPr>
              <w:t>Reporting on lifetime emissions avoided</w:t>
            </w:r>
            <w:r w:rsidRPr="004622EC">
              <w:rPr>
                <w:rFonts w:eastAsia="Times New Roman" w:cs="Microsoft Sans Serif"/>
                <w:b/>
                <w:bCs/>
                <w:color w:val="000000"/>
                <w:sz w:val="20"/>
                <w:szCs w:val="20"/>
                <w:lang w:val="en-GB" w:eastAsia="en-GB"/>
              </w:rPr>
              <w:br/>
              <w:t>Lifetime direct GHG emissions avoided:</w:t>
            </w:r>
            <w:r w:rsidRPr="004622EC">
              <w:rPr>
                <w:rFonts w:eastAsia="Times New Roman" w:cs="Microsoft Sans Serif"/>
                <w:color w:val="000000"/>
                <w:sz w:val="20"/>
                <w:szCs w:val="20"/>
                <w:lang w:val="en-GB" w:eastAsia="en-GB"/>
              </w:rPr>
              <w:t xml:space="preserve"> Lifetime direct GHG emissions avoided are the emissions reductions attributable to the investments made </w:t>
            </w:r>
            <w:r w:rsidRPr="004622EC">
              <w:rPr>
                <w:rFonts w:eastAsia="Times New Roman" w:cs="Microsoft Sans Serif"/>
                <w:b/>
                <w:bCs/>
                <w:color w:val="000000"/>
                <w:sz w:val="20"/>
                <w:szCs w:val="20"/>
                <w:lang w:val="en-GB" w:eastAsia="en-GB"/>
              </w:rPr>
              <w:t>during the project's supervised  implementation period</w:t>
            </w:r>
            <w:r w:rsidRPr="004622EC">
              <w:rPr>
                <w:rFonts w:eastAsia="Times New Roman" w:cs="Microsoft Sans Serif"/>
                <w:color w:val="000000"/>
                <w:sz w:val="20"/>
                <w:szCs w:val="20"/>
                <w:lang w:val="en-GB" w:eastAsia="en-GB"/>
              </w:rPr>
              <w:t>,</w:t>
            </w:r>
            <w:r w:rsidRPr="004622EC">
              <w:rPr>
                <w:rFonts w:eastAsia="Times New Roman" w:cs="Microsoft Sans Serif"/>
                <w:b/>
                <w:bCs/>
                <w:color w:val="000000"/>
                <w:sz w:val="20"/>
                <w:szCs w:val="20"/>
                <w:lang w:val="en-GB" w:eastAsia="en-GB"/>
              </w:rPr>
              <w:t xml:space="preserve"> </w:t>
            </w:r>
            <w:r w:rsidR="00CA6A37" w:rsidRPr="004622EC">
              <w:rPr>
                <w:rFonts w:eastAsia="Times New Roman" w:cs="Microsoft Sans Serif"/>
                <w:color w:val="000000"/>
                <w:sz w:val="20"/>
                <w:szCs w:val="20"/>
                <w:lang w:val="en-GB" w:eastAsia="en-GB"/>
              </w:rPr>
              <w:t>totalled</w:t>
            </w:r>
            <w:r w:rsidRPr="004622EC">
              <w:rPr>
                <w:rFonts w:eastAsia="Times New Roman" w:cs="Microsoft Sans Serif"/>
                <w:color w:val="000000"/>
                <w:sz w:val="20"/>
                <w:szCs w:val="20"/>
                <w:lang w:val="en-GB" w:eastAsia="en-GB"/>
              </w:rPr>
              <w:t xml:space="preserve"> over the respective lifetime of the investments.</w:t>
            </w:r>
            <w:r w:rsidRPr="004622EC">
              <w:rPr>
                <w:rFonts w:eastAsia="Times New Roman" w:cs="Microsoft Sans Serif"/>
                <w:color w:val="000000"/>
                <w:sz w:val="20"/>
                <w:szCs w:val="20"/>
                <w:lang w:val="en-GB" w:eastAsia="en-GB"/>
              </w:rPr>
              <w:br/>
            </w:r>
            <w:r w:rsidRPr="004622EC">
              <w:rPr>
                <w:rFonts w:eastAsia="Times New Roman" w:cs="Microsoft Sans Serif"/>
                <w:b/>
                <w:bCs/>
                <w:color w:val="000000"/>
                <w:sz w:val="20"/>
                <w:szCs w:val="20"/>
                <w:lang w:val="en-GB" w:eastAsia="en-GB"/>
              </w:rPr>
              <w:t xml:space="preserve">Lifetime direct post-project emissions avoided: </w:t>
            </w:r>
            <w:r w:rsidRPr="004622EC">
              <w:rPr>
                <w:rFonts w:eastAsia="Times New Roman" w:cs="Microsoft Sans Serif"/>
                <w:color w:val="000000"/>
                <w:sz w:val="20"/>
                <w:szCs w:val="20"/>
                <w:lang w:val="en-GB" w:eastAsia="en-GB"/>
              </w:rPr>
              <w:t xml:space="preserve">Lifetime direct post-project emissions avoided are the emissions reductions attributable to the investments made outside the project's supervised implementation period, but supported by financial facilities put in place by the GEF project,  </w:t>
            </w:r>
            <w:r w:rsidR="00CA6A37" w:rsidRPr="004622EC">
              <w:rPr>
                <w:rFonts w:eastAsia="Times New Roman" w:cs="Microsoft Sans Serif"/>
                <w:color w:val="000000"/>
                <w:sz w:val="20"/>
                <w:szCs w:val="20"/>
                <w:lang w:val="en-GB" w:eastAsia="en-GB"/>
              </w:rPr>
              <w:t>totalled</w:t>
            </w:r>
            <w:r w:rsidRPr="004622EC">
              <w:rPr>
                <w:rFonts w:eastAsia="Times New Roman" w:cs="Microsoft Sans Serif"/>
                <w:color w:val="000000"/>
                <w:sz w:val="20"/>
                <w:szCs w:val="20"/>
                <w:lang w:val="en-GB" w:eastAsia="en-GB"/>
              </w:rPr>
              <w:t xml:space="preserve"> over the respective lifetime of the investments. These financial facilities will still be operational after the project ends, such as partial credit guarantee facilities, risk mitigation facilities, or revolving funds.</w:t>
            </w:r>
            <w:r w:rsidRPr="004622EC">
              <w:rPr>
                <w:rFonts w:eastAsia="Times New Roman" w:cs="Microsoft Sans Serif"/>
                <w:color w:val="000000"/>
                <w:sz w:val="20"/>
                <w:szCs w:val="20"/>
                <w:lang w:val="en-GB" w:eastAsia="en-GB"/>
              </w:rPr>
              <w:br/>
            </w:r>
            <w:r w:rsidRPr="004622EC">
              <w:rPr>
                <w:rFonts w:eastAsia="Times New Roman" w:cs="Microsoft Sans Serif"/>
                <w:b/>
                <w:bCs/>
                <w:color w:val="000000"/>
                <w:sz w:val="20"/>
                <w:szCs w:val="20"/>
                <w:lang w:val="en-GB" w:eastAsia="en-GB"/>
              </w:rPr>
              <w:t xml:space="preserve">Lifetime indirect GHG emissions avoided (top-down and bottom-up): </w:t>
            </w:r>
            <w:r w:rsidRPr="004622EC">
              <w:rPr>
                <w:rFonts w:eastAsia="Times New Roman" w:cs="Microsoft Sans Serif"/>
                <w:color w:val="000000"/>
                <w:sz w:val="20"/>
                <w:szCs w:val="20"/>
                <w:lang w:val="en-GB" w:eastAsia="en-GB"/>
              </w:rPr>
              <w:t xml:space="preserve">indirect emissions reductions are those attributable to the long-term outcomes of the GEF activities that remove barriers, such as capacity building, innovation, catalytic action for replication.  </w:t>
            </w:r>
            <w:r w:rsidRPr="004622EC">
              <w:rPr>
                <w:rFonts w:eastAsia="Times New Roman" w:cs="Microsoft Sans Serif"/>
                <w:color w:val="000000"/>
                <w:sz w:val="20"/>
                <w:szCs w:val="20"/>
                <w:lang w:val="en-GB" w:eastAsia="en-GB"/>
              </w:rPr>
              <w:br/>
              <w:t xml:space="preserve">Please refer to the following references for Calculating GHG Benefits of GEF Projects. </w:t>
            </w:r>
          </w:p>
        </w:tc>
      </w:tr>
      <w:tr w:rsidR="00EA158E" w:rsidRPr="00543AD0" w14:paraId="21396094" w14:textId="77777777" w:rsidTr="004622EC">
        <w:trPr>
          <w:trHeight w:val="255"/>
        </w:trPr>
        <w:tc>
          <w:tcPr>
            <w:tcW w:w="5000" w:type="pct"/>
            <w:gridSpan w:val="6"/>
            <w:tcBorders>
              <w:top w:val="nil"/>
              <w:left w:val="single" w:sz="8" w:space="0" w:color="auto"/>
              <w:bottom w:val="nil"/>
              <w:right w:val="single" w:sz="8" w:space="0" w:color="000000"/>
            </w:tcBorders>
            <w:shd w:val="clear" w:color="000000" w:fill="EBF1DE"/>
            <w:hideMark/>
          </w:tcPr>
          <w:p w14:paraId="30D61D93" w14:textId="77777777" w:rsidR="00EA158E" w:rsidRPr="004622EC" w:rsidRDefault="00AA15A7" w:rsidP="00EA158E">
            <w:pPr>
              <w:ind w:firstLineChars="100" w:firstLine="220"/>
              <w:rPr>
                <w:rFonts w:eastAsia="Times New Roman"/>
                <w:color w:val="0000FF"/>
                <w:sz w:val="20"/>
                <w:szCs w:val="20"/>
                <w:u w:val="single"/>
                <w:lang w:val="en-GB" w:eastAsia="en-GB"/>
              </w:rPr>
            </w:pPr>
            <w:hyperlink r:id="rId45" w:history="1">
              <w:r w:rsidR="00EA158E" w:rsidRPr="004622EC">
                <w:rPr>
                  <w:rFonts w:eastAsia="Times New Roman"/>
                  <w:color w:val="0000FF"/>
                  <w:sz w:val="20"/>
                  <w:szCs w:val="20"/>
                  <w:u w:val="single"/>
                  <w:lang w:val="en-GB" w:eastAsia="en-GB"/>
                </w:rPr>
                <w:t>Manual for Energy Efficiency and Renewable Energy Projects</w:t>
              </w:r>
            </w:hyperlink>
          </w:p>
        </w:tc>
      </w:tr>
      <w:tr w:rsidR="00EA158E" w:rsidRPr="00543AD0" w14:paraId="381F61A9" w14:textId="77777777" w:rsidTr="004622EC">
        <w:trPr>
          <w:trHeight w:val="255"/>
        </w:trPr>
        <w:tc>
          <w:tcPr>
            <w:tcW w:w="5000" w:type="pct"/>
            <w:gridSpan w:val="6"/>
            <w:tcBorders>
              <w:top w:val="nil"/>
              <w:left w:val="single" w:sz="8" w:space="0" w:color="auto"/>
              <w:bottom w:val="nil"/>
              <w:right w:val="single" w:sz="8" w:space="0" w:color="000000"/>
            </w:tcBorders>
            <w:shd w:val="clear" w:color="000000" w:fill="EBF1DE"/>
            <w:hideMark/>
          </w:tcPr>
          <w:p w14:paraId="313ACEE1" w14:textId="77777777" w:rsidR="00EA158E" w:rsidRPr="004622EC" w:rsidRDefault="00AA15A7" w:rsidP="00EA158E">
            <w:pPr>
              <w:ind w:firstLineChars="100" w:firstLine="220"/>
              <w:rPr>
                <w:rFonts w:eastAsia="Times New Roman"/>
                <w:color w:val="0000FF"/>
                <w:sz w:val="20"/>
                <w:szCs w:val="20"/>
                <w:u w:val="single"/>
                <w:lang w:val="en-GB" w:eastAsia="en-GB"/>
              </w:rPr>
            </w:pPr>
            <w:hyperlink r:id="rId46" w:history="1">
              <w:r w:rsidR="00EA158E" w:rsidRPr="004622EC">
                <w:rPr>
                  <w:rFonts w:eastAsia="Times New Roman"/>
                  <w:color w:val="0000FF"/>
                  <w:sz w:val="20"/>
                  <w:szCs w:val="20"/>
                  <w:u w:val="single"/>
                  <w:lang w:val="en-GB" w:eastAsia="en-GB"/>
                </w:rPr>
                <w:t>Revised Methodology for Calculating Greenhouse Gas Benefits of GEF Energy Efficiency Projects (Version 1.0)</w:t>
              </w:r>
            </w:hyperlink>
          </w:p>
        </w:tc>
      </w:tr>
      <w:tr w:rsidR="00EA158E" w:rsidRPr="00543AD0" w14:paraId="39A676B7" w14:textId="77777777" w:rsidTr="004622EC">
        <w:trPr>
          <w:trHeight w:val="255"/>
        </w:trPr>
        <w:tc>
          <w:tcPr>
            <w:tcW w:w="5000" w:type="pct"/>
            <w:gridSpan w:val="6"/>
            <w:tcBorders>
              <w:top w:val="nil"/>
              <w:left w:val="single" w:sz="8" w:space="0" w:color="auto"/>
              <w:bottom w:val="nil"/>
              <w:right w:val="single" w:sz="8" w:space="0" w:color="000000"/>
            </w:tcBorders>
            <w:shd w:val="clear" w:color="000000" w:fill="EBF1DE"/>
            <w:hideMark/>
          </w:tcPr>
          <w:p w14:paraId="26F254A8" w14:textId="77777777" w:rsidR="00EA158E" w:rsidRPr="004622EC" w:rsidRDefault="00AA15A7" w:rsidP="00EA158E">
            <w:pPr>
              <w:ind w:firstLineChars="100" w:firstLine="220"/>
              <w:rPr>
                <w:rFonts w:eastAsia="Times New Roman"/>
                <w:color w:val="0000FF"/>
                <w:sz w:val="20"/>
                <w:szCs w:val="20"/>
                <w:u w:val="single"/>
                <w:lang w:val="en-GB" w:eastAsia="en-GB"/>
              </w:rPr>
            </w:pPr>
            <w:hyperlink r:id="rId47" w:history="1">
              <w:r w:rsidR="00EA158E" w:rsidRPr="004622EC">
                <w:rPr>
                  <w:rFonts w:eastAsia="Times New Roman"/>
                  <w:color w:val="0000FF"/>
                  <w:sz w:val="20"/>
                  <w:szCs w:val="20"/>
                  <w:u w:val="single"/>
                  <w:lang w:val="en-GB" w:eastAsia="en-GB"/>
                </w:rPr>
                <w:t>Manual for Transportation Projects</w:t>
              </w:r>
            </w:hyperlink>
          </w:p>
        </w:tc>
      </w:tr>
      <w:tr w:rsidR="00EA158E" w:rsidRPr="00543AD0" w14:paraId="2581F461" w14:textId="77777777" w:rsidTr="004622EC">
        <w:trPr>
          <w:trHeight w:val="600"/>
        </w:trPr>
        <w:tc>
          <w:tcPr>
            <w:tcW w:w="5000" w:type="pct"/>
            <w:gridSpan w:val="6"/>
            <w:tcBorders>
              <w:top w:val="nil"/>
              <w:left w:val="single" w:sz="8" w:space="0" w:color="auto"/>
              <w:bottom w:val="single" w:sz="8" w:space="0" w:color="auto"/>
              <w:right w:val="single" w:sz="8" w:space="0" w:color="000000"/>
            </w:tcBorders>
            <w:shd w:val="clear" w:color="000000" w:fill="EBF1DE"/>
            <w:vAlign w:val="bottom"/>
            <w:hideMark/>
          </w:tcPr>
          <w:p w14:paraId="42252179" w14:textId="77777777" w:rsidR="00EA158E" w:rsidRPr="004622EC" w:rsidRDefault="00EA158E" w:rsidP="00EA158E">
            <w:pPr>
              <w:ind w:firstLineChars="100" w:firstLine="200"/>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xml:space="preserve">For LULUCF projects, the definitions of "lifetime direct and indirect" apply. Lifetime length is defined to be 20 years, unless a different number of years is deemed appropriate. For emission or removal factors (tonnes of CO2eq per hectare per year), use IPCC defaults or country specific factors.  </w:t>
            </w:r>
          </w:p>
        </w:tc>
      </w:tr>
      <w:tr w:rsidR="00EA158E" w:rsidRPr="00543AD0" w14:paraId="407E8E54" w14:textId="77777777" w:rsidTr="007B0D81">
        <w:trPr>
          <w:trHeight w:val="255"/>
        </w:trPr>
        <w:tc>
          <w:tcPr>
            <w:tcW w:w="1982" w:type="pct"/>
            <w:tcBorders>
              <w:top w:val="nil"/>
              <w:left w:val="nil"/>
              <w:bottom w:val="nil"/>
              <w:right w:val="nil"/>
            </w:tcBorders>
            <w:shd w:val="clear" w:color="auto" w:fill="auto"/>
            <w:vAlign w:val="bottom"/>
            <w:hideMark/>
          </w:tcPr>
          <w:p w14:paraId="0588E36A" w14:textId="77777777" w:rsidR="00EA158E" w:rsidRPr="004622EC" w:rsidRDefault="00EA158E" w:rsidP="00EA158E">
            <w:pPr>
              <w:rPr>
                <w:rFonts w:eastAsia="Times New Roman" w:cs="Microsoft Sans Serif"/>
                <w:color w:val="000000"/>
                <w:szCs w:val="20"/>
                <w:lang w:val="en-GB" w:eastAsia="en-GB"/>
              </w:rPr>
            </w:pPr>
          </w:p>
        </w:tc>
        <w:tc>
          <w:tcPr>
            <w:tcW w:w="1142" w:type="pct"/>
            <w:gridSpan w:val="3"/>
            <w:tcBorders>
              <w:top w:val="nil"/>
              <w:left w:val="nil"/>
              <w:bottom w:val="nil"/>
              <w:right w:val="nil"/>
            </w:tcBorders>
            <w:shd w:val="clear" w:color="auto" w:fill="auto"/>
            <w:noWrap/>
            <w:vAlign w:val="bottom"/>
            <w:hideMark/>
          </w:tcPr>
          <w:p w14:paraId="6F89197E" w14:textId="77777777" w:rsidR="00EA158E" w:rsidRPr="004622EC" w:rsidRDefault="00EA158E" w:rsidP="00EA158E">
            <w:pPr>
              <w:rPr>
                <w:rFonts w:eastAsia="Times New Roman" w:cs="Microsoft Sans Serif"/>
                <w:color w:val="000000"/>
                <w:szCs w:val="20"/>
                <w:lang w:val="en-GB" w:eastAsia="en-GB"/>
              </w:rPr>
            </w:pPr>
          </w:p>
        </w:tc>
        <w:tc>
          <w:tcPr>
            <w:tcW w:w="256" w:type="pct"/>
            <w:tcBorders>
              <w:top w:val="nil"/>
              <w:left w:val="nil"/>
              <w:bottom w:val="nil"/>
              <w:right w:val="nil"/>
            </w:tcBorders>
            <w:shd w:val="clear" w:color="auto" w:fill="auto"/>
            <w:noWrap/>
            <w:vAlign w:val="bottom"/>
            <w:hideMark/>
          </w:tcPr>
          <w:p w14:paraId="79A3FB9E" w14:textId="77777777" w:rsidR="00EA158E" w:rsidRPr="004622EC" w:rsidRDefault="00EA158E" w:rsidP="00EA158E">
            <w:pPr>
              <w:rPr>
                <w:rFonts w:eastAsia="Times New Roman" w:cs="Microsoft Sans Serif"/>
                <w:color w:val="000000"/>
                <w:szCs w:val="20"/>
                <w:lang w:val="en-GB" w:eastAsia="en-GB"/>
              </w:rPr>
            </w:pPr>
          </w:p>
        </w:tc>
        <w:tc>
          <w:tcPr>
            <w:tcW w:w="1620" w:type="pct"/>
            <w:tcBorders>
              <w:top w:val="nil"/>
              <w:left w:val="nil"/>
              <w:bottom w:val="nil"/>
              <w:right w:val="nil"/>
            </w:tcBorders>
            <w:shd w:val="clear" w:color="auto" w:fill="auto"/>
            <w:noWrap/>
            <w:vAlign w:val="bottom"/>
            <w:hideMark/>
          </w:tcPr>
          <w:p w14:paraId="22F8DE8D" w14:textId="77777777" w:rsidR="00EA158E" w:rsidRPr="004622EC" w:rsidRDefault="00EA158E" w:rsidP="00EA158E">
            <w:pPr>
              <w:rPr>
                <w:rFonts w:eastAsia="Times New Roman" w:cs="Microsoft Sans Serif"/>
                <w:color w:val="000000"/>
                <w:szCs w:val="20"/>
                <w:lang w:val="en-GB" w:eastAsia="en-GB"/>
              </w:rPr>
            </w:pPr>
          </w:p>
        </w:tc>
      </w:tr>
      <w:tr w:rsidR="00EA158E" w:rsidRPr="00543AD0" w14:paraId="65E17A34" w14:textId="77777777" w:rsidTr="007B0D81">
        <w:trPr>
          <w:trHeight w:val="270"/>
        </w:trPr>
        <w:tc>
          <w:tcPr>
            <w:tcW w:w="1982" w:type="pct"/>
            <w:tcBorders>
              <w:top w:val="nil"/>
              <w:left w:val="nil"/>
              <w:bottom w:val="nil"/>
              <w:right w:val="nil"/>
            </w:tcBorders>
            <w:shd w:val="clear" w:color="auto" w:fill="auto"/>
            <w:vAlign w:val="bottom"/>
            <w:hideMark/>
          </w:tcPr>
          <w:p w14:paraId="522714D1" w14:textId="77777777" w:rsidR="00EA158E" w:rsidRPr="004622EC" w:rsidRDefault="00EA158E" w:rsidP="00EA158E">
            <w:pPr>
              <w:rPr>
                <w:rFonts w:eastAsia="Times New Roman" w:cs="Microsoft Sans Serif"/>
                <w:b/>
                <w:bCs/>
                <w:color w:val="FF0000"/>
                <w:sz w:val="20"/>
                <w:szCs w:val="20"/>
                <w:lang w:val="en-GB" w:eastAsia="en-GB"/>
              </w:rPr>
            </w:pPr>
            <w:r w:rsidRPr="004622EC">
              <w:rPr>
                <w:rFonts w:eastAsia="Times New Roman" w:cs="Microsoft Sans Serif"/>
                <w:b/>
                <w:bCs/>
                <w:color w:val="FF0000"/>
                <w:sz w:val="20"/>
                <w:szCs w:val="20"/>
                <w:lang w:val="en-GB" w:eastAsia="en-GB"/>
              </w:rPr>
              <w:t>Section A. General Data</w:t>
            </w:r>
          </w:p>
        </w:tc>
        <w:tc>
          <w:tcPr>
            <w:tcW w:w="1142" w:type="pct"/>
            <w:gridSpan w:val="3"/>
            <w:tcBorders>
              <w:top w:val="nil"/>
              <w:left w:val="nil"/>
              <w:bottom w:val="nil"/>
              <w:right w:val="nil"/>
            </w:tcBorders>
            <w:shd w:val="clear" w:color="auto" w:fill="auto"/>
            <w:noWrap/>
            <w:vAlign w:val="bottom"/>
            <w:hideMark/>
          </w:tcPr>
          <w:p w14:paraId="405669C5" w14:textId="77777777" w:rsidR="00EA158E" w:rsidRPr="004622EC" w:rsidRDefault="00EA158E" w:rsidP="00EA158E">
            <w:pPr>
              <w:rPr>
                <w:rFonts w:eastAsia="Times New Roman" w:cs="Microsoft Sans Serif"/>
                <w:color w:val="000000"/>
                <w:sz w:val="20"/>
                <w:szCs w:val="20"/>
                <w:lang w:val="en-GB" w:eastAsia="en-GB"/>
              </w:rPr>
            </w:pPr>
          </w:p>
        </w:tc>
        <w:tc>
          <w:tcPr>
            <w:tcW w:w="256" w:type="pct"/>
            <w:tcBorders>
              <w:top w:val="nil"/>
              <w:left w:val="nil"/>
              <w:bottom w:val="nil"/>
              <w:right w:val="nil"/>
            </w:tcBorders>
            <w:shd w:val="clear" w:color="auto" w:fill="auto"/>
            <w:noWrap/>
            <w:vAlign w:val="bottom"/>
            <w:hideMark/>
          </w:tcPr>
          <w:p w14:paraId="4E248E38" w14:textId="77777777" w:rsidR="00EA158E" w:rsidRPr="004622EC" w:rsidRDefault="00EA158E" w:rsidP="00EA158E">
            <w:pPr>
              <w:rPr>
                <w:rFonts w:eastAsia="Times New Roman" w:cs="Microsoft Sans Serif"/>
                <w:color w:val="000000"/>
                <w:sz w:val="20"/>
                <w:szCs w:val="20"/>
                <w:lang w:val="en-GB" w:eastAsia="en-GB"/>
              </w:rPr>
            </w:pPr>
          </w:p>
        </w:tc>
        <w:tc>
          <w:tcPr>
            <w:tcW w:w="1620" w:type="pct"/>
            <w:tcBorders>
              <w:top w:val="nil"/>
              <w:left w:val="nil"/>
              <w:bottom w:val="nil"/>
              <w:right w:val="nil"/>
            </w:tcBorders>
            <w:shd w:val="clear" w:color="auto" w:fill="auto"/>
            <w:noWrap/>
            <w:vAlign w:val="bottom"/>
            <w:hideMark/>
          </w:tcPr>
          <w:p w14:paraId="6B70EA82" w14:textId="77777777" w:rsidR="00EA158E" w:rsidRPr="004622EC" w:rsidRDefault="00EA158E" w:rsidP="00EA158E">
            <w:pPr>
              <w:rPr>
                <w:rFonts w:eastAsia="Times New Roman" w:cs="Microsoft Sans Serif"/>
                <w:color w:val="000000"/>
                <w:sz w:val="20"/>
                <w:szCs w:val="20"/>
                <w:lang w:val="en-GB" w:eastAsia="en-GB"/>
              </w:rPr>
            </w:pPr>
          </w:p>
        </w:tc>
      </w:tr>
      <w:tr w:rsidR="00EA158E" w:rsidRPr="00543AD0" w14:paraId="1E9ECAA4" w14:textId="77777777" w:rsidTr="007B0D81">
        <w:trPr>
          <w:trHeight w:val="255"/>
        </w:trPr>
        <w:tc>
          <w:tcPr>
            <w:tcW w:w="1982" w:type="pct"/>
            <w:tcBorders>
              <w:top w:val="single" w:sz="8" w:space="0" w:color="auto"/>
              <w:left w:val="single" w:sz="8" w:space="0" w:color="auto"/>
              <w:bottom w:val="single" w:sz="4" w:space="0" w:color="auto"/>
              <w:right w:val="single" w:sz="4" w:space="0" w:color="auto"/>
            </w:tcBorders>
            <w:shd w:val="clear" w:color="000000" w:fill="FFC000"/>
            <w:noWrap/>
            <w:vAlign w:val="bottom"/>
            <w:hideMark/>
          </w:tcPr>
          <w:p w14:paraId="161A1C32"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 </w:t>
            </w:r>
          </w:p>
        </w:tc>
        <w:tc>
          <w:tcPr>
            <w:tcW w:w="1064" w:type="pct"/>
            <w:gridSpan w:val="2"/>
            <w:tcBorders>
              <w:top w:val="single" w:sz="8" w:space="0" w:color="auto"/>
              <w:left w:val="nil"/>
              <w:bottom w:val="single" w:sz="4" w:space="0" w:color="auto"/>
              <w:right w:val="single" w:sz="4" w:space="0" w:color="000000"/>
            </w:tcBorders>
            <w:shd w:val="clear" w:color="000000" w:fill="FFC000"/>
            <w:noWrap/>
            <w:vAlign w:val="bottom"/>
            <w:hideMark/>
          </w:tcPr>
          <w:p w14:paraId="02B874F2"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At CEO Endorsement</w:t>
            </w:r>
          </w:p>
        </w:tc>
        <w:tc>
          <w:tcPr>
            <w:tcW w:w="1954" w:type="pct"/>
            <w:gridSpan w:val="3"/>
            <w:tcBorders>
              <w:top w:val="single" w:sz="8" w:space="0" w:color="auto"/>
              <w:left w:val="nil"/>
              <w:bottom w:val="single" w:sz="4" w:space="0" w:color="auto"/>
              <w:right w:val="single" w:sz="8" w:space="0" w:color="auto"/>
            </w:tcBorders>
            <w:shd w:val="clear" w:color="000000" w:fill="FFC000"/>
            <w:noWrap/>
            <w:vAlign w:val="bottom"/>
            <w:hideMark/>
          </w:tcPr>
          <w:p w14:paraId="796B2607"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 </w:t>
            </w:r>
          </w:p>
        </w:tc>
      </w:tr>
      <w:tr w:rsidR="00EA158E" w:rsidRPr="00543AD0" w14:paraId="10235BD4" w14:textId="77777777" w:rsidTr="007B0D81">
        <w:trPr>
          <w:trHeight w:val="255"/>
        </w:trPr>
        <w:tc>
          <w:tcPr>
            <w:tcW w:w="1982" w:type="pct"/>
            <w:tcBorders>
              <w:top w:val="nil"/>
              <w:left w:val="single" w:sz="8" w:space="0" w:color="auto"/>
              <w:bottom w:val="single" w:sz="4" w:space="0" w:color="auto"/>
              <w:right w:val="single" w:sz="4" w:space="0" w:color="auto"/>
            </w:tcBorders>
            <w:shd w:val="clear" w:color="auto" w:fill="auto"/>
            <w:noWrap/>
            <w:vAlign w:val="bottom"/>
            <w:hideMark/>
          </w:tcPr>
          <w:p w14:paraId="4CD0B5F1"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Project Title</w:t>
            </w:r>
          </w:p>
        </w:tc>
        <w:tc>
          <w:tcPr>
            <w:tcW w:w="1064" w:type="pct"/>
            <w:gridSpan w:val="2"/>
            <w:tcBorders>
              <w:top w:val="single" w:sz="4" w:space="0" w:color="auto"/>
              <w:left w:val="nil"/>
              <w:bottom w:val="single" w:sz="4" w:space="0" w:color="auto"/>
              <w:right w:val="single" w:sz="4" w:space="0" w:color="000000"/>
            </w:tcBorders>
            <w:shd w:val="clear" w:color="000000" w:fill="FFCC99"/>
            <w:noWrap/>
            <w:vAlign w:val="bottom"/>
            <w:hideMark/>
          </w:tcPr>
          <w:p w14:paraId="7DE0B983"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xml:space="preserve">Derisking Renewable Energy Investment </w:t>
            </w:r>
          </w:p>
        </w:tc>
        <w:tc>
          <w:tcPr>
            <w:tcW w:w="1954" w:type="pct"/>
            <w:gridSpan w:val="3"/>
            <w:tcBorders>
              <w:top w:val="nil"/>
              <w:left w:val="nil"/>
              <w:bottom w:val="single" w:sz="4" w:space="0" w:color="auto"/>
              <w:right w:val="single" w:sz="8" w:space="0" w:color="auto"/>
            </w:tcBorders>
            <w:shd w:val="clear" w:color="000000" w:fill="FFFFFF"/>
            <w:noWrap/>
            <w:vAlign w:val="bottom"/>
            <w:hideMark/>
          </w:tcPr>
          <w:p w14:paraId="3139C410"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r>
      <w:tr w:rsidR="00EA158E" w:rsidRPr="00543AD0" w14:paraId="456263B2" w14:textId="77777777" w:rsidTr="007B0D81">
        <w:trPr>
          <w:trHeight w:val="255"/>
        </w:trPr>
        <w:tc>
          <w:tcPr>
            <w:tcW w:w="1982" w:type="pct"/>
            <w:tcBorders>
              <w:top w:val="nil"/>
              <w:left w:val="single" w:sz="8" w:space="0" w:color="auto"/>
              <w:bottom w:val="single" w:sz="4" w:space="0" w:color="auto"/>
              <w:right w:val="single" w:sz="4" w:space="0" w:color="auto"/>
            </w:tcBorders>
            <w:shd w:val="clear" w:color="000000" w:fill="FFFFFF"/>
            <w:noWrap/>
            <w:vAlign w:val="bottom"/>
            <w:hideMark/>
          </w:tcPr>
          <w:p w14:paraId="37868877"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GEF ID</w:t>
            </w:r>
          </w:p>
        </w:tc>
        <w:tc>
          <w:tcPr>
            <w:tcW w:w="1064" w:type="pct"/>
            <w:gridSpan w:val="2"/>
            <w:tcBorders>
              <w:top w:val="single" w:sz="4" w:space="0" w:color="auto"/>
              <w:left w:val="nil"/>
              <w:bottom w:val="single" w:sz="4" w:space="0" w:color="auto"/>
              <w:right w:val="single" w:sz="4" w:space="0" w:color="000000"/>
            </w:tcBorders>
            <w:shd w:val="clear" w:color="000000" w:fill="FFCC99"/>
            <w:noWrap/>
            <w:vAlign w:val="bottom"/>
            <w:hideMark/>
          </w:tcPr>
          <w:p w14:paraId="3F2E1CC4"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9192</w:t>
            </w:r>
          </w:p>
        </w:tc>
        <w:tc>
          <w:tcPr>
            <w:tcW w:w="1954" w:type="pct"/>
            <w:gridSpan w:val="3"/>
            <w:tcBorders>
              <w:top w:val="nil"/>
              <w:left w:val="nil"/>
              <w:bottom w:val="single" w:sz="4" w:space="0" w:color="auto"/>
              <w:right w:val="single" w:sz="8" w:space="0" w:color="auto"/>
            </w:tcBorders>
            <w:shd w:val="clear" w:color="auto" w:fill="auto"/>
            <w:noWrap/>
            <w:vAlign w:val="bottom"/>
            <w:hideMark/>
          </w:tcPr>
          <w:p w14:paraId="67125561"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r w:rsidR="00EA158E" w:rsidRPr="00543AD0" w14:paraId="2894F4BE" w14:textId="77777777" w:rsidTr="007B0D81">
        <w:trPr>
          <w:trHeight w:val="255"/>
        </w:trPr>
        <w:tc>
          <w:tcPr>
            <w:tcW w:w="1982" w:type="pct"/>
            <w:tcBorders>
              <w:top w:val="nil"/>
              <w:left w:val="single" w:sz="8" w:space="0" w:color="auto"/>
              <w:bottom w:val="single" w:sz="4" w:space="0" w:color="auto"/>
              <w:right w:val="single" w:sz="4" w:space="0" w:color="auto"/>
            </w:tcBorders>
            <w:shd w:val="clear" w:color="000000" w:fill="FFFFFF"/>
            <w:noWrap/>
            <w:vAlign w:val="bottom"/>
            <w:hideMark/>
          </w:tcPr>
          <w:p w14:paraId="6A978E5C"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xml:space="preserve">GEF Agency </w:t>
            </w:r>
          </w:p>
        </w:tc>
        <w:tc>
          <w:tcPr>
            <w:tcW w:w="1064" w:type="pct"/>
            <w:gridSpan w:val="2"/>
            <w:tcBorders>
              <w:top w:val="single" w:sz="4" w:space="0" w:color="auto"/>
              <w:left w:val="nil"/>
              <w:bottom w:val="single" w:sz="4" w:space="0" w:color="auto"/>
              <w:right w:val="single" w:sz="4" w:space="0" w:color="000000"/>
            </w:tcBorders>
            <w:shd w:val="clear" w:color="000000" w:fill="FFCC99"/>
            <w:noWrap/>
            <w:vAlign w:val="bottom"/>
            <w:hideMark/>
          </w:tcPr>
          <w:p w14:paraId="533D5270"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UNDP</w:t>
            </w:r>
          </w:p>
        </w:tc>
        <w:tc>
          <w:tcPr>
            <w:tcW w:w="1954" w:type="pct"/>
            <w:gridSpan w:val="3"/>
            <w:tcBorders>
              <w:top w:val="nil"/>
              <w:left w:val="nil"/>
              <w:bottom w:val="single" w:sz="4" w:space="0" w:color="auto"/>
              <w:right w:val="single" w:sz="8" w:space="0" w:color="auto"/>
            </w:tcBorders>
            <w:shd w:val="clear" w:color="auto" w:fill="auto"/>
            <w:noWrap/>
            <w:vAlign w:val="bottom"/>
            <w:hideMark/>
          </w:tcPr>
          <w:p w14:paraId="7290658E"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r w:rsidR="00EA158E" w:rsidRPr="00543AD0" w14:paraId="3DAB93F7" w14:textId="77777777" w:rsidTr="007B0D81">
        <w:trPr>
          <w:trHeight w:val="255"/>
        </w:trPr>
        <w:tc>
          <w:tcPr>
            <w:tcW w:w="1982" w:type="pct"/>
            <w:tcBorders>
              <w:top w:val="nil"/>
              <w:left w:val="single" w:sz="8" w:space="0" w:color="auto"/>
              <w:bottom w:val="single" w:sz="4" w:space="0" w:color="auto"/>
              <w:right w:val="single" w:sz="4" w:space="0" w:color="auto"/>
            </w:tcBorders>
            <w:shd w:val="clear" w:color="000000" w:fill="FFFFFF"/>
            <w:noWrap/>
            <w:vAlign w:val="bottom"/>
            <w:hideMark/>
          </w:tcPr>
          <w:p w14:paraId="757DF61C"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Agency Project ID</w:t>
            </w:r>
          </w:p>
        </w:tc>
        <w:tc>
          <w:tcPr>
            <w:tcW w:w="1064" w:type="pct"/>
            <w:gridSpan w:val="2"/>
            <w:tcBorders>
              <w:top w:val="single" w:sz="4" w:space="0" w:color="auto"/>
              <w:left w:val="nil"/>
              <w:bottom w:val="single" w:sz="4" w:space="0" w:color="auto"/>
              <w:right w:val="single" w:sz="4" w:space="0" w:color="000000"/>
            </w:tcBorders>
            <w:shd w:val="clear" w:color="000000" w:fill="FFCC99"/>
            <w:noWrap/>
            <w:vAlign w:val="bottom"/>
            <w:hideMark/>
          </w:tcPr>
          <w:p w14:paraId="7C578F3F"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5490</w:t>
            </w:r>
          </w:p>
        </w:tc>
        <w:tc>
          <w:tcPr>
            <w:tcW w:w="1954" w:type="pct"/>
            <w:gridSpan w:val="3"/>
            <w:tcBorders>
              <w:top w:val="nil"/>
              <w:left w:val="nil"/>
              <w:bottom w:val="single" w:sz="4" w:space="0" w:color="auto"/>
              <w:right w:val="single" w:sz="8" w:space="0" w:color="auto"/>
            </w:tcBorders>
            <w:shd w:val="clear" w:color="auto" w:fill="auto"/>
            <w:noWrap/>
            <w:vAlign w:val="bottom"/>
            <w:hideMark/>
          </w:tcPr>
          <w:p w14:paraId="461F667D"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r w:rsidR="00EA158E" w:rsidRPr="00543AD0" w14:paraId="47FA968B" w14:textId="77777777" w:rsidTr="007B0D81">
        <w:trPr>
          <w:trHeight w:val="255"/>
        </w:trPr>
        <w:tc>
          <w:tcPr>
            <w:tcW w:w="1982" w:type="pct"/>
            <w:tcBorders>
              <w:top w:val="nil"/>
              <w:left w:val="single" w:sz="8" w:space="0" w:color="auto"/>
              <w:bottom w:val="single" w:sz="4" w:space="0" w:color="auto"/>
              <w:right w:val="single" w:sz="4" w:space="0" w:color="auto"/>
            </w:tcBorders>
            <w:shd w:val="clear" w:color="000000" w:fill="FFFFFF"/>
            <w:vAlign w:val="bottom"/>
            <w:hideMark/>
          </w:tcPr>
          <w:p w14:paraId="7A583A4D"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Country</w:t>
            </w:r>
          </w:p>
        </w:tc>
        <w:tc>
          <w:tcPr>
            <w:tcW w:w="1064" w:type="pct"/>
            <w:gridSpan w:val="2"/>
            <w:tcBorders>
              <w:top w:val="single" w:sz="4" w:space="0" w:color="auto"/>
              <w:left w:val="nil"/>
              <w:bottom w:val="single" w:sz="4" w:space="0" w:color="auto"/>
              <w:right w:val="single" w:sz="4" w:space="0" w:color="000000"/>
            </w:tcBorders>
            <w:shd w:val="clear" w:color="000000" w:fill="FFCC99"/>
            <w:noWrap/>
            <w:vAlign w:val="bottom"/>
            <w:hideMark/>
          </w:tcPr>
          <w:p w14:paraId="25C1986E"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Kazakhstan</w:t>
            </w:r>
          </w:p>
        </w:tc>
        <w:tc>
          <w:tcPr>
            <w:tcW w:w="1954" w:type="pct"/>
            <w:gridSpan w:val="3"/>
            <w:tcBorders>
              <w:top w:val="nil"/>
              <w:left w:val="nil"/>
              <w:bottom w:val="single" w:sz="4" w:space="0" w:color="auto"/>
              <w:right w:val="single" w:sz="8" w:space="0" w:color="auto"/>
            </w:tcBorders>
            <w:shd w:val="clear" w:color="auto" w:fill="auto"/>
            <w:noWrap/>
            <w:vAlign w:val="bottom"/>
            <w:hideMark/>
          </w:tcPr>
          <w:p w14:paraId="0F018290"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r w:rsidR="00EA158E" w:rsidRPr="00543AD0" w14:paraId="685F5390" w14:textId="77777777" w:rsidTr="007B0D81">
        <w:trPr>
          <w:trHeight w:val="255"/>
        </w:trPr>
        <w:tc>
          <w:tcPr>
            <w:tcW w:w="1982" w:type="pct"/>
            <w:tcBorders>
              <w:top w:val="nil"/>
              <w:left w:val="single" w:sz="8" w:space="0" w:color="auto"/>
              <w:bottom w:val="single" w:sz="4" w:space="0" w:color="auto"/>
              <w:right w:val="single" w:sz="4" w:space="0" w:color="auto"/>
            </w:tcBorders>
            <w:shd w:val="clear" w:color="000000" w:fill="FFFFFF"/>
            <w:vAlign w:val="bottom"/>
            <w:hideMark/>
          </w:tcPr>
          <w:p w14:paraId="736E303B"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Region</w:t>
            </w:r>
          </w:p>
        </w:tc>
        <w:tc>
          <w:tcPr>
            <w:tcW w:w="1064" w:type="pct"/>
            <w:gridSpan w:val="2"/>
            <w:tcBorders>
              <w:top w:val="single" w:sz="4" w:space="0" w:color="auto"/>
              <w:left w:val="nil"/>
              <w:bottom w:val="single" w:sz="4" w:space="0" w:color="auto"/>
              <w:right w:val="single" w:sz="4" w:space="0" w:color="000000"/>
            </w:tcBorders>
            <w:shd w:val="clear" w:color="000000" w:fill="FFCC99"/>
            <w:noWrap/>
            <w:vAlign w:val="bottom"/>
            <w:hideMark/>
          </w:tcPr>
          <w:p w14:paraId="653D2A30" w14:textId="7D6EBB45"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r w:rsidR="00A8609D">
              <w:rPr>
                <w:rFonts w:eastAsia="Times New Roman" w:cs="Microsoft Sans Serif"/>
                <w:color w:val="3F3F76"/>
                <w:sz w:val="20"/>
                <w:szCs w:val="20"/>
                <w:lang w:val="en-GB" w:eastAsia="en-GB"/>
              </w:rPr>
              <w:t>ECA</w:t>
            </w:r>
          </w:p>
        </w:tc>
        <w:tc>
          <w:tcPr>
            <w:tcW w:w="1954" w:type="pct"/>
            <w:gridSpan w:val="3"/>
            <w:tcBorders>
              <w:top w:val="nil"/>
              <w:left w:val="nil"/>
              <w:bottom w:val="single" w:sz="4" w:space="0" w:color="auto"/>
              <w:right w:val="single" w:sz="8" w:space="0" w:color="auto"/>
            </w:tcBorders>
            <w:shd w:val="clear" w:color="auto" w:fill="auto"/>
            <w:noWrap/>
            <w:vAlign w:val="bottom"/>
            <w:hideMark/>
          </w:tcPr>
          <w:p w14:paraId="76885CDC"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r w:rsidR="00EA158E" w:rsidRPr="00543AD0" w14:paraId="193CA0AF" w14:textId="77777777" w:rsidTr="007B0D81">
        <w:trPr>
          <w:trHeight w:val="255"/>
        </w:trPr>
        <w:tc>
          <w:tcPr>
            <w:tcW w:w="1982" w:type="pct"/>
            <w:tcBorders>
              <w:top w:val="nil"/>
              <w:left w:val="single" w:sz="8" w:space="0" w:color="auto"/>
              <w:bottom w:val="single" w:sz="4" w:space="0" w:color="auto"/>
              <w:right w:val="single" w:sz="4" w:space="0" w:color="auto"/>
            </w:tcBorders>
            <w:shd w:val="clear" w:color="000000" w:fill="FFFFFF"/>
            <w:noWrap/>
            <w:vAlign w:val="bottom"/>
            <w:hideMark/>
          </w:tcPr>
          <w:p w14:paraId="2C15AE07"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Date of Council/CEO Approval</w:t>
            </w:r>
          </w:p>
        </w:tc>
        <w:tc>
          <w:tcPr>
            <w:tcW w:w="1064" w:type="pct"/>
            <w:gridSpan w:val="2"/>
            <w:tcBorders>
              <w:top w:val="single" w:sz="4" w:space="0" w:color="auto"/>
              <w:left w:val="nil"/>
              <w:bottom w:val="single" w:sz="4" w:space="0" w:color="auto"/>
              <w:right w:val="single" w:sz="4" w:space="0" w:color="000000"/>
            </w:tcBorders>
            <w:shd w:val="clear" w:color="000000" w:fill="FFCC99"/>
            <w:noWrap/>
            <w:vAlign w:val="bottom"/>
            <w:hideMark/>
          </w:tcPr>
          <w:p w14:paraId="56C21FE7"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1954" w:type="pct"/>
            <w:gridSpan w:val="3"/>
            <w:tcBorders>
              <w:top w:val="nil"/>
              <w:left w:val="nil"/>
              <w:bottom w:val="single" w:sz="4" w:space="0" w:color="auto"/>
              <w:right w:val="single" w:sz="8" w:space="0" w:color="auto"/>
            </w:tcBorders>
            <w:shd w:val="clear" w:color="auto" w:fill="auto"/>
            <w:noWrap/>
            <w:vAlign w:val="bottom"/>
            <w:hideMark/>
          </w:tcPr>
          <w:p w14:paraId="704EC731"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Month DD, YYYY (e.g., May 13, 2014)</w:t>
            </w:r>
          </w:p>
        </w:tc>
      </w:tr>
      <w:tr w:rsidR="00EA158E" w:rsidRPr="00543AD0" w14:paraId="4B90B513" w14:textId="77777777" w:rsidTr="007B0D81">
        <w:trPr>
          <w:trHeight w:val="255"/>
        </w:trPr>
        <w:tc>
          <w:tcPr>
            <w:tcW w:w="1982" w:type="pct"/>
            <w:tcBorders>
              <w:top w:val="nil"/>
              <w:left w:val="single" w:sz="8" w:space="0" w:color="auto"/>
              <w:bottom w:val="single" w:sz="4" w:space="0" w:color="auto"/>
              <w:right w:val="single" w:sz="4" w:space="0" w:color="auto"/>
            </w:tcBorders>
            <w:shd w:val="clear" w:color="000000" w:fill="FFFFFF"/>
            <w:vAlign w:val="bottom"/>
            <w:hideMark/>
          </w:tcPr>
          <w:p w14:paraId="45ED130B"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GEF Grant (US$)</w:t>
            </w:r>
          </w:p>
        </w:tc>
        <w:tc>
          <w:tcPr>
            <w:tcW w:w="1064" w:type="pct"/>
            <w:gridSpan w:val="2"/>
            <w:tcBorders>
              <w:top w:val="single" w:sz="4" w:space="0" w:color="auto"/>
              <w:left w:val="nil"/>
              <w:bottom w:val="single" w:sz="4" w:space="0" w:color="auto"/>
              <w:right w:val="single" w:sz="4" w:space="0" w:color="000000"/>
            </w:tcBorders>
            <w:shd w:val="clear" w:color="000000" w:fill="FFCC99"/>
            <w:noWrap/>
            <w:vAlign w:val="bottom"/>
            <w:hideMark/>
          </w:tcPr>
          <w:p w14:paraId="3300730D" w14:textId="77777777" w:rsidR="00EA158E" w:rsidRPr="004622EC" w:rsidRDefault="00EA158E" w:rsidP="00EA158E">
            <w:pPr>
              <w:jc w:val="right"/>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4,510,000</w:t>
            </w:r>
          </w:p>
        </w:tc>
        <w:tc>
          <w:tcPr>
            <w:tcW w:w="1954" w:type="pct"/>
            <w:gridSpan w:val="3"/>
            <w:tcBorders>
              <w:top w:val="nil"/>
              <w:left w:val="nil"/>
              <w:bottom w:val="single" w:sz="4" w:space="0" w:color="auto"/>
              <w:right w:val="single" w:sz="8" w:space="0" w:color="auto"/>
            </w:tcBorders>
            <w:shd w:val="clear" w:color="auto" w:fill="auto"/>
            <w:noWrap/>
            <w:vAlign w:val="bottom"/>
            <w:hideMark/>
          </w:tcPr>
          <w:p w14:paraId="334A7C56"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r w:rsidR="00EA158E" w:rsidRPr="00543AD0" w14:paraId="4DCF4C65" w14:textId="77777777" w:rsidTr="007B0D81">
        <w:trPr>
          <w:trHeight w:val="255"/>
        </w:trPr>
        <w:tc>
          <w:tcPr>
            <w:tcW w:w="1982" w:type="pct"/>
            <w:tcBorders>
              <w:top w:val="nil"/>
              <w:left w:val="single" w:sz="8" w:space="0" w:color="auto"/>
              <w:bottom w:val="single" w:sz="4" w:space="0" w:color="auto"/>
              <w:right w:val="single" w:sz="4" w:space="0" w:color="auto"/>
            </w:tcBorders>
            <w:shd w:val="clear" w:color="000000" w:fill="FFFFFF"/>
            <w:vAlign w:val="bottom"/>
            <w:hideMark/>
          </w:tcPr>
          <w:p w14:paraId="097F7ED6"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Date of submission of the tracking tool</w:t>
            </w:r>
          </w:p>
        </w:tc>
        <w:tc>
          <w:tcPr>
            <w:tcW w:w="1064" w:type="pct"/>
            <w:gridSpan w:val="2"/>
            <w:tcBorders>
              <w:top w:val="single" w:sz="4" w:space="0" w:color="auto"/>
              <w:left w:val="nil"/>
              <w:bottom w:val="single" w:sz="4" w:space="0" w:color="auto"/>
              <w:right w:val="single" w:sz="4" w:space="0" w:color="000000"/>
            </w:tcBorders>
            <w:shd w:val="clear" w:color="000000" w:fill="FFCC99"/>
            <w:noWrap/>
            <w:vAlign w:val="bottom"/>
            <w:hideMark/>
          </w:tcPr>
          <w:p w14:paraId="7B317E8D"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1954" w:type="pct"/>
            <w:gridSpan w:val="3"/>
            <w:tcBorders>
              <w:top w:val="nil"/>
              <w:left w:val="nil"/>
              <w:bottom w:val="single" w:sz="4" w:space="0" w:color="auto"/>
              <w:right w:val="single" w:sz="8" w:space="0" w:color="auto"/>
            </w:tcBorders>
            <w:shd w:val="clear" w:color="auto" w:fill="auto"/>
            <w:noWrap/>
            <w:vAlign w:val="bottom"/>
            <w:hideMark/>
          </w:tcPr>
          <w:p w14:paraId="34D0EADF"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Month DD, YYYY (e.g., May 13, 2014)</w:t>
            </w:r>
          </w:p>
        </w:tc>
      </w:tr>
      <w:tr w:rsidR="00EA158E" w:rsidRPr="00543AD0" w14:paraId="2ECD1E22" w14:textId="77777777" w:rsidTr="007B0D81">
        <w:trPr>
          <w:trHeight w:val="780"/>
        </w:trPr>
        <w:tc>
          <w:tcPr>
            <w:tcW w:w="1982" w:type="pct"/>
            <w:tcBorders>
              <w:top w:val="nil"/>
              <w:left w:val="single" w:sz="8" w:space="0" w:color="auto"/>
              <w:bottom w:val="single" w:sz="8" w:space="0" w:color="auto"/>
              <w:right w:val="single" w:sz="4" w:space="0" w:color="auto"/>
            </w:tcBorders>
            <w:shd w:val="clear" w:color="000000" w:fill="FFFFFF"/>
            <w:vAlign w:val="bottom"/>
            <w:hideMark/>
          </w:tcPr>
          <w:p w14:paraId="24B2A14D"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Is the project consistent with the priorities identified in National Communications, Technology Needs Assessment, or other Enabling Activities (such as Technology Action Plans, Nationally Appropriate Mitigation Actions (NAMA) under the UNFCCC?</w:t>
            </w:r>
          </w:p>
        </w:tc>
        <w:tc>
          <w:tcPr>
            <w:tcW w:w="1064" w:type="pct"/>
            <w:gridSpan w:val="2"/>
            <w:tcBorders>
              <w:top w:val="single" w:sz="4" w:space="0" w:color="auto"/>
              <w:left w:val="nil"/>
              <w:bottom w:val="single" w:sz="8" w:space="0" w:color="auto"/>
              <w:right w:val="single" w:sz="4" w:space="0" w:color="000000"/>
            </w:tcBorders>
            <w:shd w:val="clear" w:color="000000" w:fill="FFCC99"/>
            <w:noWrap/>
            <w:vAlign w:val="bottom"/>
            <w:hideMark/>
          </w:tcPr>
          <w:p w14:paraId="73E2BBF2" w14:textId="77777777" w:rsidR="00EA158E" w:rsidRPr="004622EC" w:rsidRDefault="00EA158E" w:rsidP="00EA158E">
            <w:pPr>
              <w:jc w:val="right"/>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1</w:t>
            </w:r>
          </w:p>
        </w:tc>
        <w:tc>
          <w:tcPr>
            <w:tcW w:w="1954" w:type="pct"/>
            <w:gridSpan w:val="3"/>
            <w:tcBorders>
              <w:top w:val="nil"/>
              <w:left w:val="nil"/>
              <w:bottom w:val="single" w:sz="8" w:space="0" w:color="auto"/>
              <w:right w:val="single" w:sz="8" w:space="0" w:color="auto"/>
            </w:tcBorders>
            <w:shd w:val="clear" w:color="auto" w:fill="auto"/>
            <w:noWrap/>
            <w:vAlign w:val="bottom"/>
            <w:hideMark/>
          </w:tcPr>
          <w:p w14:paraId="5C511CDC"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xml:space="preserve">Yes = 1, No = 0 </w:t>
            </w:r>
          </w:p>
        </w:tc>
      </w:tr>
      <w:tr w:rsidR="00EA158E" w:rsidRPr="00543AD0" w14:paraId="61145F4D" w14:textId="77777777" w:rsidTr="007B0D81">
        <w:trPr>
          <w:trHeight w:val="255"/>
        </w:trPr>
        <w:tc>
          <w:tcPr>
            <w:tcW w:w="1982" w:type="pct"/>
            <w:tcBorders>
              <w:top w:val="nil"/>
              <w:left w:val="nil"/>
              <w:bottom w:val="nil"/>
              <w:right w:val="nil"/>
            </w:tcBorders>
            <w:shd w:val="clear" w:color="auto" w:fill="auto"/>
            <w:vAlign w:val="bottom"/>
            <w:hideMark/>
          </w:tcPr>
          <w:p w14:paraId="0E09BBA5" w14:textId="77777777" w:rsidR="00EA158E" w:rsidRPr="004622EC" w:rsidRDefault="00EA158E" w:rsidP="00EA158E">
            <w:pPr>
              <w:rPr>
                <w:rFonts w:eastAsia="Times New Roman" w:cs="Microsoft Sans Serif"/>
                <w:color w:val="000000"/>
                <w:sz w:val="20"/>
                <w:szCs w:val="20"/>
                <w:lang w:val="en-GB" w:eastAsia="en-GB"/>
              </w:rPr>
            </w:pPr>
          </w:p>
        </w:tc>
        <w:tc>
          <w:tcPr>
            <w:tcW w:w="1064" w:type="pct"/>
            <w:gridSpan w:val="2"/>
            <w:tcBorders>
              <w:top w:val="nil"/>
              <w:left w:val="nil"/>
              <w:bottom w:val="nil"/>
              <w:right w:val="nil"/>
            </w:tcBorders>
            <w:shd w:val="clear" w:color="auto" w:fill="auto"/>
            <w:noWrap/>
            <w:vAlign w:val="bottom"/>
            <w:hideMark/>
          </w:tcPr>
          <w:p w14:paraId="267072BF" w14:textId="77777777" w:rsidR="00EA158E" w:rsidRPr="004622EC" w:rsidRDefault="00EA158E" w:rsidP="00EA158E">
            <w:pPr>
              <w:rPr>
                <w:rFonts w:eastAsia="Times New Roman" w:cs="Microsoft Sans Serif"/>
                <w:color w:val="3F3F76"/>
                <w:sz w:val="20"/>
                <w:szCs w:val="20"/>
                <w:lang w:val="en-GB" w:eastAsia="en-GB"/>
              </w:rPr>
            </w:pPr>
          </w:p>
        </w:tc>
        <w:tc>
          <w:tcPr>
            <w:tcW w:w="1954" w:type="pct"/>
            <w:gridSpan w:val="3"/>
            <w:tcBorders>
              <w:top w:val="nil"/>
              <w:left w:val="nil"/>
              <w:bottom w:val="nil"/>
              <w:right w:val="nil"/>
            </w:tcBorders>
            <w:shd w:val="clear" w:color="auto" w:fill="auto"/>
            <w:noWrap/>
            <w:vAlign w:val="bottom"/>
            <w:hideMark/>
          </w:tcPr>
          <w:p w14:paraId="42EEE001" w14:textId="77777777" w:rsidR="00EA158E" w:rsidRPr="004622EC" w:rsidRDefault="00EA158E" w:rsidP="00EA158E">
            <w:pPr>
              <w:rPr>
                <w:rFonts w:eastAsia="Times New Roman" w:cs="Microsoft Sans Serif"/>
                <w:color w:val="000000"/>
                <w:sz w:val="20"/>
                <w:szCs w:val="20"/>
                <w:lang w:val="en-GB" w:eastAsia="en-GB"/>
              </w:rPr>
            </w:pPr>
          </w:p>
        </w:tc>
      </w:tr>
      <w:tr w:rsidR="00EA158E" w:rsidRPr="00543AD0" w14:paraId="45A1ACB9" w14:textId="77777777" w:rsidTr="007B0D81">
        <w:trPr>
          <w:trHeight w:val="270"/>
        </w:trPr>
        <w:tc>
          <w:tcPr>
            <w:tcW w:w="1982" w:type="pct"/>
            <w:tcBorders>
              <w:top w:val="nil"/>
              <w:left w:val="nil"/>
              <w:bottom w:val="nil"/>
              <w:right w:val="nil"/>
            </w:tcBorders>
            <w:shd w:val="clear" w:color="auto" w:fill="auto"/>
            <w:vAlign w:val="bottom"/>
            <w:hideMark/>
          </w:tcPr>
          <w:p w14:paraId="6598FE1D" w14:textId="77777777" w:rsidR="00EA158E" w:rsidRPr="004622EC" w:rsidRDefault="00EA158E" w:rsidP="00EA158E">
            <w:pPr>
              <w:rPr>
                <w:rFonts w:eastAsia="Times New Roman" w:cs="Microsoft Sans Serif"/>
                <w:b/>
                <w:bCs/>
                <w:color w:val="FF0000"/>
                <w:sz w:val="20"/>
                <w:szCs w:val="20"/>
                <w:lang w:val="en-GB" w:eastAsia="en-GB"/>
              </w:rPr>
            </w:pPr>
            <w:r w:rsidRPr="004622EC">
              <w:rPr>
                <w:rFonts w:eastAsia="Times New Roman" w:cs="Microsoft Sans Serif"/>
                <w:b/>
                <w:bCs/>
                <w:color w:val="FF0000"/>
                <w:sz w:val="20"/>
                <w:szCs w:val="20"/>
                <w:lang w:val="en-GB" w:eastAsia="en-GB"/>
              </w:rPr>
              <w:t>Section B. Quantitative Outcome Indicators</w:t>
            </w:r>
          </w:p>
        </w:tc>
        <w:tc>
          <w:tcPr>
            <w:tcW w:w="1064" w:type="pct"/>
            <w:gridSpan w:val="2"/>
            <w:tcBorders>
              <w:top w:val="nil"/>
              <w:left w:val="nil"/>
              <w:bottom w:val="single" w:sz="8" w:space="0" w:color="auto"/>
              <w:right w:val="nil"/>
            </w:tcBorders>
            <w:shd w:val="clear" w:color="auto" w:fill="auto"/>
            <w:noWrap/>
            <w:vAlign w:val="bottom"/>
            <w:hideMark/>
          </w:tcPr>
          <w:p w14:paraId="39598304" w14:textId="77777777" w:rsidR="00EA158E" w:rsidRPr="004622EC" w:rsidRDefault="00EA158E" w:rsidP="00EA158E">
            <w:pPr>
              <w:jc w:val="center"/>
              <w:rPr>
                <w:rFonts w:eastAsia="Times New Roman" w:cs="Microsoft Sans Serif"/>
                <w:b/>
                <w:bCs/>
                <w:sz w:val="20"/>
                <w:szCs w:val="20"/>
                <w:lang w:val="en-GB" w:eastAsia="en-GB"/>
              </w:rPr>
            </w:pPr>
            <w:r w:rsidRPr="004622EC">
              <w:rPr>
                <w:rFonts w:eastAsia="Times New Roman" w:cs="Microsoft Sans Serif"/>
                <w:b/>
                <w:bCs/>
                <w:sz w:val="20"/>
                <w:szCs w:val="20"/>
                <w:lang w:val="en-GB" w:eastAsia="en-GB"/>
              </w:rPr>
              <w:t>Target At CEO Endorsement</w:t>
            </w:r>
          </w:p>
        </w:tc>
        <w:tc>
          <w:tcPr>
            <w:tcW w:w="1954" w:type="pct"/>
            <w:gridSpan w:val="3"/>
            <w:tcBorders>
              <w:top w:val="nil"/>
              <w:left w:val="nil"/>
              <w:bottom w:val="nil"/>
              <w:right w:val="nil"/>
            </w:tcBorders>
            <w:shd w:val="clear" w:color="auto" w:fill="auto"/>
            <w:noWrap/>
            <w:vAlign w:val="bottom"/>
            <w:hideMark/>
          </w:tcPr>
          <w:p w14:paraId="3A03FA2F" w14:textId="77777777" w:rsidR="00EA158E" w:rsidRPr="004622EC" w:rsidRDefault="00EA158E" w:rsidP="00EA158E">
            <w:pPr>
              <w:rPr>
                <w:rFonts w:eastAsia="Times New Roman" w:cs="Microsoft Sans Serif"/>
                <w:color w:val="000000"/>
                <w:sz w:val="20"/>
                <w:szCs w:val="20"/>
                <w:lang w:val="en-GB" w:eastAsia="en-GB"/>
              </w:rPr>
            </w:pPr>
          </w:p>
        </w:tc>
      </w:tr>
      <w:tr w:rsidR="00EA158E" w:rsidRPr="00543AD0" w14:paraId="46C05F8E" w14:textId="77777777" w:rsidTr="007B0D81">
        <w:trPr>
          <w:trHeight w:val="765"/>
        </w:trPr>
        <w:tc>
          <w:tcPr>
            <w:tcW w:w="1982" w:type="pct"/>
            <w:tcBorders>
              <w:top w:val="single" w:sz="8" w:space="0" w:color="auto"/>
              <w:left w:val="single" w:sz="8" w:space="0" w:color="auto"/>
              <w:bottom w:val="single" w:sz="4" w:space="0" w:color="auto"/>
              <w:right w:val="single" w:sz="4" w:space="0" w:color="auto"/>
            </w:tcBorders>
            <w:shd w:val="clear" w:color="000000" w:fill="FFC000"/>
            <w:vAlign w:val="bottom"/>
            <w:hideMark/>
          </w:tcPr>
          <w:p w14:paraId="666C1244"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 xml:space="preserve">Indicator 1: Total Lifetime Direct  and Indirect GHG Emissions Avoided (Tons CO2eq)   </w:t>
            </w:r>
          </w:p>
        </w:tc>
        <w:tc>
          <w:tcPr>
            <w:tcW w:w="1064" w:type="pct"/>
            <w:gridSpan w:val="2"/>
            <w:tcBorders>
              <w:top w:val="single" w:sz="8" w:space="0" w:color="auto"/>
              <w:left w:val="nil"/>
              <w:bottom w:val="single" w:sz="4" w:space="0" w:color="auto"/>
              <w:right w:val="single" w:sz="4" w:space="0" w:color="auto"/>
            </w:tcBorders>
            <w:shd w:val="clear" w:color="000000" w:fill="FFC000"/>
            <w:noWrap/>
            <w:vAlign w:val="bottom"/>
            <w:hideMark/>
          </w:tcPr>
          <w:p w14:paraId="5B05AB78" w14:textId="77777777" w:rsidR="00EA158E" w:rsidRPr="004622EC" w:rsidRDefault="00EA158E" w:rsidP="00EA158E">
            <w:pPr>
              <w:jc w:val="center"/>
              <w:rPr>
                <w:rFonts w:eastAsia="Times New Roman" w:cs="Microsoft Sans Serif"/>
                <w:sz w:val="20"/>
                <w:szCs w:val="20"/>
                <w:lang w:val="en-GB" w:eastAsia="en-GB"/>
              </w:rPr>
            </w:pPr>
            <w:r w:rsidRPr="004622EC">
              <w:rPr>
                <w:rFonts w:eastAsia="Times New Roman" w:cs="Microsoft Sans Serif"/>
                <w:sz w:val="20"/>
                <w:szCs w:val="20"/>
                <w:lang w:val="en-GB" w:eastAsia="en-GB"/>
              </w:rPr>
              <w:t> </w:t>
            </w:r>
          </w:p>
        </w:tc>
        <w:tc>
          <w:tcPr>
            <w:tcW w:w="1954" w:type="pct"/>
            <w:gridSpan w:val="3"/>
            <w:tcBorders>
              <w:top w:val="single" w:sz="8" w:space="0" w:color="auto"/>
              <w:left w:val="nil"/>
              <w:bottom w:val="single" w:sz="4" w:space="0" w:color="auto"/>
              <w:right w:val="single" w:sz="8" w:space="0" w:color="auto"/>
            </w:tcBorders>
            <w:shd w:val="clear" w:color="000000" w:fill="FFC000"/>
            <w:vAlign w:val="bottom"/>
            <w:hideMark/>
          </w:tcPr>
          <w:p w14:paraId="03900299" w14:textId="0087E12B" w:rsidR="00EA158E" w:rsidRPr="004622EC" w:rsidRDefault="00C953AA" w:rsidP="00EA158E">
            <w:pPr>
              <w:rPr>
                <w:rFonts w:eastAsia="Times New Roman" w:cs="Microsoft Sans Serif"/>
                <w:b/>
                <w:bCs/>
                <w:color w:val="000000"/>
                <w:sz w:val="20"/>
                <w:szCs w:val="20"/>
                <w:lang w:val="en-GB" w:eastAsia="en-GB"/>
              </w:rPr>
            </w:pPr>
            <w:r w:rsidRPr="002B343A">
              <w:rPr>
                <w:rFonts w:eastAsia="Times New Roman" w:cs="Microsoft Sans Serif"/>
                <w:b/>
                <w:bCs/>
                <w:color w:val="000000"/>
                <w:sz w:val="20"/>
                <w:szCs w:val="20"/>
                <w:lang w:val="en-GB" w:eastAsia="en-GB"/>
              </w:rPr>
              <w:t>Identify</w:t>
            </w:r>
            <w:r w:rsidR="00EA158E" w:rsidRPr="004622EC">
              <w:rPr>
                <w:rFonts w:eastAsia="Times New Roman" w:cs="Microsoft Sans Serif"/>
                <w:b/>
                <w:bCs/>
                <w:color w:val="000000"/>
                <w:sz w:val="20"/>
                <w:szCs w:val="20"/>
                <w:lang w:val="en-GB" w:eastAsia="en-GB"/>
              </w:rPr>
              <w:t xml:space="preserve"> Sectors, Sources and</w:t>
            </w:r>
            <w:r w:rsidR="007B0D81">
              <w:rPr>
                <w:rFonts w:eastAsia="Times New Roman" w:cs="Microsoft Sans Serif"/>
                <w:b/>
                <w:bCs/>
                <w:color w:val="000000"/>
                <w:sz w:val="20"/>
                <w:szCs w:val="20"/>
                <w:lang w:val="en-GB" w:eastAsia="en-GB"/>
              </w:rPr>
              <w:t xml:space="preserve"> </w:t>
            </w:r>
            <w:r w:rsidR="00EA158E" w:rsidRPr="004622EC">
              <w:rPr>
                <w:rFonts w:eastAsia="Times New Roman" w:cs="Microsoft Sans Serif"/>
                <w:b/>
                <w:bCs/>
                <w:color w:val="000000"/>
                <w:sz w:val="20"/>
                <w:szCs w:val="20"/>
                <w:lang w:val="en-GB" w:eastAsia="en-GB"/>
              </w:rPr>
              <w:t>Technologies. Provide disaggregated information if possible. see Special Notes above</w:t>
            </w:r>
          </w:p>
        </w:tc>
      </w:tr>
      <w:tr w:rsidR="00EA158E" w:rsidRPr="00543AD0" w14:paraId="27142916" w14:textId="77777777" w:rsidTr="007B0D81">
        <w:trPr>
          <w:trHeight w:val="255"/>
        </w:trPr>
        <w:tc>
          <w:tcPr>
            <w:tcW w:w="1982" w:type="pct"/>
            <w:tcBorders>
              <w:top w:val="nil"/>
              <w:left w:val="single" w:sz="8" w:space="0" w:color="auto"/>
              <w:bottom w:val="single" w:sz="4" w:space="0" w:color="auto"/>
              <w:right w:val="single" w:sz="4" w:space="0" w:color="auto"/>
            </w:tcBorders>
            <w:shd w:val="clear" w:color="auto" w:fill="auto"/>
            <w:vAlign w:val="bottom"/>
            <w:hideMark/>
          </w:tcPr>
          <w:p w14:paraId="5D1E985C"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Lifetime direct GHG emissions avoided</w:t>
            </w:r>
          </w:p>
        </w:tc>
        <w:tc>
          <w:tcPr>
            <w:tcW w:w="1064" w:type="pct"/>
            <w:gridSpan w:val="2"/>
            <w:tcBorders>
              <w:top w:val="single" w:sz="4" w:space="0" w:color="auto"/>
              <w:left w:val="nil"/>
              <w:bottom w:val="single" w:sz="4" w:space="0" w:color="auto"/>
              <w:right w:val="single" w:sz="4" w:space="0" w:color="auto"/>
            </w:tcBorders>
            <w:shd w:val="clear" w:color="000000" w:fill="FFCC99"/>
            <w:noWrap/>
            <w:vAlign w:val="bottom"/>
            <w:hideMark/>
          </w:tcPr>
          <w:p w14:paraId="79C7F016" w14:textId="77777777" w:rsidR="00EA158E" w:rsidRPr="004622EC" w:rsidRDefault="00EA158E" w:rsidP="00EA158E">
            <w:pPr>
              <w:jc w:val="cente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460,000</w:t>
            </w:r>
          </w:p>
        </w:tc>
        <w:tc>
          <w:tcPr>
            <w:tcW w:w="1954" w:type="pct"/>
            <w:gridSpan w:val="3"/>
            <w:tcBorders>
              <w:top w:val="nil"/>
              <w:left w:val="nil"/>
              <w:bottom w:val="single" w:sz="4" w:space="0" w:color="auto"/>
              <w:right w:val="single" w:sz="8" w:space="0" w:color="auto"/>
            </w:tcBorders>
            <w:shd w:val="clear" w:color="auto" w:fill="auto"/>
            <w:vAlign w:val="bottom"/>
            <w:hideMark/>
          </w:tcPr>
          <w:p w14:paraId="06528710"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Small scale renewable energy in rural and urban areas</w:t>
            </w:r>
          </w:p>
        </w:tc>
      </w:tr>
      <w:tr w:rsidR="00EA158E" w:rsidRPr="00543AD0" w14:paraId="68D58CBA" w14:textId="77777777" w:rsidTr="007B0D81">
        <w:trPr>
          <w:trHeight w:val="255"/>
        </w:trPr>
        <w:tc>
          <w:tcPr>
            <w:tcW w:w="1982" w:type="pct"/>
            <w:tcBorders>
              <w:top w:val="nil"/>
              <w:left w:val="single" w:sz="8" w:space="0" w:color="auto"/>
              <w:bottom w:val="single" w:sz="4" w:space="0" w:color="auto"/>
              <w:right w:val="single" w:sz="4" w:space="0" w:color="auto"/>
            </w:tcBorders>
            <w:shd w:val="clear" w:color="auto" w:fill="auto"/>
            <w:vAlign w:val="bottom"/>
            <w:hideMark/>
          </w:tcPr>
          <w:p w14:paraId="4B78F447"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xml:space="preserve">Lifetime indirect GHG emissions avoided </w:t>
            </w:r>
          </w:p>
        </w:tc>
        <w:tc>
          <w:tcPr>
            <w:tcW w:w="1064" w:type="pct"/>
            <w:gridSpan w:val="2"/>
            <w:tcBorders>
              <w:top w:val="single" w:sz="4" w:space="0" w:color="auto"/>
              <w:left w:val="nil"/>
              <w:bottom w:val="single" w:sz="4" w:space="0" w:color="auto"/>
              <w:right w:val="single" w:sz="4" w:space="0" w:color="auto"/>
            </w:tcBorders>
            <w:shd w:val="clear" w:color="000000" w:fill="FFCC99"/>
            <w:noWrap/>
            <w:vAlign w:val="bottom"/>
            <w:hideMark/>
          </w:tcPr>
          <w:p w14:paraId="7A4025F9" w14:textId="77777777" w:rsidR="00EA158E" w:rsidRPr="004622EC" w:rsidRDefault="00EA158E" w:rsidP="00EA158E">
            <w:pPr>
              <w:jc w:val="cente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1,800,000</w:t>
            </w:r>
          </w:p>
        </w:tc>
        <w:tc>
          <w:tcPr>
            <w:tcW w:w="1954" w:type="pct"/>
            <w:gridSpan w:val="3"/>
            <w:tcBorders>
              <w:top w:val="nil"/>
              <w:left w:val="nil"/>
              <w:bottom w:val="single" w:sz="4" w:space="0" w:color="auto"/>
              <w:right w:val="single" w:sz="8" w:space="0" w:color="auto"/>
            </w:tcBorders>
            <w:shd w:val="clear" w:color="auto" w:fill="auto"/>
            <w:vAlign w:val="bottom"/>
            <w:hideMark/>
          </w:tcPr>
          <w:p w14:paraId="09FDCE07" w14:textId="3B31717F" w:rsidR="00EA158E" w:rsidRPr="004622EC" w:rsidRDefault="007B0D81" w:rsidP="00EA158E">
            <w:pPr>
              <w:rPr>
                <w:rFonts w:eastAsia="Times New Roman" w:cs="Microsoft Sans Serif"/>
                <w:color w:val="000000"/>
                <w:sz w:val="20"/>
                <w:szCs w:val="20"/>
                <w:lang w:val="en-GB" w:eastAsia="en-GB"/>
              </w:rPr>
            </w:pPr>
            <w:r>
              <w:rPr>
                <w:rFonts w:eastAsia="Times New Roman" w:cs="Microsoft Sans Serif"/>
                <w:color w:val="000000"/>
                <w:sz w:val="20"/>
                <w:szCs w:val="20"/>
                <w:lang w:val="en-GB" w:eastAsia="en-GB"/>
              </w:rPr>
              <w:t>(</w:t>
            </w:r>
            <w:r w:rsidRPr="007B0D81">
              <w:rPr>
                <w:rFonts w:eastAsia="Times New Roman" w:cs="Microsoft Sans Serif"/>
                <w:color w:val="000000"/>
                <w:sz w:val="20"/>
                <w:szCs w:val="20"/>
                <w:highlight w:val="yellow"/>
                <w:lang w:val="en-GB" w:eastAsia="en-GB"/>
              </w:rPr>
              <w:t>Bottom-up)</w:t>
            </w:r>
            <w:r>
              <w:rPr>
                <w:rFonts w:eastAsia="Times New Roman" w:cs="Microsoft Sans Serif"/>
                <w:color w:val="000000"/>
                <w:sz w:val="20"/>
                <w:szCs w:val="20"/>
                <w:lang w:val="en-GB" w:eastAsia="en-GB"/>
              </w:rPr>
              <w:t xml:space="preserve"> </w:t>
            </w:r>
            <w:r w:rsidR="00EA158E" w:rsidRPr="004622EC">
              <w:rPr>
                <w:rFonts w:eastAsia="Times New Roman" w:cs="Microsoft Sans Serif"/>
                <w:color w:val="000000"/>
                <w:sz w:val="20"/>
                <w:szCs w:val="20"/>
                <w:lang w:val="en-GB" w:eastAsia="en-GB"/>
              </w:rPr>
              <w:t>Small scale renewable energy in rural and urban areas</w:t>
            </w:r>
          </w:p>
        </w:tc>
      </w:tr>
      <w:tr w:rsidR="007B0D81" w:rsidRPr="00543AD0" w14:paraId="2B477A07" w14:textId="77777777" w:rsidTr="007B0D81">
        <w:trPr>
          <w:trHeight w:val="255"/>
        </w:trPr>
        <w:tc>
          <w:tcPr>
            <w:tcW w:w="1982" w:type="pct"/>
            <w:tcBorders>
              <w:top w:val="nil"/>
              <w:left w:val="single" w:sz="8" w:space="0" w:color="auto"/>
              <w:bottom w:val="single" w:sz="4" w:space="0" w:color="auto"/>
              <w:right w:val="single" w:sz="4" w:space="0" w:color="auto"/>
            </w:tcBorders>
            <w:shd w:val="clear" w:color="auto" w:fill="auto"/>
            <w:vAlign w:val="bottom"/>
            <w:hideMark/>
          </w:tcPr>
          <w:p w14:paraId="63849F86" w14:textId="77777777" w:rsidR="007B0D81" w:rsidRPr="004622EC" w:rsidRDefault="007B0D81"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064" w:type="pct"/>
            <w:gridSpan w:val="2"/>
            <w:tcBorders>
              <w:top w:val="single" w:sz="4" w:space="0" w:color="auto"/>
              <w:left w:val="nil"/>
              <w:bottom w:val="single" w:sz="4" w:space="0" w:color="auto"/>
              <w:right w:val="single" w:sz="4" w:space="0" w:color="auto"/>
            </w:tcBorders>
            <w:shd w:val="clear" w:color="auto" w:fill="auto"/>
            <w:noWrap/>
            <w:vAlign w:val="bottom"/>
            <w:hideMark/>
          </w:tcPr>
          <w:p w14:paraId="71E8BD5B" w14:textId="0191E3C2" w:rsidR="007B0D81" w:rsidRPr="007B0D81" w:rsidRDefault="007B0D81" w:rsidP="00EA158E">
            <w:pPr>
              <w:jc w:val="center"/>
              <w:rPr>
                <w:rFonts w:eastAsia="Times New Roman" w:cs="Microsoft Sans Serif"/>
                <w:color w:val="3F3F76"/>
                <w:sz w:val="20"/>
                <w:szCs w:val="20"/>
                <w:highlight w:val="yellow"/>
                <w:lang w:val="en-GB" w:eastAsia="en-GB"/>
              </w:rPr>
            </w:pPr>
            <w:r w:rsidRPr="007B0D81">
              <w:rPr>
                <w:rFonts w:eastAsia="Times New Roman" w:cs="Microsoft Sans Serif"/>
                <w:color w:val="3F3F76"/>
                <w:sz w:val="20"/>
                <w:szCs w:val="20"/>
                <w:highlight w:val="yellow"/>
                <w:lang w:val="en-GB" w:eastAsia="en-GB"/>
              </w:rPr>
              <w:t>8,000,000</w:t>
            </w:r>
          </w:p>
        </w:tc>
        <w:tc>
          <w:tcPr>
            <w:tcW w:w="1954" w:type="pct"/>
            <w:gridSpan w:val="3"/>
            <w:tcBorders>
              <w:top w:val="nil"/>
              <w:left w:val="nil"/>
              <w:bottom w:val="single" w:sz="4" w:space="0" w:color="auto"/>
              <w:right w:val="single" w:sz="8" w:space="0" w:color="auto"/>
            </w:tcBorders>
            <w:shd w:val="clear" w:color="auto" w:fill="auto"/>
            <w:noWrap/>
            <w:vAlign w:val="bottom"/>
            <w:hideMark/>
          </w:tcPr>
          <w:p w14:paraId="08B5388F" w14:textId="7A9B845A" w:rsidR="007B0D81" w:rsidRPr="007B0D81" w:rsidRDefault="007B0D81" w:rsidP="00EA158E">
            <w:pPr>
              <w:rPr>
                <w:rFonts w:eastAsia="Times New Roman" w:cs="Microsoft Sans Serif"/>
                <w:color w:val="000000"/>
                <w:sz w:val="18"/>
                <w:szCs w:val="20"/>
                <w:highlight w:val="yellow"/>
                <w:lang w:val="en-GB" w:eastAsia="en-GB"/>
              </w:rPr>
            </w:pPr>
            <w:r w:rsidRPr="007B0D81">
              <w:rPr>
                <w:rFonts w:ascii="Microsoft Sans Serif" w:eastAsia="Times New Roman" w:hAnsi="Microsoft Sans Serif" w:cs="Microsoft Sans Serif"/>
                <w:color w:val="000000"/>
                <w:sz w:val="18"/>
                <w:szCs w:val="20"/>
                <w:highlight w:val="yellow"/>
              </w:rPr>
              <w:t>(Top-down) Small scale renewable energy in rural and urban areas</w:t>
            </w:r>
          </w:p>
        </w:tc>
      </w:tr>
      <w:tr w:rsidR="00EA158E" w:rsidRPr="00543AD0" w14:paraId="08B2E683" w14:textId="77777777" w:rsidTr="007B0D81">
        <w:trPr>
          <w:trHeight w:val="1785"/>
        </w:trPr>
        <w:tc>
          <w:tcPr>
            <w:tcW w:w="1982" w:type="pct"/>
            <w:tcBorders>
              <w:top w:val="nil"/>
              <w:left w:val="single" w:sz="8" w:space="0" w:color="auto"/>
              <w:bottom w:val="single" w:sz="4" w:space="0" w:color="auto"/>
              <w:right w:val="single" w:sz="4" w:space="0" w:color="auto"/>
            </w:tcBorders>
            <w:shd w:val="clear" w:color="000000" w:fill="FFC000"/>
            <w:vAlign w:val="bottom"/>
            <w:hideMark/>
          </w:tcPr>
          <w:p w14:paraId="70211B3B"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Indicator 2: Lifetime Energy Saved (Million Joules)</w:t>
            </w:r>
          </w:p>
        </w:tc>
        <w:tc>
          <w:tcPr>
            <w:tcW w:w="1064" w:type="pct"/>
            <w:gridSpan w:val="2"/>
            <w:tcBorders>
              <w:top w:val="single" w:sz="4" w:space="0" w:color="auto"/>
              <w:left w:val="nil"/>
              <w:bottom w:val="single" w:sz="4" w:space="0" w:color="auto"/>
              <w:right w:val="single" w:sz="4" w:space="0" w:color="auto"/>
            </w:tcBorders>
            <w:shd w:val="clear" w:color="000000" w:fill="FFC000"/>
            <w:noWrap/>
            <w:vAlign w:val="bottom"/>
            <w:hideMark/>
          </w:tcPr>
          <w:p w14:paraId="411EAB95" w14:textId="77777777" w:rsidR="00EA158E" w:rsidRPr="004622EC" w:rsidRDefault="00EA158E" w:rsidP="00EA158E">
            <w:pPr>
              <w:jc w:val="center"/>
              <w:rPr>
                <w:rFonts w:eastAsia="Times New Roman" w:cs="Microsoft Sans Serif"/>
                <w:sz w:val="20"/>
                <w:szCs w:val="20"/>
                <w:lang w:val="en-GB" w:eastAsia="en-GB"/>
              </w:rPr>
            </w:pPr>
            <w:r w:rsidRPr="004622EC">
              <w:rPr>
                <w:rFonts w:eastAsia="Times New Roman" w:cs="Microsoft Sans Serif"/>
                <w:sz w:val="20"/>
                <w:szCs w:val="20"/>
                <w:lang w:val="en-GB" w:eastAsia="en-GB"/>
              </w:rPr>
              <w:t> </w:t>
            </w:r>
          </w:p>
        </w:tc>
        <w:tc>
          <w:tcPr>
            <w:tcW w:w="1954" w:type="pct"/>
            <w:gridSpan w:val="3"/>
            <w:tcBorders>
              <w:top w:val="nil"/>
              <w:left w:val="nil"/>
              <w:bottom w:val="single" w:sz="4" w:space="0" w:color="auto"/>
              <w:right w:val="single" w:sz="8" w:space="0" w:color="auto"/>
            </w:tcBorders>
            <w:shd w:val="clear" w:color="000000" w:fill="FFC000"/>
            <w:vAlign w:val="bottom"/>
            <w:hideMark/>
          </w:tcPr>
          <w:p w14:paraId="50A9446D"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 xml:space="preserve">IEA unit converter: http://www.iea.org/stats/unit.asp) Fuel savings should be converted to energy savings by using the net calorific value of the specific fuel.  End-use electricity savings should be converted to energy savings by using the conversion factor for the specific supply and distribution system. These energy savings are then totaled over the respective lifetime of the investments. </w:t>
            </w:r>
          </w:p>
        </w:tc>
      </w:tr>
      <w:tr w:rsidR="00EA158E" w:rsidRPr="00543AD0" w14:paraId="69A48B43" w14:textId="77777777" w:rsidTr="007B0D81">
        <w:trPr>
          <w:trHeight w:val="285"/>
        </w:trPr>
        <w:tc>
          <w:tcPr>
            <w:tcW w:w="1982" w:type="pct"/>
            <w:tcBorders>
              <w:top w:val="nil"/>
              <w:left w:val="single" w:sz="8" w:space="0" w:color="auto"/>
              <w:bottom w:val="single" w:sz="4" w:space="0" w:color="auto"/>
              <w:right w:val="single" w:sz="4" w:space="0" w:color="auto"/>
            </w:tcBorders>
            <w:shd w:val="clear" w:color="auto" w:fill="auto"/>
            <w:vAlign w:val="center"/>
            <w:hideMark/>
          </w:tcPr>
          <w:p w14:paraId="5241EC0E"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064" w:type="pct"/>
            <w:gridSpan w:val="2"/>
            <w:tcBorders>
              <w:top w:val="single" w:sz="4" w:space="0" w:color="auto"/>
              <w:left w:val="nil"/>
              <w:bottom w:val="single" w:sz="4" w:space="0" w:color="auto"/>
              <w:right w:val="single" w:sz="4" w:space="0" w:color="000000"/>
            </w:tcBorders>
            <w:shd w:val="clear" w:color="000000" w:fill="FFCC99"/>
            <w:noWrap/>
            <w:vAlign w:val="center"/>
            <w:hideMark/>
          </w:tcPr>
          <w:p w14:paraId="4609C554"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1954" w:type="pct"/>
            <w:gridSpan w:val="3"/>
            <w:tcBorders>
              <w:top w:val="nil"/>
              <w:left w:val="nil"/>
              <w:bottom w:val="single" w:sz="4" w:space="0" w:color="auto"/>
              <w:right w:val="single" w:sz="8" w:space="0" w:color="auto"/>
            </w:tcBorders>
            <w:shd w:val="clear" w:color="auto" w:fill="auto"/>
            <w:hideMark/>
          </w:tcPr>
          <w:p w14:paraId="7FE40519"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r w:rsidR="00EA158E" w:rsidRPr="00543AD0" w14:paraId="5F431BA5" w14:textId="77777777" w:rsidTr="007B0D81">
        <w:trPr>
          <w:trHeight w:val="255"/>
        </w:trPr>
        <w:tc>
          <w:tcPr>
            <w:tcW w:w="1982" w:type="pct"/>
            <w:tcBorders>
              <w:top w:val="nil"/>
              <w:left w:val="single" w:sz="8" w:space="0" w:color="auto"/>
              <w:bottom w:val="single" w:sz="4" w:space="0" w:color="auto"/>
              <w:right w:val="single" w:sz="4" w:space="0" w:color="auto"/>
            </w:tcBorders>
            <w:shd w:val="clear" w:color="auto" w:fill="auto"/>
            <w:noWrap/>
            <w:vAlign w:val="bottom"/>
            <w:hideMark/>
          </w:tcPr>
          <w:p w14:paraId="687F7ADB"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064" w:type="pct"/>
            <w:gridSpan w:val="2"/>
            <w:tcBorders>
              <w:top w:val="single" w:sz="4" w:space="0" w:color="auto"/>
              <w:left w:val="nil"/>
              <w:bottom w:val="single" w:sz="4" w:space="0" w:color="auto"/>
              <w:right w:val="single" w:sz="4" w:space="0" w:color="auto"/>
            </w:tcBorders>
            <w:shd w:val="clear" w:color="000000" w:fill="FFCC99"/>
            <w:noWrap/>
            <w:vAlign w:val="bottom"/>
            <w:hideMark/>
          </w:tcPr>
          <w:p w14:paraId="7D990483" w14:textId="77777777" w:rsidR="00EA158E" w:rsidRPr="004622EC" w:rsidRDefault="00EA158E" w:rsidP="00EA158E">
            <w:pPr>
              <w:jc w:val="cente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1954" w:type="pct"/>
            <w:gridSpan w:val="3"/>
            <w:tcBorders>
              <w:top w:val="nil"/>
              <w:left w:val="nil"/>
              <w:bottom w:val="single" w:sz="4" w:space="0" w:color="auto"/>
              <w:right w:val="single" w:sz="8" w:space="0" w:color="auto"/>
            </w:tcBorders>
            <w:shd w:val="clear" w:color="auto" w:fill="auto"/>
            <w:noWrap/>
            <w:vAlign w:val="bottom"/>
            <w:hideMark/>
          </w:tcPr>
          <w:p w14:paraId="724F1770"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r w:rsidR="00EA158E" w:rsidRPr="00543AD0" w14:paraId="62451D73" w14:textId="77777777" w:rsidTr="007B0D81">
        <w:trPr>
          <w:trHeight w:val="510"/>
        </w:trPr>
        <w:tc>
          <w:tcPr>
            <w:tcW w:w="1982" w:type="pct"/>
            <w:tcBorders>
              <w:top w:val="nil"/>
              <w:left w:val="single" w:sz="8" w:space="0" w:color="auto"/>
              <w:bottom w:val="single" w:sz="4" w:space="0" w:color="auto"/>
              <w:right w:val="single" w:sz="4" w:space="0" w:color="auto"/>
            </w:tcBorders>
            <w:shd w:val="clear" w:color="000000" w:fill="FFC000"/>
            <w:vAlign w:val="bottom"/>
            <w:hideMark/>
          </w:tcPr>
          <w:p w14:paraId="2C8881CD"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Indicator 3: Increase in Renewable Energy Capacity and Production</w:t>
            </w:r>
          </w:p>
        </w:tc>
        <w:tc>
          <w:tcPr>
            <w:tcW w:w="1064" w:type="pct"/>
            <w:gridSpan w:val="2"/>
            <w:tcBorders>
              <w:top w:val="single" w:sz="4" w:space="0" w:color="auto"/>
              <w:left w:val="nil"/>
              <w:bottom w:val="single" w:sz="4" w:space="0" w:color="auto"/>
              <w:right w:val="single" w:sz="4" w:space="0" w:color="auto"/>
            </w:tcBorders>
            <w:shd w:val="clear" w:color="000000" w:fill="FFC000"/>
            <w:vAlign w:val="bottom"/>
            <w:hideMark/>
          </w:tcPr>
          <w:p w14:paraId="0BE86ECA" w14:textId="77777777" w:rsidR="00EA158E" w:rsidRPr="004622EC" w:rsidRDefault="00EA158E" w:rsidP="00EA158E">
            <w:pPr>
              <w:jc w:val="cente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954" w:type="pct"/>
            <w:gridSpan w:val="3"/>
            <w:tcBorders>
              <w:top w:val="nil"/>
              <w:left w:val="nil"/>
              <w:bottom w:val="single" w:sz="4" w:space="0" w:color="auto"/>
              <w:right w:val="single" w:sz="8" w:space="0" w:color="auto"/>
            </w:tcBorders>
            <w:shd w:val="clear" w:color="000000" w:fill="FFC000"/>
            <w:vAlign w:val="bottom"/>
            <w:hideMark/>
          </w:tcPr>
          <w:p w14:paraId="6EEF02A3"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Disaggregate by type (Wind, Biomass, Geothermal, Hydro, solar, Photovoltaic, Marine power etc)</w:t>
            </w:r>
          </w:p>
        </w:tc>
      </w:tr>
      <w:tr w:rsidR="00EA158E" w:rsidRPr="00543AD0" w14:paraId="6D8E4661" w14:textId="77777777" w:rsidTr="007B0D81">
        <w:trPr>
          <w:trHeight w:val="255"/>
        </w:trPr>
        <w:tc>
          <w:tcPr>
            <w:tcW w:w="1982" w:type="pct"/>
            <w:tcBorders>
              <w:top w:val="nil"/>
              <w:left w:val="single" w:sz="8" w:space="0" w:color="auto"/>
              <w:bottom w:val="single" w:sz="4" w:space="0" w:color="auto"/>
              <w:right w:val="single" w:sz="4" w:space="0" w:color="auto"/>
            </w:tcBorders>
            <w:shd w:val="clear" w:color="auto" w:fill="auto"/>
            <w:noWrap/>
            <w:vAlign w:val="bottom"/>
            <w:hideMark/>
          </w:tcPr>
          <w:p w14:paraId="1087B6E5"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Increase in Installed RE capacity per technology (MW)</w:t>
            </w:r>
          </w:p>
        </w:tc>
        <w:tc>
          <w:tcPr>
            <w:tcW w:w="1064" w:type="pct"/>
            <w:gridSpan w:val="2"/>
            <w:tcBorders>
              <w:top w:val="single" w:sz="4" w:space="0" w:color="auto"/>
              <w:left w:val="nil"/>
              <w:bottom w:val="single" w:sz="4" w:space="0" w:color="auto"/>
              <w:right w:val="single" w:sz="4" w:space="0" w:color="auto"/>
            </w:tcBorders>
            <w:shd w:val="clear" w:color="000000" w:fill="FFCC99"/>
            <w:noWrap/>
            <w:vAlign w:val="bottom"/>
            <w:hideMark/>
          </w:tcPr>
          <w:p w14:paraId="41803B2B" w14:textId="77777777" w:rsidR="00EA158E" w:rsidRPr="004622EC" w:rsidRDefault="00EA158E" w:rsidP="00EA158E">
            <w:pPr>
              <w:jc w:val="cente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9.50</w:t>
            </w:r>
          </w:p>
        </w:tc>
        <w:tc>
          <w:tcPr>
            <w:tcW w:w="1954" w:type="pct"/>
            <w:gridSpan w:val="3"/>
            <w:tcBorders>
              <w:top w:val="nil"/>
              <w:left w:val="nil"/>
              <w:bottom w:val="single" w:sz="4" w:space="0" w:color="auto"/>
              <w:right w:val="single" w:sz="8" w:space="0" w:color="auto"/>
            </w:tcBorders>
            <w:shd w:val="clear" w:color="auto" w:fill="auto"/>
            <w:noWrap/>
            <w:vAlign w:val="bottom"/>
            <w:hideMark/>
          </w:tcPr>
          <w:p w14:paraId="6F6AC180"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Wind, PV and solar thermal</w:t>
            </w:r>
          </w:p>
        </w:tc>
      </w:tr>
      <w:tr w:rsidR="00EA158E" w:rsidRPr="00543AD0" w14:paraId="1A203758" w14:textId="77777777" w:rsidTr="007B0D81">
        <w:trPr>
          <w:trHeight w:val="255"/>
        </w:trPr>
        <w:tc>
          <w:tcPr>
            <w:tcW w:w="1982" w:type="pct"/>
            <w:tcBorders>
              <w:top w:val="nil"/>
              <w:left w:val="single" w:sz="8" w:space="0" w:color="auto"/>
              <w:bottom w:val="single" w:sz="4" w:space="0" w:color="auto"/>
              <w:right w:val="single" w:sz="4" w:space="0" w:color="auto"/>
            </w:tcBorders>
            <w:shd w:val="clear" w:color="auto" w:fill="auto"/>
            <w:vAlign w:val="bottom"/>
            <w:hideMark/>
          </w:tcPr>
          <w:p w14:paraId="062EF340"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064" w:type="pct"/>
            <w:gridSpan w:val="2"/>
            <w:tcBorders>
              <w:top w:val="single" w:sz="4" w:space="0" w:color="auto"/>
              <w:left w:val="nil"/>
              <w:bottom w:val="single" w:sz="4" w:space="0" w:color="auto"/>
              <w:right w:val="single" w:sz="4" w:space="0" w:color="auto"/>
            </w:tcBorders>
            <w:shd w:val="clear" w:color="000000" w:fill="FFCC99"/>
            <w:noWrap/>
            <w:vAlign w:val="bottom"/>
            <w:hideMark/>
          </w:tcPr>
          <w:p w14:paraId="5236830A" w14:textId="77777777" w:rsidR="00EA158E" w:rsidRPr="004622EC" w:rsidRDefault="00EA158E" w:rsidP="00EA158E">
            <w:pPr>
              <w:jc w:val="cente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1954" w:type="pct"/>
            <w:gridSpan w:val="3"/>
            <w:tcBorders>
              <w:top w:val="nil"/>
              <w:left w:val="nil"/>
              <w:bottom w:val="single" w:sz="4" w:space="0" w:color="auto"/>
              <w:right w:val="single" w:sz="8" w:space="0" w:color="auto"/>
            </w:tcBorders>
            <w:shd w:val="clear" w:color="auto" w:fill="auto"/>
            <w:noWrap/>
            <w:vAlign w:val="bottom"/>
            <w:hideMark/>
          </w:tcPr>
          <w:p w14:paraId="104DF798"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r w:rsidR="00EA158E" w:rsidRPr="00543AD0" w14:paraId="3B4D4523" w14:textId="77777777" w:rsidTr="007B0D81">
        <w:trPr>
          <w:trHeight w:val="255"/>
        </w:trPr>
        <w:tc>
          <w:tcPr>
            <w:tcW w:w="1982" w:type="pct"/>
            <w:tcBorders>
              <w:top w:val="nil"/>
              <w:left w:val="single" w:sz="8" w:space="0" w:color="auto"/>
              <w:bottom w:val="single" w:sz="4" w:space="0" w:color="auto"/>
              <w:right w:val="single" w:sz="4" w:space="0" w:color="auto"/>
            </w:tcBorders>
            <w:shd w:val="clear" w:color="auto" w:fill="auto"/>
            <w:vAlign w:val="bottom"/>
            <w:hideMark/>
          </w:tcPr>
          <w:p w14:paraId="60F7FC7D"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064" w:type="pct"/>
            <w:gridSpan w:val="2"/>
            <w:tcBorders>
              <w:top w:val="single" w:sz="4" w:space="0" w:color="auto"/>
              <w:left w:val="nil"/>
              <w:bottom w:val="single" w:sz="4" w:space="0" w:color="auto"/>
              <w:right w:val="single" w:sz="4" w:space="0" w:color="auto"/>
            </w:tcBorders>
            <w:shd w:val="clear" w:color="000000" w:fill="FFCC99"/>
            <w:noWrap/>
            <w:vAlign w:val="bottom"/>
            <w:hideMark/>
          </w:tcPr>
          <w:p w14:paraId="249E393A" w14:textId="77777777" w:rsidR="00EA158E" w:rsidRPr="004622EC" w:rsidRDefault="00EA158E" w:rsidP="00EA158E">
            <w:pPr>
              <w:jc w:val="cente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1954" w:type="pct"/>
            <w:gridSpan w:val="3"/>
            <w:tcBorders>
              <w:top w:val="nil"/>
              <w:left w:val="nil"/>
              <w:bottom w:val="single" w:sz="4" w:space="0" w:color="auto"/>
              <w:right w:val="single" w:sz="8" w:space="0" w:color="auto"/>
            </w:tcBorders>
            <w:shd w:val="clear" w:color="auto" w:fill="auto"/>
            <w:noWrap/>
            <w:vAlign w:val="bottom"/>
            <w:hideMark/>
          </w:tcPr>
          <w:p w14:paraId="65063C89"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r w:rsidR="00EA158E" w:rsidRPr="00543AD0" w14:paraId="5A7878EC" w14:textId="77777777" w:rsidTr="007B0D81">
        <w:trPr>
          <w:trHeight w:val="255"/>
        </w:trPr>
        <w:tc>
          <w:tcPr>
            <w:tcW w:w="1982" w:type="pct"/>
            <w:tcBorders>
              <w:top w:val="nil"/>
              <w:left w:val="single" w:sz="8" w:space="0" w:color="auto"/>
              <w:bottom w:val="single" w:sz="4" w:space="0" w:color="auto"/>
              <w:right w:val="single" w:sz="4" w:space="0" w:color="auto"/>
            </w:tcBorders>
            <w:shd w:val="clear" w:color="auto" w:fill="auto"/>
            <w:vAlign w:val="bottom"/>
            <w:hideMark/>
          </w:tcPr>
          <w:p w14:paraId="1E6222BD"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064" w:type="pct"/>
            <w:gridSpan w:val="2"/>
            <w:tcBorders>
              <w:top w:val="single" w:sz="4" w:space="0" w:color="auto"/>
              <w:left w:val="nil"/>
              <w:bottom w:val="single" w:sz="4" w:space="0" w:color="auto"/>
              <w:right w:val="single" w:sz="4" w:space="0" w:color="auto"/>
            </w:tcBorders>
            <w:shd w:val="clear" w:color="000000" w:fill="FFCC99"/>
            <w:noWrap/>
            <w:vAlign w:val="bottom"/>
            <w:hideMark/>
          </w:tcPr>
          <w:p w14:paraId="35DB6A07" w14:textId="77777777" w:rsidR="00EA158E" w:rsidRPr="004622EC" w:rsidRDefault="00EA158E" w:rsidP="00EA158E">
            <w:pPr>
              <w:jc w:val="cente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1954" w:type="pct"/>
            <w:gridSpan w:val="3"/>
            <w:tcBorders>
              <w:top w:val="nil"/>
              <w:left w:val="nil"/>
              <w:bottom w:val="single" w:sz="4" w:space="0" w:color="auto"/>
              <w:right w:val="single" w:sz="8" w:space="0" w:color="auto"/>
            </w:tcBorders>
            <w:shd w:val="clear" w:color="auto" w:fill="auto"/>
            <w:noWrap/>
            <w:vAlign w:val="bottom"/>
            <w:hideMark/>
          </w:tcPr>
          <w:p w14:paraId="3D7F5F51"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r w:rsidR="00EA158E" w:rsidRPr="00543AD0" w14:paraId="793DF00C" w14:textId="77777777" w:rsidTr="007B0D81">
        <w:trPr>
          <w:trHeight w:val="255"/>
        </w:trPr>
        <w:tc>
          <w:tcPr>
            <w:tcW w:w="1982" w:type="pct"/>
            <w:tcBorders>
              <w:top w:val="nil"/>
              <w:left w:val="single" w:sz="8" w:space="0" w:color="auto"/>
              <w:bottom w:val="single" w:sz="4" w:space="0" w:color="auto"/>
              <w:right w:val="single" w:sz="4" w:space="0" w:color="auto"/>
            </w:tcBorders>
            <w:shd w:val="clear" w:color="000000" w:fill="FFFFFF"/>
            <w:noWrap/>
            <w:vAlign w:val="center"/>
            <w:hideMark/>
          </w:tcPr>
          <w:p w14:paraId="5AC3CF0C" w14:textId="77777777" w:rsidR="00EA158E" w:rsidRPr="004622EC" w:rsidRDefault="00EA158E" w:rsidP="00EA158E">
            <w:pPr>
              <w:rPr>
                <w:rFonts w:eastAsia="Times New Roman" w:cs="Microsoft Sans Serif"/>
                <w:b/>
                <w:bCs/>
                <w:sz w:val="20"/>
                <w:szCs w:val="20"/>
                <w:lang w:val="en-GB" w:eastAsia="en-GB"/>
              </w:rPr>
            </w:pPr>
            <w:r w:rsidRPr="004622EC">
              <w:rPr>
                <w:rFonts w:eastAsia="Times New Roman" w:cs="Microsoft Sans Serif"/>
                <w:b/>
                <w:bCs/>
                <w:sz w:val="20"/>
                <w:szCs w:val="20"/>
                <w:lang w:val="en-GB" w:eastAsia="en-GB"/>
              </w:rPr>
              <w:t xml:space="preserve">Lifetime RE production per technology (MWh) </w:t>
            </w:r>
          </w:p>
        </w:tc>
        <w:tc>
          <w:tcPr>
            <w:tcW w:w="1064" w:type="pct"/>
            <w:gridSpan w:val="2"/>
            <w:tcBorders>
              <w:top w:val="single" w:sz="4" w:space="0" w:color="auto"/>
              <w:left w:val="nil"/>
              <w:bottom w:val="single" w:sz="4" w:space="0" w:color="auto"/>
              <w:right w:val="single" w:sz="4" w:space="0" w:color="auto"/>
            </w:tcBorders>
            <w:shd w:val="clear" w:color="000000" w:fill="FFCC99"/>
            <w:noWrap/>
            <w:vAlign w:val="bottom"/>
            <w:hideMark/>
          </w:tcPr>
          <w:p w14:paraId="24EAECFB" w14:textId="77777777" w:rsidR="00EA158E" w:rsidRPr="004622EC" w:rsidRDefault="00EA158E" w:rsidP="00EA158E">
            <w:pPr>
              <w:jc w:val="cente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xml:space="preserve">500,000.00 </w:t>
            </w:r>
          </w:p>
        </w:tc>
        <w:tc>
          <w:tcPr>
            <w:tcW w:w="1954" w:type="pct"/>
            <w:gridSpan w:val="3"/>
            <w:tcBorders>
              <w:top w:val="nil"/>
              <w:left w:val="nil"/>
              <w:bottom w:val="single" w:sz="4" w:space="0" w:color="auto"/>
              <w:right w:val="single" w:sz="8" w:space="0" w:color="auto"/>
            </w:tcBorders>
            <w:shd w:val="clear" w:color="000000" w:fill="FFFFFF"/>
            <w:noWrap/>
            <w:hideMark/>
          </w:tcPr>
          <w:p w14:paraId="6392290E" w14:textId="77777777" w:rsidR="00EA158E" w:rsidRPr="004622EC" w:rsidRDefault="00EA158E" w:rsidP="00EA158E">
            <w:pPr>
              <w:rPr>
                <w:rFonts w:eastAsia="Times New Roman" w:cs="Microsoft Sans Serif"/>
                <w:sz w:val="20"/>
                <w:szCs w:val="20"/>
                <w:lang w:val="en-GB" w:eastAsia="en-GB"/>
              </w:rPr>
            </w:pPr>
            <w:r w:rsidRPr="004622EC">
              <w:rPr>
                <w:rFonts w:eastAsia="Times New Roman" w:cs="Microsoft Sans Serif"/>
                <w:sz w:val="20"/>
                <w:szCs w:val="20"/>
                <w:lang w:val="en-GB" w:eastAsia="en-GB"/>
              </w:rPr>
              <w:t xml:space="preserve"> (IEA unit converter: http://www.iea.org/stats/unit.asp)</w:t>
            </w:r>
          </w:p>
        </w:tc>
      </w:tr>
      <w:tr w:rsidR="00EA158E" w:rsidRPr="00543AD0" w14:paraId="0020D702" w14:textId="77777777" w:rsidTr="007B0D81">
        <w:trPr>
          <w:trHeight w:val="255"/>
        </w:trPr>
        <w:tc>
          <w:tcPr>
            <w:tcW w:w="1982" w:type="pct"/>
            <w:tcBorders>
              <w:top w:val="nil"/>
              <w:left w:val="single" w:sz="8" w:space="0" w:color="auto"/>
              <w:bottom w:val="single" w:sz="4" w:space="0" w:color="auto"/>
              <w:right w:val="single" w:sz="4" w:space="0" w:color="auto"/>
            </w:tcBorders>
            <w:shd w:val="clear" w:color="000000" w:fill="FFFFFF"/>
            <w:vAlign w:val="center"/>
            <w:hideMark/>
          </w:tcPr>
          <w:p w14:paraId="582F0720"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064" w:type="pct"/>
            <w:gridSpan w:val="2"/>
            <w:tcBorders>
              <w:top w:val="single" w:sz="4" w:space="0" w:color="auto"/>
              <w:left w:val="nil"/>
              <w:bottom w:val="single" w:sz="4" w:space="0" w:color="auto"/>
              <w:right w:val="single" w:sz="4" w:space="0" w:color="auto"/>
            </w:tcBorders>
            <w:shd w:val="clear" w:color="000000" w:fill="FFCC99"/>
            <w:noWrap/>
            <w:vAlign w:val="bottom"/>
            <w:hideMark/>
          </w:tcPr>
          <w:p w14:paraId="1F313FC0" w14:textId="77777777" w:rsidR="00EA158E" w:rsidRPr="004622EC" w:rsidRDefault="00EA158E" w:rsidP="00EA158E">
            <w:pPr>
              <w:jc w:val="cente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1954" w:type="pct"/>
            <w:gridSpan w:val="3"/>
            <w:tcBorders>
              <w:top w:val="nil"/>
              <w:left w:val="nil"/>
              <w:bottom w:val="single" w:sz="4" w:space="0" w:color="auto"/>
              <w:right w:val="single" w:sz="8" w:space="0" w:color="auto"/>
            </w:tcBorders>
            <w:shd w:val="clear" w:color="000000" w:fill="FFFFFF"/>
            <w:noWrap/>
            <w:hideMark/>
          </w:tcPr>
          <w:p w14:paraId="3F677C85" w14:textId="77777777" w:rsidR="00EA158E" w:rsidRPr="004622EC" w:rsidRDefault="00EA158E" w:rsidP="00EA158E">
            <w:pPr>
              <w:rPr>
                <w:rFonts w:eastAsia="Times New Roman" w:cs="Microsoft Sans Serif"/>
                <w:sz w:val="20"/>
                <w:szCs w:val="20"/>
                <w:lang w:val="en-GB" w:eastAsia="en-GB"/>
              </w:rPr>
            </w:pPr>
            <w:r w:rsidRPr="004622EC">
              <w:rPr>
                <w:rFonts w:eastAsia="Times New Roman" w:cs="Microsoft Sans Serif"/>
                <w:sz w:val="20"/>
                <w:szCs w:val="20"/>
                <w:lang w:val="en-GB" w:eastAsia="en-GB"/>
              </w:rPr>
              <w:t> </w:t>
            </w:r>
          </w:p>
        </w:tc>
      </w:tr>
      <w:tr w:rsidR="00EA158E" w:rsidRPr="00543AD0" w14:paraId="47851E92" w14:textId="77777777" w:rsidTr="007B0D81">
        <w:trPr>
          <w:trHeight w:val="255"/>
        </w:trPr>
        <w:tc>
          <w:tcPr>
            <w:tcW w:w="1982" w:type="pct"/>
            <w:tcBorders>
              <w:top w:val="nil"/>
              <w:left w:val="single" w:sz="8" w:space="0" w:color="auto"/>
              <w:bottom w:val="single" w:sz="4" w:space="0" w:color="auto"/>
              <w:right w:val="single" w:sz="4" w:space="0" w:color="auto"/>
            </w:tcBorders>
            <w:shd w:val="clear" w:color="000000" w:fill="FFFFFF"/>
            <w:vAlign w:val="center"/>
            <w:hideMark/>
          </w:tcPr>
          <w:p w14:paraId="06E50F4B"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064" w:type="pct"/>
            <w:gridSpan w:val="2"/>
            <w:tcBorders>
              <w:top w:val="single" w:sz="4" w:space="0" w:color="auto"/>
              <w:left w:val="nil"/>
              <w:bottom w:val="single" w:sz="4" w:space="0" w:color="auto"/>
              <w:right w:val="single" w:sz="4" w:space="0" w:color="auto"/>
            </w:tcBorders>
            <w:shd w:val="clear" w:color="000000" w:fill="FFCC99"/>
            <w:noWrap/>
            <w:vAlign w:val="bottom"/>
            <w:hideMark/>
          </w:tcPr>
          <w:p w14:paraId="1C886021" w14:textId="77777777" w:rsidR="00EA158E" w:rsidRPr="004622EC" w:rsidRDefault="00EA158E" w:rsidP="00EA158E">
            <w:pPr>
              <w:jc w:val="cente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1954" w:type="pct"/>
            <w:gridSpan w:val="3"/>
            <w:tcBorders>
              <w:top w:val="nil"/>
              <w:left w:val="nil"/>
              <w:bottom w:val="single" w:sz="4" w:space="0" w:color="auto"/>
              <w:right w:val="single" w:sz="8" w:space="0" w:color="auto"/>
            </w:tcBorders>
            <w:shd w:val="clear" w:color="000000" w:fill="FFFFFF"/>
            <w:noWrap/>
            <w:hideMark/>
          </w:tcPr>
          <w:p w14:paraId="36DC9677" w14:textId="77777777" w:rsidR="00EA158E" w:rsidRPr="004622EC" w:rsidRDefault="00EA158E" w:rsidP="00EA158E">
            <w:pPr>
              <w:rPr>
                <w:rFonts w:eastAsia="Times New Roman" w:cs="Microsoft Sans Serif"/>
                <w:sz w:val="20"/>
                <w:szCs w:val="20"/>
                <w:lang w:val="en-GB" w:eastAsia="en-GB"/>
              </w:rPr>
            </w:pPr>
            <w:r w:rsidRPr="004622EC">
              <w:rPr>
                <w:rFonts w:eastAsia="Times New Roman" w:cs="Microsoft Sans Serif"/>
                <w:sz w:val="20"/>
                <w:szCs w:val="20"/>
                <w:lang w:val="en-GB" w:eastAsia="en-GB"/>
              </w:rPr>
              <w:t> </w:t>
            </w:r>
          </w:p>
        </w:tc>
      </w:tr>
      <w:tr w:rsidR="00EA158E" w:rsidRPr="00543AD0" w14:paraId="30376664" w14:textId="77777777" w:rsidTr="007B0D81">
        <w:trPr>
          <w:trHeight w:val="255"/>
        </w:trPr>
        <w:tc>
          <w:tcPr>
            <w:tcW w:w="1982" w:type="pct"/>
            <w:tcBorders>
              <w:top w:val="nil"/>
              <w:left w:val="single" w:sz="8" w:space="0" w:color="auto"/>
              <w:bottom w:val="single" w:sz="4" w:space="0" w:color="auto"/>
              <w:right w:val="single" w:sz="4" w:space="0" w:color="auto"/>
            </w:tcBorders>
            <w:shd w:val="clear" w:color="auto" w:fill="auto"/>
            <w:vAlign w:val="bottom"/>
            <w:hideMark/>
          </w:tcPr>
          <w:p w14:paraId="58F2A632"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064" w:type="pct"/>
            <w:gridSpan w:val="2"/>
            <w:tcBorders>
              <w:top w:val="single" w:sz="4" w:space="0" w:color="auto"/>
              <w:left w:val="nil"/>
              <w:bottom w:val="single" w:sz="4" w:space="0" w:color="auto"/>
              <w:right w:val="single" w:sz="4" w:space="0" w:color="auto"/>
            </w:tcBorders>
            <w:shd w:val="clear" w:color="000000" w:fill="FFFFFF"/>
            <w:noWrap/>
            <w:vAlign w:val="bottom"/>
            <w:hideMark/>
          </w:tcPr>
          <w:p w14:paraId="6FDEC03A" w14:textId="77777777" w:rsidR="00EA158E" w:rsidRPr="004622EC" w:rsidRDefault="00EA158E" w:rsidP="00EA158E">
            <w:pPr>
              <w:jc w:val="cente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1954" w:type="pct"/>
            <w:gridSpan w:val="3"/>
            <w:tcBorders>
              <w:top w:val="nil"/>
              <w:left w:val="nil"/>
              <w:bottom w:val="single" w:sz="4" w:space="0" w:color="auto"/>
              <w:right w:val="single" w:sz="8" w:space="0" w:color="auto"/>
            </w:tcBorders>
            <w:shd w:val="clear" w:color="auto" w:fill="auto"/>
            <w:noWrap/>
            <w:vAlign w:val="bottom"/>
            <w:hideMark/>
          </w:tcPr>
          <w:p w14:paraId="4F8158C5"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r w:rsidR="00EA158E" w:rsidRPr="00543AD0" w14:paraId="5055C467" w14:textId="77777777" w:rsidTr="007B0D81">
        <w:trPr>
          <w:trHeight w:val="510"/>
        </w:trPr>
        <w:tc>
          <w:tcPr>
            <w:tcW w:w="1982" w:type="pct"/>
            <w:tcBorders>
              <w:top w:val="nil"/>
              <w:left w:val="single" w:sz="8" w:space="0" w:color="auto"/>
              <w:bottom w:val="single" w:sz="4" w:space="0" w:color="auto"/>
              <w:right w:val="single" w:sz="4" w:space="0" w:color="auto"/>
            </w:tcBorders>
            <w:shd w:val="clear" w:color="000000" w:fill="FFC000"/>
            <w:noWrap/>
            <w:vAlign w:val="bottom"/>
            <w:hideMark/>
          </w:tcPr>
          <w:p w14:paraId="585FE896"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Indicator 4: Number of Users of low GHG systems (Number, of which female)</w:t>
            </w:r>
          </w:p>
        </w:tc>
        <w:tc>
          <w:tcPr>
            <w:tcW w:w="1064" w:type="pct"/>
            <w:gridSpan w:val="2"/>
            <w:tcBorders>
              <w:top w:val="single" w:sz="4" w:space="0" w:color="auto"/>
              <w:left w:val="nil"/>
              <w:bottom w:val="single" w:sz="4" w:space="0" w:color="auto"/>
              <w:right w:val="single" w:sz="4" w:space="0" w:color="auto"/>
            </w:tcBorders>
            <w:shd w:val="clear" w:color="000000" w:fill="FFC000"/>
            <w:vAlign w:val="bottom"/>
            <w:hideMark/>
          </w:tcPr>
          <w:p w14:paraId="726AAFA9" w14:textId="77777777" w:rsidR="00EA158E" w:rsidRPr="004622EC" w:rsidRDefault="00EA158E" w:rsidP="00EA158E">
            <w:pPr>
              <w:jc w:val="cente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954" w:type="pct"/>
            <w:gridSpan w:val="3"/>
            <w:tcBorders>
              <w:top w:val="nil"/>
              <w:left w:val="nil"/>
              <w:bottom w:val="single" w:sz="4" w:space="0" w:color="auto"/>
              <w:right w:val="single" w:sz="8" w:space="0" w:color="auto"/>
            </w:tcBorders>
            <w:shd w:val="clear" w:color="000000" w:fill="FFC000"/>
            <w:vAlign w:val="bottom"/>
            <w:hideMark/>
          </w:tcPr>
          <w:p w14:paraId="01E1D930"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Identify Sector, describe the low GHG system and technologies and explain methodology for estimation</w:t>
            </w:r>
          </w:p>
        </w:tc>
      </w:tr>
      <w:tr w:rsidR="00EA158E" w:rsidRPr="00543AD0" w14:paraId="34C500D5" w14:textId="77777777" w:rsidTr="007B0D81">
        <w:trPr>
          <w:trHeight w:val="255"/>
        </w:trPr>
        <w:tc>
          <w:tcPr>
            <w:tcW w:w="1982" w:type="pct"/>
            <w:tcBorders>
              <w:top w:val="nil"/>
              <w:left w:val="single" w:sz="8" w:space="0" w:color="auto"/>
              <w:bottom w:val="single" w:sz="4" w:space="0" w:color="auto"/>
              <w:right w:val="single" w:sz="4" w:space="0" w:color="auto"/>
            </w:tcBorders>
            <w:shd w:val="clear" w:color="auto" w:fill="auto"/>
            <w:vAlign w:val="center"/>
            <w:hideMark/>
          </w:tcPr>
          <w:p w14:paraId="055C8595"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064" w:type="pct"/>
            <w:gridSpan w:val="2"/>
            <w:tcBorders>
              <w:top w:val="single" w:sz="4" w:space="0" w:color="auto"/>
              <w:left w:val="nil"/>
              <w:bottom w:val="single" w:sz="4" w:space="0" w:color="auto"/>
              <w:right w:val="single" w:sz="4" w:space="0" w:color="auto"/>
            </w:tcBorders>
            <w:shd w:val="clear" w:color="auto" w:fill="auto"/>
            <w:vAlign w:val="bottom"/>
            <w:hideMark/>
          </w:tcPr>
          <w:p w14:paraId="497D474C" w14:textId="77777777" w:rsidR="00EA158E" w:rsidRPr="004622EC" w:rsidRDefault="00EA158E" w:rsidP="00EA158E">
            <w:pPr>
              <w:jc w:val="cente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954" w:type="pct"/>
            <w:gridSpan w:val="3"/>
            <w:tcBorders>
              <w:top w:val="nil"/>
              <w:left w:val="nil"/>
              <w:bottom w:val="single" w:sz="4" w:space="0" w:color="auto"/>
              <w:right w:val="single" w:sz="8" w:space="0" w:color="auto"/>
            </w:tcBorders>
            <w:shd w:val="clear" w:color="auto" w:fill="auto"/>
            <w:noWrap/>
            <w:vAlign w:val="bottom"/>
            <w:hideMark/>
          </w:tcPr>
          <w:p w14:paraId="662501DA"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r w:rsidR="00EA158E" w:rsidRPr="00543AD0" w14:paraId="2DDC3BC7" w14:textId="77777777" w:rsidTr="007B0D81">
        <w:trPr>
          <w:trHeight w:val="765"/>
        </w:trPr>
        <w:tc>
          <w:tcPr>
            <w:tcW w:w="1982" w:type="pct"/>
            <w:tcBorders>
              <w:top w:val="nil"/>
              <w:left w:val="single" w:sz="8" w:space="0" w:color="auto"/>
              <w:bottom w:val="single" w:sz="4" w:space="0" w:color="auto"/>
              <w:right w:val="single" w:sz="4" w:space="0" w:color="auto"/>
            </w:tcBorders>
            <w:shd w:val="clear" w:color="000000" w:fill="FFC000"/>
            <w:vAlign w:val="bottom"/>
            <w:hideMark/>
          </w:tcPr>
          <w:p w14:paraId="04BDAFCB"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Indicator 5: Number of Hectares under Low GHG Management Practices (Ha.)</w:t>
            </w:r>
          </w:p>
        </w:tc>
        <w:tc>
          <w:tcPr>
            <w:tcW w:w="1064" w:type="pct"/>
            <w:gridSpan w:val="2"/>
            <w:tcBorders>
              <w:top w:val="single" w:sz="4" w:space="0" w:color="auto"/>
              <w:left w:val="nil"/>
              <w:bottom w:val="single" w:sz="4" w:space="0" w:color="auto"/>
              <w:right w:val="single" w:sz="4" w:space="0" w:color="auto"/>
            </w:tcBorders>
            <w:shd w:val="clear" w:color="000000" w:fill="FFC000"/>
            <w:vAlign w:val="bottom"/>
            <w:hideMark/>
          </w:tcPr>
          <w:p w14:paraId="7C0DAC00" w14:textId="77777777" w:rsidR="00EA158E" w:rsidRPr="004622EC" w:rsidRDefault="00EA158E" w:rsidP="00EA158E">
            <w:pPr>
              <w:jc w:val="cente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954" w:type="pct"/>
            <w:gridSpan w:val="3"/>
            <w:tcBorders>
              <w:top w:val="nil"/>
              <w:left w:val="nil"/>
              <w:bottom w:val="single" w:sz="4" w:space="0" w:color="auto"/>
              <w:right w:val="single" w:sz="8" w:space="0" w:color="auto"/>
            </w:tcBorders>
            <w:shd w:val="clear" w:color="000000" w:fill="FFC000"/>
            <w:vAlign w:val="bottom"/>
            <w:hideMark/>
          </w:tcPr>
          <w:p w14:paraId="338C711D"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Identify source (conservation, avoided deforestation, afforestation/reforestation), type of low GHG Management Practice and describe methodology used for estimation</w:t>
            </w:r>
          </w:p>
        </w:tc>
      </w:tr>
      <w:tr w:rsidR="00EA158E" w:rsidRPr="00543AD0" w14:paraId="0C7E2A4F" w14:textId="77777777" w:rsidTr="007B0D81">
        <w:trPr>
          <w:trHeight w:val="255"/>
        </w:trPr>
        <w:tc>
          <w:tcPr>
            <w:tcW w:w="1982" w:type="pct"/>
            <w:tcBorders>
              <w:top w:val="nil"/>
              <w:left w:val="single" w:sz="8" w:space="0" w:color="auto"/>
              <w:bottom w:val="single" w:sz="4" w:space="0" w:color="auto"/>
              <w:right w:val="single" w:sz="4" w:space="0" w:color="auto"/>
            </w:tcBorders>
            <w:shd w:val="clear" w:color="auto" w:fill="auto"/>
            <w:vAlign w:val="bottom"/>
            <w:hideMark/>
          </w:tcPr>
          <w:p w14:paraId="74EE1DC0"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064" w:type="pct"/>
            <w:gridSpan w:val="2"/>
            <w:tcBorders>
              <w:top w:val="single" w:sz="4" w:space="0" w:color="auto"/>
              <w:left w:val="nil"/>
              <w:bottom w:val="single" w:sz="4" w:space="0" w:color="auto"/>
              <w:right w:val="single" w:sz="4" w:space="0" w:color="auto"/>
            </w:tcBorders>
            <w:shd w:val="clear" w:color="000000" w:fill="FFCC99"/>
            <w:noWrap/>
            <w:vAlign w:val="bottom"/>
            <w:hideMark/>
          </w:tcPr>
          <w:p w14:paraId="6DF8547F" w14:textId="77777777" w:rsidR="00EA158E" w:rsidRPr="004622EC" w:rsidRDefault="00EA158E" w:rsidP="00EA158E">
            <w:pPr>
              <w:jc w:val="cente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1954" w:type="pct"/>
            <w:gridSpan w:val="3"/>
            <w:tcBorders>
              <w:top w:val="nil"/>
              <w:left w:val="nil"/>
              <w:bottom w:val="single" w:sz="4" w:space="0" w:color="auto"/>
              <w:right w:val="single" w:sz="8" w:space="0" w:color="auto"/>
            </w:tcBorders>
            <w:shd w:val="clear" w:color="auto" w:fill="auto"/>
            <w:vAlign w:val="bottom"/>
            <w:hideMark/>
          </w:tcPr>
          <w:p w14:paraId="6ACE6ED1"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r w:rsidR="00EA158E" w:rsidRPr="00543AD0" w14:paraId="044FF3FC" w14:textId="77777777" w:rsidTr="007B0D81">
        <w:trPr>
          <w:trHeight w:val="285"/>
        </w:trPr>
        <w:tc>
          <w:tcPr>
            <w:tcW w:w="1982" w:type="pct"/>
            <w:tcBorders>
              <w:top w:val="nil"/>
              <w:left w:val="single" w:sz="8" w:space="0" w:color="auto"/>
              <w:bottom w:val="single" w:sz="4" w:space="0" w:color="auto"/>
              <w:right w:val="single" w:sz="4" w:space="0" w:color="auto"/>
            </w:tcBorders>
            <w:shd w:val="clear" w:color="auto" w:fill="auto"/>
            <w:vAlign w:val="center"/>
            <w:hideMark/>
          </w:tcPr>
          <w:p w14:paraId="5F29DF35"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064" w:type="pct"/>
            <w:gridSpan w:val="2"/>
            <w:tcBorders>
              <w:top w:val="single" w:sz="4" w:space="0" w:color="auto"/>
              <w:left w:val="nil"/>
              <w:bottom w:val="single" w:sz="4" w:space="0" w:color="auto"/>
              <w:right w:val="single" w:sz="4" w:space="0" w:color="auto"/>
            </w:tcBorders>
            <w:shd w:val="clear" w:color="auto" w:fill="auto"/>
            <w:vAlign w:val="bottom"/>
            <w:hideMark/>
          </w:tcPr>
          <w:p w14:paraId="6464CB2B" w14:textId="77777777" w:rsidR="00EA158E" w:rsidRPr="004622EC" w:rsidRDefault="00EA158E" w:rsidP="00EA158E">
            <w:pPr>
              <w:jc w:val="cente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954" w:type="pct"/>
            <w:gridSpan w:val="3"/>
            <w:tcBorders>
              <w:top w:val="nil"/>
              <w:left w:val="nil"/>
              <w:bottom w:val="single" w:sz="4" w:space="0" w:color="auto"/>
              <w:right w:val="single" w:sz="8" w:space="0" w:color="auto"/>
            </w:tcBorders>
            <w:shd w:val="clear" w:color="auto" w:fill="auto"/>
            <w:noWrap/>
            <w:vAlign w:val="bottom"/>
            <w:hideMark/>
          </w:tcPr>
          <w:p w14:paraId="09D32570"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r w:rsidR="00EA158E" w:rsidRPr="00543AD0" w14:paraId="536D6291" w14:textId="77777777" w:rsidTr="007B0D81">
        <w:trPr>
          <w:trHeight w:val="1110"/>
        </w:trPr>
        <w:tc>
          <w:tcPr>
            <w:tcW w:w="1982" w:type="pct"/>
            <w:tcBorders>
              <w:top w:val="nil"/>
              <w:left w:val="single" w:sz="8" w:space="0" w:color="auto"/>
              <w:bottom w:val="single" w:sz="4" w:space="0" w:color="auto"/>
              <w:right w:val="single" w:sz="4" w:space="0" w:color="auto"/>
            </w:tcBorders>
            <w:shd w:val="clear" w:color="000000" w:fill="FFC000"/>
            <w:vAlign w:val="bottom"/>
            <w:hideMark/>
          </w:tcPr>
          <w:p w14:paraId="0A4FCA2A"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Indicator 6: Time Saved in adoption of low GHG technology (Percentage)</w:t>
            </w:r>
          </w:p>
        </w:tc>
        <w:tc>
          <w:tcPr>
            <w:tcW w:w="1064" w:type="pct"/>
            <w:gridSpan w:val="2"/>
            <w:tcBorders>
              <w:top w:val="single" w:sz="4" w:space="0" w:color="auto"/>
              <w:left w:val="nil"/>
              <w:bottom w:val="single" w:sz="4" w:space="0" w:color="auto"/>
              <w:right w:val="single" w:sz="4" w:space="0" w:color="auto"/>
            </w:tcBorders>
            <w:shd w:val="clear" w:color="000000" w:fill="FFC000"/>
            <w:vAlign w:val="bottom"/>
            <w:hideMark/>
          </w:tcPr>
          <w:p w14:paraId="320B68E7" w14:textId="77777777" w:rsidR="00EA158E" w:rsidRPr="004622EC" w:rsidRDefault="00EA158E" w:rsidP="00EA158E">
            <w:pPr>
              <w:jc w:val="cente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954" w:type="pct"/>
            <w:gridSpan w:val="3"/>
            <w:tcBorders>
              <w:top w:val="nil"/>
              <w:left w:val="nil"/>
              <w:bottom w:val="single" w:sz="4" w:space="0" w:color="auto"/>
              <w:right w:val="single" w:sz="8" w:space="0" w:color="auto"/>
            </w:tcBorders>
            <w:shd w:val="clear" w:color="000000" w:fill="FFC000"/>
            <w:vAlign w:val="bottom"/>
            <w:hideMark/>
          </w:tcPr>
          <w:p w14:paraId="7AC42FDE"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 xml:space="preserve">For technologies and practices to be supported under the project (i) estimate  baseline time to deployment (without project support), (ii) estimate expected time to deployment with project </w:t>
            </w:r>
            <w:r w:rsidR="00C953AA" w:rsidRPr="002B343A">
              <w:rPr>
                <w:rFonts w:eastAsia="Times New Roman" w:cs="Microsoft Sans Serif"/>
                <w:b/>
                <w:bCs/>
                <w:color w:val="000000"/>
                <w:sz w:val="20"/>
                <w:szCs w:val="20"/>
                <w:lang w:val="en-GB" w:eastAsia="en-GB"/>
              </w:rPr>
              <w:t>support</w:t>
            </w:r>
            <w:r w:rsidRPr="004622EC">
              <w:rPr>
                <w:rFonts w:eastAsia="Times New Roman" w:cs="Microsoft Sans Serif"/>
                <w:b/>
                <w:bCs/>
                <w:color w:val="000000"/>
                <w:sz w:val="20"/>
                <w:szCs w:val="20"/>
                <w:lang w:val="en-GB" w:eastAsia="en-GB"/>
              </w:rPr>
              <w:t xml:space="preserve"> and (iii) calculate % of time saved.</w:t>
            </w:r>
          </w:p>
        </w:tc>
      </w:tr>
      <w:tr w:rsidR="00EA158E" w:rsidRPr="00543AD0" w14:paraId="4DA2ABEC" w14:textId="77777777" w:rsidTr="007B0D81">
        <w:trPr>
          <w:trHeight w:val="255"/>
        </w:trPr>
        <w:tc>
          <w:tcPr>
            <w:tcW w:w="1982" w:type="pct"/>
            <w:tcBorders>
              <w:top w:val="nil"/>
              <w:left w:val="single" w:sz="8" w:space="0" w:color="auto"/>
              <w:bottom w:val="single" w:sz="4" w:space="0" w:color="auto"/>
              <w:right w:val="single" w:sz="4" w:space="0" w:color="auto"/>
            </w:tcBorders>
            <w:shd w:val="clear" w:color="000000" w:fill="FFFFFF"/>
            <w:vAlign w:val="bottom"/>
            <w:hideMark/>
          </w:tcPr>
          <w:p w14:paraId="266B2586"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 </w:t>
            </w:r>
          </w:p>
        </w:tc>
        <w:tc>
          <w:tcPr>
            <w:tcW w:w="1064" w:type="pct"/>
            <w:gridSpan w:val="2"/>
            <w:tcBorders>
              <w:top w:val="single" w:sz="4" w:space="0" w:color="auto"/>
              <w:left w:val="nil"/>
              <w:bottom w:val="single" w:sz="4" w:space="0" w:color="auto"/>
              <w:right w:val="single" w:sz="4" w:space="0" w:color="auto"/>
            </w:tcBorders>
            <w:shd w:val="clear" w:color="000000" w:fill="FFFFFF"/>
            <w:vAlign w:val="bottom"/>
            <w:hideMark/>
          </w:tcPr>
          <w:p w14:paraId="778B5F24" w14:textId="77777777" w:rsidR="00EA158E" w:rsidRPr="004622EC" w:rsidRDefault="00EA158E" w:rsidP="00EA158E">
            <w:pPr>
              <w:jc w:val="cente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954" w:type="pct"/>
            <w:gridSpan w:val="3"/>
            <w:tcBorders>
              <w:top w:val="nil"/>
              <w:left w:val="nil"/>
              <w:bottom w:val="single" w:sz="4" w:space="0" w:color="auto"/>
              <w:right w:val="single" w:sz="8" w:space="0" w:color="auto"/>
            </w:tcBorders>
            <w:shd w:val="clear" w:color="000000" w:fill="FFFFFF"/>
            <w:vAlign w:val="bottom"/>
            <w:hideMark/>
          </w:tcPr>
          <w:p w14:paraId="38CDE3A3"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 </w:t>
            </w:r>
          </w:p>
        </w:tc>
      </w:tr>
      <w:tr w:rsidR="00EA158E" w:rsidRPr="00543AD0" w14:paraId="516062B3" w14:textId="77777777" w:rsidTr="007B0D81">
        <w:trPr>
          <w:trHeight w:val="510"/>
        </w:trPr>
        <w:tc>
          <w:tcPr>
            <w:tcW w:w="1982" w:type="pct"/>
            <w:tcBorders>
              <w:top w:val="nil"/>
              <w:left w:val="single" w:sz="8" w:space="0" w:color="auto"/>
              <w:bottom w:val="single" w:sz="4" w:space="0" w:color="auto"/>
              <w:right w:val="single" w:sz="4" w:space="0" w:color="auto"/>
            </w:tcBorders>
            <w:shd w:val="clear" w:color="000000" w:fill="FFC000"/>
            <w:vAlign w:val="bottom"/>
            <w:hideMark/>
          </w:tcPr>
          <w:p w14:paraId="74AA500D"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Indicator 7: Volume of investment mobilized and leveraged by GEF for low GHG development (co-financing and additional financing) of which</w:t>
            </w:r>
          </w:p>
        </w:tc>
        <w:tc>
          <w:tcPr>
            <w:tcW w:w="1064" w:type="pct"/>
            <w:gridSpan w:val="2"/>
            <w:tcBorders>
              <w:top w:val="single" w:sz="4" w:space="0" w:color="auto"/>
              <w:left w:val="nil"/>
              <w:bottom w:val="single" w:sz="4" w:space="0" w:color="auto"/>
              <w:right w:val="single" w:sz="4" w:space="0" w:color="auto"/>
            </w:tcBorders>
            <w:shd w:val="clear" w:color="000000" w:fill="FFC000"/>
            <w:noWrap/>
            <w:vAlign w:val="bottom"/>
            <w:hideMark/>
          </w:tcPr>
          <w:p w14:paraId="44CE0253" w14:textId="77777777" w:rsidR="00EA158E" w:rsidRPr="004622EC" w:rsidRDefault="00EA158E" w:rsidP="00EA158E">
            <w:pPr>
              <w:jc w:val="cente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954" w:type="pct"/>
            <w:gridSpan w:val="3"/>
            <w:tcBorders>
              <w:top w:val="nil"/>
              <w:left w:val="nil"/>
              <w:bottom w:val="single" w:sz="4" w:space="0" w:color="auto"/>
              <w:right w:val="single" w:sz="8" w:space="0" w:color="auto"/>
            </w:tcBorders>
            <w:shd w:val="clear" w:color="000000" w:fill="FFC000"/>
            <w:vAlign w:val="bottom"/>
            <w:hideMark/>
          </w:tcPr>
          <w:p w14:paraId="2E3C10E1"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Expected additional resources implies resources beyond co-financing committed at CEO endorsement.</w:t>
            </w:r>
          </w:p>
        </w:tc>
      </w:tr>
      <w:tr w:rsidR="00EA158E" w:rsidRPr="00543AD0" w14:paraId="17332310" w14:textId="77777777" w:rsidTr="007B0D81">
        <w:trPr>
          <w:trHeight w:val="255"/>
        </w:trPr>
        <w:tc>
          <w:tcPr>
            <w:tcW w:w="1982" w:type="pct"/>
            <w:tcBorders>
              <w:top w:val="nil"/>
              <w:left w:val="single" w:sz="8" w:space="0" w:color="auto"/>
              <w:bottom w:val="single" w:sz="4" w:space="0" w:color="auto"/>
              <w:right w:val="single" w:sz="4" w:space="0" w:color="auto"/>
            </w:tcBorders>
            <w:shd w:val="clear" w:color="000000" w:fill="FFFFFF"/>
            <w:vAlign w:val="bottom"/>
            <w:hideMark/>
          </w:tcPr>
          <w:p w14:paraId="79B75A7F"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xml:space="preserve"> Public</w:t>
            </w:r>
          </w:p>
        </w:tc>
        <w:tc>
          <w:tcPr>
            <w:tcW w:w="1064" w:type="pct"/>
            <w:gridSpan w:val="2"/>
            <w:tcBorders>
              <w:top w:val="single" w:sz="4" w:space="0" w:color="auto"/>
              <w:left w:val="nil"/>
              <w:bottom w:val="single" w:sz="4" w:space="0" w:color="auto"/>
              <w:right w:val="single" w:sz="4" w:space="0" w:color="auto"/>
            </w:tcBorders>
            <w:shd w:val="clear" w:color="000000" w:fill="FFCC99"/>
            <w:noWrap/>
            <w:vAlign w:val="bottom"/>
            <w:hideMark/>
          </w:tcPr>
          <w:p w14:paraId="0A17A271" w14:textId="77777777" w:rsidR="00EA158E" w:rsidRPr="004622EC" w:rsidRDefault="00EA158E" w:rsidP="00EA158E">
            <w:pPr>
              <w:jc w:val="cente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1954" w:type="pct"/>
            <w:gridSpan w:val="3"/>
            <w:tcBorders>
              <w:top w:val="nil"/>
              <w:left w:val="nil"/>
              <w:bottom w:val="single" w:sz="4" w:space="0" w:color="auto"/>
              <w:right w:val="single" w:sz="8" w:space="0" w:color="auto"/>
            </w:tcBorders>
            <w:shd w:val="clear" w:color="000000" w:fill="FFFFFF"/>
            <w:vAlign w:val="bottom"/>
            <w:hideMark/>
          </w:tcPr>
          <w:p w14:paraId="47BF7688"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 </w:t>
            </w:r>
          </w:p>
        </w:tc>
      </w:tr>
      <w:tr w:rsidR="00EA158E" w:rsidRPr="00543AD0" w14:paraId="33E27979" w14:textId="77777777" w:rsidTr="007B0D81">
        <w:trPr>
          <w:trHeight w:val="255"/>
        </w:trPr>
        <w:tc>
          <w:tcPr>
            <w:tcW w:w="1982" w:type="pct"/>
            <w:tcBorders>
              <w:top w:val="nil"/>
              <w:left w:val="single" w:sz="8" w:space="0" w:color="auto"/>
              <w:bottom w:val="single" w:sz="4" w:space="0" w:color="auto"/>
              <w:right w:val="single" w:sz="4" w:space="0" w:color="auto"/>
            </w:tcBorders>
            <w:shd w:val="clear" w:color="000000" w:fill="FFFFFF"/>
            <w:vAlign w:val="bottom"/>
            <w:hideMark/>
          </w:tcPr>
          <w:p w14:paraId="1FD4E69F"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Private</w:t>
            </w:r>
          </w:p>
        </w:tc>
        <w:tc>
          <w:tcPr>
            <w:tcW w:w="1064" w:type="pct"/>
            <w:gridSpan w:val="2"/>
            <w:tcBorders>
              <w:top w:val="single" w:sz="4" w:space="0" w:color="auto"/>
              <w:left w:val="nil"/>
              <w:bottom w:val="single" w:sz="4" w:space="0" w:color="auto"/>
              <w:right w:val="single" w:sz="4" w:space="0" w:color="auto"/>
            </w:tcBorders>
            <w:shd w:val="clear" w:color="000000" w:fill="FFCC99"/>
            <w:noWrap/>
            <w:vAlign w:val="bottom"/>
            <w:hideMark/>
          </w:tcPr>
          <w:p w14:paraId="45A01204" w14:textId="77777777" w:rsidR="00EA158E" w:rsidRPr="004622EC" w:rsidRDefault="00EA158E" w:rsidP="00EA158E">
            <w:pPr>
              <w:jc w:val="cente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1954" w:type="pct"/>
            <w:gridSpan w:val="3"/>
            <w:tcBorders>
              <w:top w:val="nil"/>
              <w:left w:val="nil"/>
              <w:bottom w:val="single" w:sz="4" w:space="0" w:color="auto"/>
              <w:right w:val="single" w:sz="8" w:space="0" w:color="auto"/>
            </w:tcBorders>
            <w:shd w:val="clear" w:color="000000" w:fill="FFFFFF"/>
            <w:vAlign w:val="bottom"/>
            <w:hideMark/>
          </w:tcPr>
          <w:p w14:paraId="28DFFC65"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 </w:t>
            </w:r>
          </w:p>
        </w:tc>
      </w:tr>
      <w:tr w:rsidR="00EA158E" w:rsidRPr="00543AD0" w14:paraId="01EB6491" w14:textId="77777777" w:rsidTr="007B0D81">
        <w:trPr>
          <w:trHeight w:val="255"/>
        </w:trPr>
        <w:tc>
          <w:tcPr>
            <w:tcW w:w="1982" w:type="pct"/>
            <w:tcBorders>
              <w:top w:val="nil"/>
              <w:left w:val="single" w:sz="8" w:space="0" w:color="auto"/>
              <w:bottom w:val="single" w:sz="4" w:space="0" w:color="auto"/>
              <w:right w:val="single" w:sz="4" w:space="0" w:color="auto"/>
            </w:tcBorders>
            <w:shd w:val="clear" w:color="000000" w:fill="FFFFFF"/>
            <w:vAlign w:val="bottom"/>
            <w:hideMark/>
          </w:tcPr>
          <w:p w14:paraId="125AD513"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Domestic</w:t>
            </w:r>
          </w:p>
        </w:tc>
        <w:tc>
          <w:tcPr>
            <w:tcW w:w="1064" w:type="pct"/>
            <w:gridSpan w:val="2"/>
            <w:tcBorders>
              <w:top w:val="single" w:sz="4" w:space="0" w:color="auto"/>
              <w:left w:val="nil"/>
              <w:bottom w:val="single" w:sz="4" w:space="0" w:color="auto"/>
              <w:right w:val="single" w:sz="4" w:space="0" w:color="auto"/>
            </w:tcBorders>
            <w:shd w:val="clear" w:color="000000" w:fill="FFCC99"/>
            <w:noWrap/>
            <w:vAlign w:val="bottom"/>
            <w:hideMark/>
          </w:tcPr>
          <w:p w14:paraId="41AD03A2" w14:textId="77777777" w:rsidR="00EA158E" w:rsidRPr="004622EC" w:rsidRDefault="00EA158E" w:rsidP="00EA158E">
            <w:pPr>
              <w:jc w:val="cente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1954" w:type="pct"/>
            <w:gridSpan w:val="3"/>
            <w:tcBorders>
              <w:top w:val="nil"/>
              <w:left w:val="nil"/>
              <w:bottom w:val="single" w:sz="4" w:space="0" w:color="auto"/>
              <w:right w:val="single" w:sz="8" w:space="0" w:color="auto"/>
            </w:tcBorders>
            <w:shd w:val="clear" w:color="000000" w:fill="FFFFFF"/>
            <w:vAlign w:val="bottom"/>
            <w:hideMark/>
          </w:tcPr>
          <w:p w14:paraId="25712D81"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 </w:t>
            </w:r>
          </w:p>
        </w:tc>
      </w:tr>
      <w:tr w:rsidR="00EA158E" w:rsidRPr="00543AD0" w14:paraId="047F6D0B" w14:textId="77777777" w:rsidTr="007B0D81">
        <w:trPr>
          <w:trHeight w:val="255"/>
        </w:trPr>
        <w:tc>
          <w:tcPr>
            <w:tcW w:w="1982" w:type="pct"/>
            <w:tcBorders>
              <w:top w:val="nil"/>
              <w:left w:val="single" w:sz="8" w:space="0" w:color="auto"/>
              <w:bottom w:val="single" w:sz="4" w:space="0" w:color="auto"/>
              <w:right w:val="single" w:sz="4" w:space="0" w:color="auto"/>
            </w:tcBorders>
            <w:shd w:val="clear" w:color="000000" w:fill="FFFFFF"/>
            <w:vAlign w:val="bottom"/>
            <w:hideMark/>
          </w:tcPr>
          <w:p w14:paraId="3E7DB2B7"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External</w:t>
            </w:r>
          </w:p>
        </w:tc>
        <w:tc>
          <w:tcPr>
            <w:tcW w:w="1064" w:type="pct"/>
            <w:gridSpan w:val="2"/>
            <w:tcBorders>
              <w:top w:val="single" w:sz="4" w:space="0" w:color="auto"/>
              <w:left w:val="nil"/>
              <w:bottom w:val="single" w:sz="4" w:space="0" w:color="auto"/>
              <w:right w:val="single" w:sz="4" w:space="0" w:color="auto"/>
            </w:tcBorders>
            <w:shd w:val="clear" w:color="000000" w:fill="FFCC99"/>
            <w:noWrap/>
            <w:vAlign w:val="bottom"/>
            <w:hideMark/>
          </w:tcPr>
          <w:p w14:paraId="773DFE7B" w14:textId="77777777" w:rsidR="00EA158E" w:rsidRPr="004622EC" w:rsidRDefault="00EA158E" w:rsidP="00EA158E">
            <w:pPr>
              <w:jc w:val="cente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1954" w:type="pct"/>
            <w:gridSpan w:val="3"/>
            <w:tcBorders>
              <w:top w:val="nil"/>
              <w:left w:val="nil"/>
              <w:bottom w:val="single" w:sz="4" w:space="0" w:color="auto"/>
              <w:right w:val="single" w:sz="8" w:space="0" w:color="auto"/>
            </w:tcBorders>
            <w:shd w:val="clear" w:color="000000" w:fill="FFFFFF"/>
            <w:vAlign w:val="bottom"/>
            <w:hideMark/>
          </w:tcPr>
          <w:p w14:paraId="2058AA06"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 </w:t>
            </w:r>
          </w:p>
        </w:tc>
      </w:tr>
      <w:tr w:rsidR="00EA158E" w:rsidRPr="00543AD0" w14:paraId="14F1E877" w14:textId="77777777" w:rsidTr="007B0D81">
        <w:trPr>
          <w:trHeight w:val="255"/>
        </w:trPr>
        <w:tc>
          <w:tcPr>
            <w:tcW w:w="1982" w:type="pct"/>
            <w:tcBorders>
              <w:top w:val="nil"/>
              <w:left w:val="single" w:sz="8" w:space="0" w:color="auto"/>
              <w:bottom w:val="single" w:sz="4" w:space="0" w:color="auto"/>
              <w:right w:val="single" w:sz="4" w:space="0" w:color="auto"/>
            </w:tcBorders>
            <w:shd w:val="clear" w:color="000000" w:fill="FFFFFF"/>
            <w:vAlign w:val="bottom"/>
            <w:hideMark/>
          </w:tcPr>
          <w:p w14:paraId="2786EFB4"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 </w:t>
            </w:r>
          </w:p>
        </w:tc>
        <w:tc>
          <w:tcPr>
            <w:tcW w:w="1064" w:type="pct"/>
            <w:gridSpan w:val="2"/>
            <w:tcBorders>
              <w:top w:val="single" w:sz="4" w:space="0" w:color="auto"/>
              <w:left w:val="nil"/>
              <w:bottom w:val="single" w:sz="4" w:space="0" w:color="auto"/>
              <w:right w:val="single" w:sz="4" w:space="0" w:color="auto"/>
            </w:tcBorders>
            <w:shd w:val="clear" w:color="000000" w:fill="FFFFFF"/>
            <w:vAlign w:val="bottom"/>
            <w:hideMark/>
          </w:tcPr>
          <w:p w14:paraId="7EA68269" w14:textId="77777777" w:rsidR="00EA158E" w:rsidRPr="004622EC" w:rsidRDefault="00EA158E" w:rsidP="00EA158E">
            <w:pPr>
              <w:jc w:val="cente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954" w:type="pct"/>
            <w:gridSpan w:val="3"/>
            <w:tcBorders>
              <w:top w:val="nil"/>
              <w:left w:val="nil"/>
              <w:bottom w:val="single" w:sz="4" w:space="0" w:color="auto"/>
              <w:right w:val="single" w:sz="8" w:space="0" w:color="auto"/>
            </w:tcBorders>
            <w:shd w:val="clear" w:color="000000" w:fill="FFFFFF"/>
            <w:vAlign w:val="bottom"/>
            <w:hideMark/>
          </w:tcPr>
          <w:p w14:paraId="54E5F4EC"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 </w:t>
            </w:r>
          </w:p>
        </w:tc>
      </w:tr>
      <w:tr w:rsidR="00EA158E" w:rsidRPr="00543AD0" w14:paraId="01116A2E" w14:textId="77777777" w:rsidTr="007B0D81">
        <w:trPr>
          <w:trHeight w:val="510"/>
        </w:trPr>
        <w:tc>
          <w:tcPr>
            <w:tcW w:w="1982" w:type="pct"/>
            <w:tcBorders>
              <w:top w:val="nil"/>
              <w:left w:val="single" w:sz="8" w:space="0" w:color="auto"/>
              <w:bottom w:val="single" w:sz="4" w:space="0" w:color="auto"/>
              <w:right w:val="single" w:sz="4" w:space="0" w:color="auto"/>
            </w:tcBorders>
            <w:shd w:val="clear" w:color="000000" w:fill="FFC000"/>
            <w:vAlign w:val="bottom"/>
            <w:hideMark/>
          </w:tcPr>
          <w:p w14:paraId="1F6FD1D5"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Indicator 8: Identify specific GHG reduction target (percent), if any, under any national, sectoral, local plans</w:t>
            </w:r>
          </w:p>
        </w:tc>
        <w:tc>
          <w:tcPr>
            <w:tcW w:w="1064" w:type="pct"/>
            <w:gridSpan w:val="2"/>
            <w:tcBorders>
              <w:top w:val="single" w:sz="4" w:space="0" w:color="auto"/>
              <w:left w:val="nil"/>
              <w:bottom w:val="single" w:sz="4" w:space="0" w:color="auto"/>
              <w:right w:val="single" w:sz="4" w:space="0" w:color="auto"/>
            </w:tcBorders>
            <w:shd w:val="clear" w:color="000000" w:fill="FFC000"/>
            <w:vAlign w:val="bottom"/>
            <w:hideMark/>
          </w:tcPr>
          <w:p w14:paraId="1FD19F7D" w14:textId="77777777" w:rsidR="00EA158E" w:rsidRPr="004622EC" w:rsidRDefault="00EA158E" w:rsidP="00EA158E">
            <w:pPr>
              <w:jc w:val="cente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954" w:type="pct"/>
            <w:gridSpan w:val="3"/>
            <w:tcBorders>
              <w:top w:val="nil"/>
              <w:left w:val="nil"/>
              <w:bottom w:val="single" w:sz="4" w:space="0" w:color="auto"/>
              <w:right w:val="single" w:sz="8" w:space="0" w:color="auto"/>
            </w:tcBorders>
            <w:shd w:val="clear" w:color="000000" w:fill="FFC000"/>
            <w:vAlign w:val="bottom"/>
            <w:hideMark/>
          </w:tcPr>
          <w:p w14:paraId="47E04059"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Specify plan, area/sector (if subnational), and baseline from which reduction is expected</w:t>
            </w:r>
          </w:p>
        </w:tc>
      </w:tr>
      <w:tr w:rsidR="00EA158E" w:rsidRPr="00543AD0" w14:paraId="2EA88540" w14:textId="77777777" w:rsidTr="007B0D81">
        <w:trPr>
          <w:trHeight w:val="240"/>
        </w:trPr>
        <w:tc>
          <w:tcPr>
            <w:tcW w:w="1982" w:type="pct"/>
            <w:tcBorders>
              <w:top w:val="nil"/>
              <w:left w:val="single" w:sz="8" w:space="0" w:color="auto"/>
              <w:bottom w:val="single" w:sz="4" w:space="0" w:color="auto"/>
              <w:right w:val="single" w:sz="4" w:space="0" w:color="auto"/>
            </w:tcBorders>
            <w:shd w:val="clear" w:color="auto" w:fill="auto"/>
            <w:vAlign w:val="bottom"/>
            <w:hideMark/>
          </w:tcPr>
          <w:p w14:paraId="14232401"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064" w:type="pct"/>
            <w:gridSpan w:val="2"/>
            <w:tcBorders>
              <w:top w:val="single" w:sz="4" w:space="0" w:color="auto"/>
              <w:left w:val="nil"/>
              <w:bottom w:val="single" w:sz="4" w:space="0" w:color="auto"/>
              <w:right w:val="single" w:sz="4" w:space="0" w:color="auto"/>
            </w:tcBorders>
            <w:shd w:val="clear" w:color="000000" w:fill="FFCC99"/>
            <w:noWrap/>
            <w:vAlign w:val="bottom"/>
            <w:hideMark/>
          </w:tcPr>
          <w:p w14:paraId="2329042C"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1954" w:type="pct"/>
            <w:gridSpan w:val="3"/>
            <w:tcBorders>
              <w:top w:val="nil"/>
              <w:left w:val="nil"/>
              <w:bottom w:val="single" w:sz="4" w:space="0" w:color="auto"/>
              <w:right w:val="single" w:sz="8" w:space="0" w:color="auto"/>
            </w:tcBorders>
            <w:shd w:val="clear" w:color="auto" w:fill="auto"/>
            <w:noWrap/>
            <w:vAlign w:val="center"/>
            <w:hideMark/>
          </w:tcPr>
          <w:p w14:paraId="7791C7BD"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r w:rsidR="00EA158E" w:rsidRPr="00543AD0" w14:paraId="352F36B7" w14:textId="77777777" w:rsidTr="007B0D81">
        <w:trPr>
          <w:trHeight w:val="255"/>
        </w:trPr>
        <w:tc>
          <w:tcPr>
            <w:tcW w:w="1982" w:type="pct"/>
            <w:tcBorders>
              <w:top w:val="nil"/>
              <w:left w:val="single" w:sz="8" w:space="0" w:color="auto"/>
              <w:bottom w:val="single" w:sz="4" w:space="0" w:color="auto"/>
              <w:right w:val="single" w:sz="4" w:space="0" w:color="auto"/>
            </w:tcBorders>
            <w:shd w:val="clear" w:color="auto" w:fill="auto"/>
            <w:vAlign w:val="bottom"/>
            <w:hideMark/>
          </w:tcPr>
          <w:p w14:paraId="120CB38E"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064" w:type="pct"/>
            <w:gridSpan w:val="2"/>
            <w:tcBorders>
              <w:top w:val="single" w:sz="4" w:space="0" w:color="auto"/>
              <w:left w:val="nil"/>
              <w:bottom w:val="single" w:sz="4" w:space="0" w:color="auto"/>
              <w:right w:val="single" w:sz="4" w:space="0" w:color="auto"/>
            </w:tcBorders>
            <w:shd w:val="clear" w:color="000000" w:fill="FFCC99"/>
            <w:noWrap/>
            <w:vAlign w:val="bottom"/>
            <w:hideMark/>
          </w:tcPr>
          <w:p w14:paraId="0C51171F"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1954" w:type="pct"/>
            <w:gridSpan w:val="3"/>
            <w:tcBorders>
              <w:top w:val="nil"/>
              <w:left w:val="nil"/>
              <w:bottom w:val="single" w:sz="4" w:space="0" w:color="auto"/>
              <w:right w:val="single" w:sz="8" w:space="0" w:color="auto"/>
            </w:tcBorders>
            <w:shd w:val="clear" w:color="auto" w:fill="auto"/>
            <w:noWrap/>
            <w:vAlign w:val="center"/>
            <w:hideMark/>
          </w:tcPr>
          <w:p w14:paraId="1DF0AD25"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r w:rsidR="00EA158E" w:rsidRPr="00543AD0" w14:paraId="1D802737" w14:textId="77777777" w:rsidTr="007B0D81">
        <w:trPr>
          <w:trHeight w:val="270"/>
        </w:trPr>
        <w:tc>
          <w:tcPr>
            <w:tcW w:w="1982" w:type="pct"/>
            <w:tcBorders>
              <w:top w:val="nil"/>
              <w:left w:val="single" w:sz="8" w:space="0" w:color="auto"/>
              <w:bottom w:val="single" w:sz="8" w:space="0" w:color="auto"/>
              <w:right w:val="single" w:sz="4" w:space="0" w:color="auto"/>
            </w:tcBorders>
            <w:shd w:val="clear" w:color="auto" w:fill="auto"/>
            <w:vAlign w:val="bottom"/>
            <w:hideMark/>
          </w:tcPr>
          <w:p w14:paraId="6F52CEE3"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064" w:type="pct"/>
            <w:gridSpan w:val="2"/>
            <w:tcBorders>
              <w:top w:val="single" w:sz="4" w:space="0" w:color="auto"/>
              <w:left w:val="nil"/>
              <w:bottom w:val="single" w:sz="8" w:space="0" w:color="auto"/>
              <w:right w:val="single" w:sz="4" w:space="0" w:color="auto"/>
            </w:tcBorders>
            <w:shd w:val="clear" w:color="000000" w:fill="FFFFFF"/>
            <w:noWrap/>
            <w:vAlign w:val="bottom"/>
            <w:hideMark/>
          </w:tcPr>
          <w:p w14:paraId="56D7D472"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1954" w:type="pct"/>
            <w:gridSpan w:val="3"/>
            <w:tcBorders>
              <w:top w:val="nil"/>
              <w:left w:val="nil"/>
              <w:bottom w:val="single" w:sz="8" w:space="0" w:color="auto"/>
              <w:right w:val="single" w:sz="8" w:space="0" w:color="auto"/>
            </w:tcBorders>
            <w:shd w:val="clear" w:color="auto" w:fill="auto"/>
            <w:noWrap/>
            <w:vAlign w:val="center"/>
            <w:hideMark/>
          </w:tcPr>
          <w:p w14:paraId="30FE0E87"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r w:rsidR="00EA158E" w:rsidRPr="00543AD0" w14:paraId="7FAF0632" w14:textId="77777777" w:rsidTr="007B0D81">
        <w:trPr>
          <w:trHeight w:val="255"/>
        </w:trPr>
        <w:tc>
          <w:tcPr>
            <w:tcW w:w="1982" w:type="pct"/>
            <w:tcBorders>
              <w:top w:val="nil"/>
              <w:left w:val="nil"/>
              <w:bottom w:val="nil"/>
              <w:right w:val="nil"/>
            </w:tcBorders>
            <w:shd w:val="clear" w:color="auto" w:fill="auto"/>
            <w:vAlign w:val="bottom"/>
            <w:hideMark/>
          </w:tcPr>
          <w:p w14:paraId="586D181C" w14:textId="77777777" w:rsidR="00EA158E" w:rsidRPr="004622EC" w:rsidRDefault="00EA158E" w:rsidP="00EA158E">
            <w:pPr>
              <w:jc w:val="right"/>
              <w:rPr>
                <w:rFonts w:eastAsia="Times New Roman" w:cs="Microsoft Sans Serif"/>
                <w:color w:val="000000"/>
                <w:sz w:val="20"/>
                <w:szCs w:val="20"/>
                <w:lang w:val="en-GB" w:eastAsia="en-GB"/>
              </w:rPr>
            </w:pPr>
          </w:p>
        </w:tc>
        <w:tc>
          <w:tcPr>
            <w:tcW w:w="1064" w:type="pct"/>
            <w:gridSpan w:val="2"/>
            <w:tcBorders>
              <w:top w:val="nil"/>
              <w:left w:val="nil"/>
              <w:bottom w:val="nil"/>
              <w:right w:val="nil"/>
            </w:tcBorders>
            <w:shd w:val="clear" w:color="auto" w:fill="auto"/>
            <w:vAlign w:val="bottom"/>
            <w:hideMark/>
          </w:tcPr>
          <w:p w14:paraId="6C42CDAD" w14:textId="77777777" w:rsidR="00EA158E" w:rsidRPr="004622EC" w:rsidRDefault="00EA158E" w:rsidP="00EA158E">
            <w:pPr>
              <w:jc w:val="center"/>
              <w:rPr>
                <w:rFonts w:eastAsia="Times New Roman" w:cs="Microsoft Sans Serif"/>
                <w:color w:val="3F3F76"/>
                <w:sz w:val="20"/>
                <w:szCs w:val="20"/>
                <w:lang w:val="en-GB" w:eastAsia="en-GB"/>
              </w:rPr>
            </w:pPr>
          </w:p>
        </w:tc>
        <w:tc>
          <w:tcPr>
            <w:tcW w:w="1954" w:type="pct"/>
            <w:gridSpan w:val="3"/>
            <w:tcBorders>
              <w:top w:val="nil"/>
              <w:left w:val="nil"/>
              <w:bottom w:val="nil"/>
              <w:right w:val="nil"/>
            </w:tcBorders>
            <w:shd w:val="clear" w:color="auto" w:fill="auto"/>
            <w:noWrap/>
            <w:vAlign w:val="center"/>
            <w:hideMark/>
          </w:tcPr>
          <w:p w14:paraId="59D94814" w14:textId="77777777" w:rsidR="00EA158E" w:rsidRPr="004622EC" w:rsidRDefault="00EA158E" w:rsidP="00EA158E">
            <w:pPr>
              <w:rPr>
                <w:rFonts w:eastAsia="Times New Roman" w:cs="Microsoft Sans Serif"/>
                <w:color w:val="000000"/>
                <w:sz w:val="20"/>
                <w:szCs w:val="20"/>
                <w:lang w:val="en-GB" w:eastAsia="en-GB"/>
              </w:rPr>
            </w:pPr>
          </w:p>
        </w:tc>
      </w:tr>
      <w:tr w:rsidR="00EA158E" w:rsidRPr="00543AD0" w14:paraId="1FCEFB90" w14:textId="77777777" w:rsidTr="007B0D81">
        <w:trPr>
          <w:trHeight w:val="270"/>
        </w:trPr>
        <w:tc>
          <w:tcPr>
            <w:tcW w:w="1982" w:type="pct"/>
            <w:tcBorders>
              <w:top w:val="nil"/>
              <w:left w:val="nil"/>
              <w:bottom w:val="nil"/>
              <w:right w:val="nil"/>
            </w:tcBorders>
            <w:shd w:val="clear" w:color="auto" w:fill="auto"/>
            <w:vAlign w:val="bottom"/>
            <w:hideMark/>
          </w:tcPr>
          <w:p w14:paraId="788DB1AF" w14:textId="77777777" w:rsidR="00EA158E" w:rsidRPr="004622EC" w:rsidRDefault="00EA158E" w:rsidP="00EA158E">
            <w:pPr>
              <w:rPr>
                <w:rFonts w:eastAsia="Times New Roman" w:cs="Microsoft Sans Serif"/>
                <w:b/>
                <w:bCs/>
                <w:color w:val="FF0000"/>
                <w:sz w:val="20"/>
                <w:szCs w:val="20"/>
                <w:lang w:val="en-GB" w:eastAsia="en-GB"/>
              </w:rPr>
            </w:pPr>
            <w:r w:rsidRPr="004622EC">
              <w:rPr>
                <w:rFonts w:eastAsia="Times New Roman" w:cs="Microsoft Sans Serif"/>
                <w:b/>
                <w:bCs/>
                <w:color w:val="FF0000"/>
                <w:sz w:val="20"/>
                <w:szCs w:val="20"/>
                <w:lang w:val="en-GB" w:eastAsia="en-GB"/>
              </w:rPr>
              <w:t>Section C. Qualitative Indicators</w:t>
            </w:r>
          </w:p>
        </w:tc>
        <w:tc>
          <w:tcPr>
            <w:tcW w:w="1064" w:type="pct"/>
            <w:gridSpan w:val="2"/>
            <w:tcBorders>
              <w:top w:val="nil"/>
              <w:left w:val="nil"/>
              <w:bottom w:val="nil"/>
              <w:right w:val="nil"/>
            </w:tcBorders>
            <w:shd w:val="clear" w:color="auto" w:fill="auto"/>
            <w:vAlign w:val="bottom"/>
            <w:hideMark/>
          </w:tcPr>
          <w:p w14:paraId="6EE67AC9" w14:textId="77777777" w:rsidR="00EA158E" w:rsidRPr="004622EC" w:rsidRDefault="00EA158E" w:rsidP="00EA158E">
            <w:pPr>
              <w:jc w:val="center"/>
              <w:rPr>
                <w:rFonts w:eastAsia="Times New Roman" w:cs="Microsoft Sans Serif"/>
                <w:color w:val="000000"/>
                <w:sz w:val="20"/>
                <w:szCs w:val="20"/>
                <w:lang w:val="en-GB" w:eastAsia="en-GB"/>
              </w:rPr>
            </w:pPr>
          </w:p>
        </w:tc>
        <w:tc>
          <w:tcPr>
            <w:tcW w:w="1954" w:type="pct"/>
            <w:gridSpan w:val="3"/>
            <w:tcBorders>
              <w:top w:val="nil"/>
              <w:left w:val="nil"/>
              <w:bottom w:val="nil"/>
              <w:right w:val="nil"/>
            </w:tcBorders>
            <w:shd w:val="clear" w:color="auto" w:fill="auto"/>
            <w:noWrap/>
            <w:vAlign w:val="bottom"/>
            <w:hideMark/>
          </w:tcPr>
          <w:p w14:paraId="1B0166BC" w14:textId="77777777" w:rsidR="00EA158E" w:rsidRPr="004622EC" w:rsidRDefault="00EA158E" w:rsidP="00EA158E">
            <w:pPr>
              <w:rPr>
                <w:rFonts w:eastAsia="Times New Roman" w:cs="Microsoft Sans Serif"/>
                <w:color w:val="000000"/>
                <w:sz w:val="20"/>
                <w:szCs w:val="20"/>
                <w:lang w:val="en-GB" w:eastAsia="en-GB"/>
              </w:rPr>
            </w:pPr>
          </w:p>
        </w:tc>
      </w:tr>
      <w:tr w:rsidR="00EA158E" w:rsidRPr="00543AD0" w14:paraId="329F9418" w14:textId="77777777" w:rsidTr="007B0D81">
        <w:trPr>
          <w:trHeight w:val="1530"/>
        </w:trPr>
        <w:tc>
          <w:tcPr>
            <w:tcW w:w="1982" w:type="pct"/>
            <w:tcBorders>
              <w:top w:val="single" w:sz="8" w:space="0" w:color="auto"/>
              <w:left w:val="single" w:sz="8" w:space="0" w:color="auto"/>
              <w:bottom w:val="single" w:sz="4" w:space="0" w:color="auto"/>
              <w:right w:val="single" w:sz="4" w:space="0" w:color="auto"/>
            </w:tcBorders>
            <w:shd w:val="clear" w:color="000000" w:fill="FFC000"/>
            <w:vAlign w:val="bottom"/>
            <w:hideMark/>
          </w:tcPr>
          <w:p w14:paraId="62957ECE"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 xml:space="preserve">Indicator 9: Degree of support for low GHG development in policy, planning and regulations </w:t>
            </w:r>
          </w:p>
        </w:tc>
        <w:tc>
          <w:tcPr>
            <w:tcW w:w="853" w:type="pct"/>
            <w:tcBorders>
              <w:top w:val="single" w:sz="8" w:space="0" w:color="auto"/>
              <w:left w:val="nil"/>
              <w:bottom w:val="single" w:sz="4" w:space="0" w:color="auto"/>
              <w:right w:val="single" w:sz="4" w:space="0" w:color="auto"/>
            </w:tcBorders>
            <w:shd w:val="clear" w:color="000000" w:fill="FFC000"/>
            <w:vAlign w:val="bottom"/>
            <w:hideMark/>
          </w:tcPr>
          <w:p w14:paraId="1C2E8738" w14:textId="77777777" w:rsidR="00EA158E" w:rsidRPr="004622EC" w:rsidRDefault="00EA158E" w:rsidP="00EA158E">
            <w:pPr>
              <w:jc w:val="cente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Baseline</w:t>
            </w:r>
            <w:r w:rsidRPr="004622EC">
              <w:rPr>
                <w:rFonts w:eastAsia="Times New Roman" w:cs="Microsoft Sans Serif"/>
                <w:b/>
                <w:bCs/>
                <w:color w:val="000000"/>
                <w:sz w:val="20"/>
                <w:szCs w:val="20"/>
                <w:lang w:val="en-GB" w:eastAsia="en-GB"/>
              </w:rPr>
              <w:br/>
              <w:t>Rating (1-10)</w:t>
            </w:r>
          </w:p>
        </w:tc>
        <w:tc>
          <w:tcPr>
            <w:tcW w:w="545" w:type="pct"/>
            <w:gridSpan w:val="3"/>
            <w:tcBorders>
              <w:top w:val="single" w:sz="8" w:space="0" w:color="auto"/>
              <w:left w:val="nil"/>
              <w:bottom w:val="single" w:sz="4" w:space="0" w:color="auto"/>
              <w:right w:val="single" w:sz="4" w:space="0" w:color="auto"/>
            </w:tcBorders>
            <w:shd w:val="clear" w:color="000000" w:fill="FFC000"/>
            <w:vAlign w:val="bottom"/>
            <w:hideMark/>
          </w:tcPr>
          <w:p w14:paraId="400635C7" w14:textId="77777777" w:rsidR="00EA158E" w:rsidRPr="004622EC" w:rsidRDefault="00EA158E" w:rsidP="00EA158E">
            <w:pPr>
              <w:jc w:val="cente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Target</w:t>
            </w:r>
            <w:r w:rsidRPr="004622EC">
              <w:rPr>
                <w:rFonts w:eastAsia="Times New Roman" w:cs="Microsoft Sans Serif"/>
                <w:b/>
                <w:bCs/>
                <w:color w:val="000000"/>
                <w:sz w:val="20"/>
                <w:szCs w:val="20"/>
                <w:lang w:val="en-GB" w:eastAsia="en-GB"/>
              </w:rPr>
              <w:br/>
              <w:t>Rating (1-10)</w:t>
            </w:r>
          </w:p>
        </w:tc>
        <w:tc>
          <w:tcPr>
            <w:tcW w:w="1620" w:type="pct"/>
            <w:tcBorders>
              <w:top w:val="single" w:sz="8" w:space="0" w:color="auto"/>
              <w:left w:val="nil"/>
              <w:bottom w:val="single" w:sz="4" w:space="0" w:color="auto"/>
              <w:right w:val="single" w:sz="8" w:space="0" w:color="auto"/>
            </w:tcBorders>
            <w:shd w:val="clear" w:color="000000" w:fill="FFC000"/>
            <w:vAlign w:val="bottom"/>
            <w:hideMark/>
          </w:tcPr>
          <w:p w14:paraId="4949E33E"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 xml:space="preserve">Identify the policy/regulations (national, sectoral, City) relevant to and supported by the project and provide rating.  Baseline indicates current status (pre-project), Target is the rating level that is expected to be achieved due to project </w:t>
            </w:r>
            <w:r w:rsidR="00C953AA" w:rsidRPr="002B343A">
              <w:rPr>
                <w:rFonts w:eastAsia="Times New Roman" w:cs="Microsoft Sans Serif"/>
                <w:b/>
                <w:bCs/>
                <w:color w:val="000000"/>
                <w:sz w:val="20"/>
                <w:szCs w:val="20"/>
                <w:lang w:val="en-GB" w:eastAsia="en-GB"/>
              </w:rPr>
              <w:t>support. For</w:t>
            </w:r>
            <w:r w:rsidRPr="004622EC">
              <w:rPr>
                <w:rFonts w:eastAsia="Times New Roman" w:cs="Microsoft Sans Serif"/>
                <w:b/>
                <w:bCs/>
                <w:color w:val="000000"/>
                <w:sz w:val="20"/>
                <w:szCs w:val="20"/>
                <w:lang w:val="en-GB" w:eastAsia="en-GB"/>
              </w:rPr>
              <w:t xml:space="preserve"> guidance for qualitative ratings (in comment) move cursor over box or right click to show comment. </w:t>
            </w:r>
          </w:p>
        </w:tc>
      </w:tr>
      <w:tr w:rsidR="00EA158E" w:rsidRPr="00543AD0" w14:paraId="38ADBC2E" w14:textId="77777777" w:rsidTr="007B0D81">
        <w:trPr>
          <w:trHeight w:val="255"/>
        </w:trPr>
        <w:tc>
          <w:tcPr>
            <w:tcW w:w="1982" w:type="pct"/>
            <w:tcBorders>
              <w:top w:val="nil"/>
              <w:left w:val="single" w:sz="8" w:space="0" w:color="auto"/>
              <w:bottom w:val="single" w:sz="4" w:space="0" w:color="auto"/>
              <w:right w:val="single" w:sz="4" w:space="0" w:color="auto"/>
            </w:tcBorders>
            <w:shd w:val="clear" w:color="auto" w:fill="auto"/>
            <w:vAlign w:val="bottom"/>
            <w:hideMark/>
          </w:tcPr>
          <w:p w14:paraId="2F013D01"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National/Regional/Sectoral/City Plan</w:t>
            </w:r>
          </w:p>
        </w:tc>
        <w:tc>
          <w:tcPr>
            <w:tcW w:w="853" w:type="pct"/>
            <w:tcBorders>
              <w:top w:val="nil"/>
              <w:left w:val="nil"/>
              <w:bottom w:val="single" w:sz="4" w:space="0" w:color="auto"/>
              <w:right w:val="single" w:sz="4" w:space="0" w:color="auto"/>
            </w:tcBorders>
            <w:shd w:val="clear" w:color="000000" w:fill="FFCC99"/>
            <w:noWrap/>
            <w:vAlign w:val="bottom"/>
            <w:hideMark/>
          </w:tcPr>
          <w:p w14:paraId="5D8E127F"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xml:space="preserve">                                      4 </w:t>
            </w:r>
          </w:p>
        </w:tc>
        <w:tc>
          <w:tcPr>
            <w:tcW w:w="545" w:type="pct"/>
            <w:gridSpan w:val="3"/>
            <w:tcBorders>
              <w:top w:val="nil"/>
              <w:left w:val="nil"/>
              <w:bottom w:val="single" w:sz="4" w:space="0" w:color="auto"/>
              <w:right w:val="single" w:sz="4" w:space="0" w:color="auto"/>
            </w:tcBorders>
            <w:shd w:val="clear" w:color="000000" w:fill="FFCC99"/>
            <w:noWrap/>
            <w:vAlign w:val="bottom"/>
            <w:hideMark/>
          </w:tcPr>
          <w:p w14:paraId="2E6888C0"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xml:space="preserve">                                8 </w:t>
            </w:r>
          </w:p>
        </w:tc>
        <w:tc>
          <w:tcPr>
            <w:tcW w:w="1620" w:type="pct"/>
            <w:tcBorders>
              <w:top w:val="nil"/>
              <w:left w:val="nil"/>
              <w:bottom w:val="single" w:sz="4" w:space="0" w:color="auto"/>
              <w:right w:val="single" w:sz="8" w:space="0" w:color="auto"/>
            </w:tcBorders>
            <w:shd w:val="clear" w:color="auto" w:fill="auto"/>
            <w:noWrap/>
            <w:vAlign w:val="bottom"/>
            <w:hideMark/>
          </w:tcPr>
          <w:p w14:paraId="7B52F5D4"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Policy and legislation for large-scale and small-scale renewables</w:t>
            </w:r>
          </w:p>
        </w:tc>
      </w:tr>
      <w:tr w:rsidR="00EA158E" w:rsidRPr="00543AD0" w14:paraId="06F768C2" w14:textId="77777777" w:rsidTr="007B0D81">
        <w:trPr>
          <w:trHeight w:val="255"/>
        </w:trPr>
        <w:tc>
          <w:tcPr>
            <w:tcW w:w="1982" w:type="pct"/>
            <w:tcBorders>
              <w:top w:val="nil"/>
              <w:left w:val="single" w:sz="8" w:space="0" w:color="auto"/>
              <w:bottom w:val="single" w:sz="4" w:space="0" w:color="auto"/>
              <w:right w:val="single" w:sz="4" w:space="0" w:color="auto"/>
            </w:tcBorders>
            <w:shd w:val="clear" w:color="auto" w:fill="auto"/>
            <w:vAlign w:val="bottom"/>
            <w:hideMark/>
          </w:tcPr>
          <w:p w14:paraId="7C18F56B"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853" w:type="pct"/>
            <w:tcBorders>
              <w:top w:val="nil"/>
              <w:left w:val="nil"/>
              <w:bottom w:val="single" w:sz="4" w:space="0" w:color="auto"/>
              <w:right w:val="single" w:sz="4" w:space="0" w:color="auto"/>
            </w:tcBorders>
            <w:shd w:val="clear" w:color="000000" w:fill="FFCC99"/>
            <w:noWrap/>
            <w:vAlign w:val="bottom"/>
            <w:hideMark/>
          </w:tcPr>
          <w:p w14:paraId="648BF95D"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545" w:type="pct"/>
            <w:gridSpan w:val="3"/>
            <w:tcBorders>
              <w:top w:val="nil"/>
              <w:left w:val="nil"/>
              <w:bottom w:val="single" w:sz="4" w:space="0" w:color="auto"/>
              <w:right w:val="single" w:sz="4" w:space="0" w:color="auto"/>
            </w:tcBorders>
            <w:shd w:val="clear" w:color="000000" w:fill="FFCC99"/>
            <w:noWrap/>
            <w:vAlign w:val="bottom"/>
            <w:hideMark/>
          </w:tcPr>
          <w:p w14:paraId="68EA4969"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1620" w:type="pct"/>
            <w:tcBorders>
              <w:top w:val="nil"/>
              <w:left w:val="nil"/>
              <w:bottom w:val="single" w:sz="4" w:space="0" w:color="auto"/>
              <w:right w:val="single" w:sz="8" w:space="0" w:color="auto"/>
            </w:tcBorders>
            <w:shd w:val="clear" w:color="auto" w:fill="auto"/>
            <w:noWrap/>
            <w:vAlign w:val="bottom"/>
            <w:hideMark/>
          </w:tcPr>
          <w:p w14:paraId="7F0F3F2C"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r w:rsidR="00EA158E" w:rsidRPr="00543AD0" w14:paraId="6DECCCD3" w14:textId="77777777" w:rsidTr="007B0D81">
        <w:trPr>
          <w:trHeight w:val="287"/>
        </w:trPr>
        <w:tc>
          <w:tcPr>
            <w:tcW w:w="1982" w:type="pct"/>
            <w:tcBorders>
              <w:top w:val="nil"/>
              <w:left w:val="single" w:sz="8" w:space="0" w:color="auto"/>
              <w:bottom w:val="single" w:sz="4" w:space="0" w:color="auto"/>
              <w:right w:val="single" w:sz="4" w:space="0" w:color="auto"/>
            </w:tcBorders>
            <w:shd w:val="clear" w:color="auto" w:fill="auto"/>
            <w:vAlign w:val="bottom"/>
            <w:hideMark/>
          </w:tcPr>
          <w:p w14:paraId="5C7A91FF"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853" w:type="pct"/>
            <w:tcBorders>
              <w:top w:val="nil"/>
              <w:left w:val="nil"/>
              <w:bottom w:val="single" w:sz="4" w:space="0" w:color="auto"/>
              <w:right w:val="single" w:sz="4" w:space="0" w:color="auto"/>
            </w:tcBorders>
            <w:shd w:val="clear" w:color="000000" w:fill="FFCC99"/>
            <w:noWrap/>
            <w:vAlign w:val="bottom"/>
            <w:hideMark/>
          </w:tcPr>
          <w:p w14:paraId="653FD454"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545" w:type="pct"/>
            <w:gridSpan w:val="3"/>
            <w:tcBorders>
              <w:top w:val="nil"/>
              <w:left w:val="nil"/>
              <w:bottom w:val="single" w:sz="4" w:space="0" w:color="auto"/>
              <w:right w:val="single" w:sz="4" w:space="0" w:color="auto"/>
            </w:tcBorders>
            <w:shd w:val="clear" w:color="000000" w:fill="FFCC99"/>
            <w:noWrap/>
            <w:vAlign w:val="bottom"/>
            <w:hideMark/>
          </w:tcPr>
          <w:p w14:paraId="5CC17B8C"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1620" w:type="pct"/>
            <w:tcBorders>
              <w:top w:val="nil"/>
              <w:left w:val="nil"/>
              <w:bottom w:val="single" w:sz="4" w:space="0" w:color="auto"/>
              <w:right w:val="single" w:sz="8" w:space="0" w:color="auto"/>
            </w:tcBorders>
            <w:shd w:val="clear" w:color="auto" w:fill="auto"/>
            <w:noWrap/>
            <w:vAlign w:val="bottom"/>
            <w:hideMark/>
          </w:tcPr>
          <w:p w14:paraId="05AD8C52"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r w:rsidR="00EA158E" w:rsidRPr="00543AD0" w14:paraId="0F1D663C" w14:textId="77777777" w:rsidTr="007B0D81">
        <w:trPr>
          <w:trHeight w:val="255"/>
        </w:trPr>
        <w:tc>
          <w:tcPr>
            <w:tcW w:w="1982" w:type="pct"/>
            <w:tcBorders>
              <w:top w:val="nil"/>
              <w:left w:val="single" w:sz="8" w:space="0" w:color="auto"/>
              <w:bottom w:val="single" w:sz="4" w:space="0" w:color="auto"/>
              <w:right w:val="single" w:sz="4" w:space="0" w:color="auto"/>
            </w:tcBorders>
            <w:shd w:val="clear" w:color="auto" w:fill="auto"/>
            <w:vAlign w:val="bottom"/>
            <w:hideMark/>
          </w:tcPr>
          <w:p w14:paraId="307AACD8"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853" w:type="pct"/>
            <w:tcBorders>
              <w:top w:val="nil"/>
              <w:left w:val="nil"/>
              <w:bottom w:val="single" w:sz="4" w:space="0" w:color="auto"/>
              <w:right w:val="single" w:sz="4" w:space="0" w:color="auto"/>
            </w:tcBorders>
            <w:shd w:val="clear" w:color="auto" w:fill="auto"/>
            <w:noWrap/>
            <w:vAlign w:val="bottom"/>
            <w:hideMark/>
          </w:tcPr>
          <w:p w14:paraId="6D45AD69"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545" w:type="pct"/>
            <w:gridSpan w:val="3"/>
            <w:tcBorders>
              <w:top w:val="nil"/>
              <w:left w:val="nil"/>
              <w:bottom w:val="single" w:sz="4" w:space="0" w:color="auto"/>
              <w:right w:val="single" w:sz="4" w:space="0" w:color="auto"/>
            </w:tcBorders>
            <w:shd w:val="clear" w:color="auto" w:fill="auto"/>
            <w:noWrap/>
            <w:vAlign w:val="bottom"/>
            <w:hideMark/>
          </w:tcPr>
          <w:p w14:paraId="251A9845"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1620" w:type="pct"/>
            <w:tcBorders>
              <w:top w:val="nil"/>
              <w:left w:val="nil"/>
              <w:bottom w:val="single" w:sz="4" w:space="0" w:color="auto"/>
              <w:right w:val="single" w:sz="8" w:space="0" w:color="auto"/>
            </w:tcBorders>
            <w:shd w:val="clear" w:color="auto" w:fill="auto"/>
            <w:noWrap/>
            <w:vAlign w:val="bottom"/>
            <w:hideMark/>
          </w:tcPr>
          <w:p w14:paraId="0850641D"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r w:rsidR="00EA158E" w:rsidRPr="00543AD0" w14:paraId="6C41BD2A" w14:textId="77777777" w:rsidTr="007B0D81">
        <w:trPr>
          <w:trHeight w:val="1785"/>
        </w:trPr>
        <w:tc>
          <w:tcPr>
            <w:tcW w:w="1982" w:type="pct"/>
            <w:tcBorders>
              <w:top w:val="nil"/>
              <w:left w:val="single" w:sz="8" w:space="0" w:color="auto"/>
              <w:bottom w:val="single" w:sz="4" w:space="0" w:color="auto"/>
              <w:right w:val="single" w:sz="4" w:space="0" w:color="auto"/>
            </w:tcBorders>
            <w:shd w:val="clear" w:color="000000" w:fill="FFC000"/>
            <w:vAlign w:val="bottom"/>
            <w:hideMark/>
          </w:tcPr>
          <w:p w14:paraId="75E7BA06"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Indicator 10: Quality of MRV Systems</w:t>
            </w:r>
          </w:p>
        </w:tc>
        <w:tc>
          <w:tcPr>
            <w:tcW w:w="853" w:type="pct"/>
            <w:tcBorders>
              <w:top w:val="nil"/>
              <w:left w:val="nil"/>
              <w:bottom w:val="single" w:sz="4" w:space="0" w:color="auto"/>
              <w:right w:val="single" w:sz="4" w:space="0" w:color="auto"/>
            </w:tcBorders>
            <w:shd w:val="clear" w:color="000000" w:fill="FFC000"/>
            <w:vAlign w:val="bottom"/>
            <w:hideMark/>
          </w:tcPr>
          <w:p w14:paraId="55D87B27" w14:textId="77777777" w:rsidR="00EA158E" w:rsidRPr="004622EC" w:rsidRDefault="00EA158E" w:rsidP="00EA158E">
            <w:pPr>
              <w:jc w:val="cente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Baseline</w:t>
            </w:r>
            <w:r w:rsidRPr="004622EC">
              <w:rPr>
                <w:rFonts w:eastAsia="Times New Roman" w:cs="Microsoft Sans Serif"/>
                <w:b/>
                <w:bCs/>
                <w:color w:val="000000"/>
                <w:sz w:val="20"/>
                <w:szCs w:val="20"/>
                <w:lang w:val="en-GB" w:eastAsia="en-GB"/>
              </w:rPr>
              <w:br/>
              <w:t>Rating (1-10)</w:t>
            </w:r>
          </w:p>
        </w:tc>
        <w:tc>
          <w:tcPr>
            <w:tcW w:w="545" w:type="pct"/>
            <w:gridSpan w:val="3"/>
            <w:tcBorders>
              <w:top w:val="nil"/>
              <w:left w:val="nil"/>
              <w:bottom w:val="single" w:sz="4" w:space="0" w:color="auto"/>
              <w:right w:val="single" w:sz="4" w:space="0" w:color="auto"/>
            </w:tcBorders>
            <w:shd w:val="clear" w:color="000000" w:fill="FFC000"/>
            <w:vAlign w:val="bottom"/>
            <w:hideMark/>
          </w:tcPr>
          <w:p w14:paraId="6CF9747C" w14:textId="77777777" w:rsidR="00EA158E" w:rsidRPr="004622EC" w:rsidRDefault="00EA158E" w:rsidP="00EA158E">
            <w:pPr>
              <w:jc w:val="cente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Target</w:t>
            </w:r>
            <w:r w:rsidRPr="004622EC">
              <w:rPr>
                <w:rFonts w:eastAsia="Times New Roman" w:cs="Microsoft Sans Serif"/>
                <w:b/>
                <w:bCs/>
                <w:color w:val="000000"/>
                <w:sz w:val="20"/>
                <w:szCs w:val="20"/>
                <w:lang w:val="en-GB" w:eastAsia="en-GB"/>
              </w:rPr>
              <w:br/>
              <w:t>Rating (1-10)</w:t>
            </w:r>
          </w:p>
        </w:tc>
        <w:tc>
          <w:tcPr>
            <w:tcW w:w="1620" w:type="pct"/>
            <w:tcBorders>
              <w:top w:val="nil"/>
              <w:left w:val="nil"/>
              <w:bottom w:val="single" w:sz="4" w:space="0" w:color="auto"/>
              <w:right w:val="single" w:sz="8" w:space="0" w:color="auto"/>
            </w:tcBorders>
            <w:shd w:val="clear" w:color="000000" w:fill="FFC000"/>
            <w:vAlign w:val="bottom"/>
            <w:hideMark/>
          </w:tcPr>
          <w:p w14:paraId="38F6B9C6"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 xml:space="preserve">Provide details of coverage of MRV systems - area, type of activity for which MRV is done, and of Reporting and Verification processes. Baseline indicates current status (pre-project), Target is the rating level that is expected to be achieved due to project support. For guidance for qualitative ratings (in comment) move cursor over box or right click to show comment. </w:t>
            </w:r>
          </w:p>
        </w:tc>
      </w:tr>
      <w:tr w:rsidR="00EA158E" w:rsidRPr="00543AD0" w14:paraId="65A586CB" w14:textId="77777777" w:rsidTr="007B0D81">
        <w:trPr>
          <w:trHeight w:val="510"/>
        </w:trPr>
        <w:tc>
          <w:tcPr>
            <w:tcW w:w="1982" w:type="pct"/>
            <w:tcBorders>
              <w:top w:val="nil"/>
              <w:left w:val="single" w:sz="8" w:space="0" w:color="auto"/>
              <w:bottom w:val="single" w:sz="4" w:space="0" w:color="auto"/>
              <w:right w:val="single" w:sz="4" w:space="0" w:color="auto"/>
            </w:tcBorders>
            <w:shd w:val="clear" w:color="auto" w:fill="auto"/>
            <w:vAlign w:val="bottom"/>
            <w:hideMark/>
          </w:tcPr>
          <w:p w14:paraId="3102E51A"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Activity</w:t>
            </w:r>
          </w:p>
        </w:tc>
        <w:tc>
          <w:tcPr>
            <w:tcW w:w="853" w:type="pct"/>
            <w:tcBorders>
              <w:top w:val="nil"/>
              <w:left w:val="nil"/>
              <w:bottom w:val="single" w:sz="4" w:space="0" w:color="auto"/>
              <w:right w:val="single" w:sz="4" w:space="0" w:color="auto"/>
            </w:tcBorders>
            <w:shd w:val="clear" w:color="000000" w:fill="FFCC99"/>
            <w:noWrap/>
            <w:vAlign w:val="bottom"/>
            <w:hideMark/>
          </w:tcPr>
          <w:p w14:paraId="571BDF33"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xml:space="preserve">                                      1 </w:t>
            </w:r>
          </w:p>
        </w:tc>
        <w:tc>
          <w:tcPr>
            <w:tcW w:w="545" w:type="pct"/>
            <w:gridSpan w:val="3"/>
            <w:tcBorders>
              <w:top w:val="nil"/>
              <w:left w:val="nil"/>
              <w:bottom w:val="single" w:sz="4" w:space="0" w:color="auto"/>
              <w:right w:val="single" w:sz="4" w:space="0" w:color="auto"/>
            </w:tcBorders>
            <w:shd w:val="clear" w:color="000000" w:fill="FFCC99"/>
            <w:noWrap/>
            <w:vAlign w:val="bottom"/>
            <w:hideMark/>
          </w:tcPr>
          <w:p w14:paraId="634E8FAD"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xml:space="preserve">                                7 </w:t>
            </w:r>
          </w:p>
        </w:tc>
        <w:tc>
          <w:tcPr>
            <w:tcW w:w="1620" w:type="pct"/>
            <w:tcBorders>
              <w:top w:val="nil"/>
              <w:left w:val="nil"/>
              <w:bottom w:val="single" w:sz="4" w:space="0" w:color="auto"/>
              <w:right w:val="single" w:sz="8" w:space="0" w:color="auto"/>
            </w:tcBorders>
            <w:shd w:val="clear" w:color="000000" w:fill="FFFFFF"/>
            <w:vAlign w:val="bottom"/>
            <w:hideMark/>
          </w:tcPr>
          <w:p w14:paraId="57EACC1E" w14:textId="77777777" w:rsidR="00EA158E" w:rsidRPr="004622EC" w:rsidRDefault="004622EC" w:rsidP="00EA158E">
            <w:pPr>
              <w:rPr>
                <w:rFonts w:eastAsia="Times New Roman" w:cs="Microsoft Sans Serif"/>
                <w:color w:val="000000"/>
                <w:sz w:val="20"/>
                <w:szCs w:val="20"/>
                <w:lang w:val="en-GB" w:eastAsia="en-GB"/>
              </w:rPr>
            </w:pPr>
            <w:r>
              <w:rPr>
                <w:rFonts w:eastAsia="Times New Roman" w:cs="Microsoft Sans Serif"/>
                <w:color w:val="000000"/>
                <w:sz w:val="20"/>
                <w:szCs w:val="20"/>
                <w:lang w:val="en-GB" w:eastAsia="en-GB"/>
              </w:rPr>
              <w:t>MRV systems for small-</w:t>
            </w:r>
            <w:r w:rsidR="00EA158E" w:rsidRPr="004622EC">
              <w:rPr>
                <w:rFonts w:eastAsia="Times New Roman" w:cs="Microsoft Sans Serif"/>
                <w:color w:val="000000"/>
                <w:sz w:val="20"/>
                <w:szCs w:val="20"/>
                <w:lang w:val="en-GB" w:eastAsia="en-GB"/>
              </w:rPr>
              <w:t>scale urban and rural renewable energy including small wind, PV, biomass, biogas and solar thermal</w:t>
            </w:r>
          </w:p>
        </w:tc>
      </w:tr>
      <w:tr w:rsidR="00EA158E" w:rsidRPr="00543AD0" w14:paraId="76FED06D" w14:textId="77777777" w:rsidTr="007B0D81">
        <w:trPr>
          <w:trHeight w:val="255"/>
        </w:trPr>
        <w:tc>
          <w:tcPr>
            <w:tcW w:w="1982" w:type="pct"/>
            <w:tcBorders>
              <w:top w:val="nil"/>
              <w:left w:val="single" w:sz="8" w:space="0" w:color="auto"/>
              <w:bottom w:val="single" w:sz="4" w:space="0" w:color="auto"/>
              <w:right w:val="single" w:sz="4" w:space="0" w:color="auto"/>
            </w:tcBorders>
            <w:shd w:val="clear" w:color="auto" w:fill="auto"/>
            <w:vAlign w:val="bottom"/>
            <w:hideMark/>
          </w:tcPr>
          <w:p w14:paraId="1A31092B" w14:textId="77777777" w:rsidR="00EA158E" w:rsidRPr="004622EC" w:rsidRDefault="00EA158E" w:rsidP="00EA158E">
            <w:pPr>
              <w:jc w:val="right"/>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Activity</w:t>
            </w:r>
          </w:p>
        </w:tc>
        <w:tc>
          <w:tcPr>
            <w:tcW w:w="853" w:type="pct"/>
            <w:tcBorders>
              <w:top w:val="nil"/>
              <w:left w:val="nil"/>
              <w:bottom w:val="single" w:sz="4" w:space="0" w:color="auto"/>
              <w:right w:val="single" w:sz="4" w:space="0" w:color="auto"/>
            </w:tcBorders>
            <w:shd w:val="clear" w:color="000000" w:fill="FFCC99"/>
            <w:noWrap/>
            <w:vAlign w:val="bottom"/>
            <w:hideMark/>
          </w:tcPr>
          <w:p w14:paraId="66396DEB"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545" w:type="pct"/>
            <w:gridSpan w:val="3"/>
            <w:tcBorders>
              <w:top w:val="nil"/>
              <w:left w:val="nil"/>
              <w:bottom w:val="single" w:sz="4" w:space="0" w:color="auto"/>
              <w:right w:val="single" w:sz="4" w:space="0" w:color="auto"/>
            </w:tcBorders>
            <w:shd w:val="clear" w:color="000000" w:fill="FFCC99"/>
            <w:noWrap/>
            <w:vAlign w:val="bottom"/>
            <w:hideMark/>
          </w:tcPr>
          <w:p w14:paraId="443AAC29"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1620" w:type="pct"/>
            <w:tcBorders>
              <w:top w:val="nil"/>
              <w:left w:val="nil"/>
              <w:bottom w:val="single" w:sz="4" w:space="0" w:color="auto"/>
              <w:right w:val="single" w:sz="8" w:space="0" w:color="auto"/>
            </w:tcBorders>
            <w:shd w:val="clear" w:color="auto" w:fill="auto"/>
            <w:noWrap/>
            <w:vAlign w:val="bottom"/>
            <w:hideMark/>
          </w:tcPr>
          <w:p w14:paraId="19EB67EE"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r w:rsidR="00EA158E" w:rsidRPr="00543AD0" w14:paraId="7476FE3D" w14:textId="77777777" w:rsidTr="007B0D81">
        <w:trPr>
          <w:trHeight w:val="255"/>
        </w:trPr>
        <w:tc>
          <w:tcPr>
            <w:tcW w:w="1982" w:type="pct"/>
            <w:tcBorders>
              <w:top w:val="nil"/>
              <w:left w:val="single" w:sz="8" w:space="0" w:color="auto"/>
              <w:bottom w:val="single" w:sz="4" w:space="0" w:color="auto"/>
              <w:right w:val="single" w:sz="4" w:space="0" w:color="auto"/>
            </w:tcBorders>
            <w:shd w:val="clear" w:color="auto" w:fill="auto"/>
            <w:vAlign w:val="bottom"/>
            <w:hideMark/>
          </w:tcPr>
          <w:p w14:paraId="288EE3EE"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853" w:type="pct"/>
            <w:tcBorders>
              <w:top w:val="nil"/>
              <w:left w:val="nil"/>
              <w:bottom w:val="single" w:sz="4" w:space="0" w:color="auto"/>
              <w:right w:val="single" w:sz="4" w:space="0" w:color="auto"/>
            </w:tcBorders>
            <w:shd w:val="clear" w:color="auto" w:fill="auto"/>
            <w:noWrap/>
            <w:vAlign w:val="bottom"/>
            <w:hideMark/>
          </w:tcPr>
          <w:p w14:paraId="0CCADE88"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545" w:type="pct"/>
            <w:gridSpan w:val="3"/>
            <w:tcBorders>
              <w:top w:val="nil"/>
              <w:left w:val="nil"/>
              <w:bottom w:val="single" w:sz="4" w:space="0" w:color="auto"/>
              <w:right w:val="single" w:sz="4" w:space="0" w:color="auto"/>
            </w:tcBorders>
            <w:shd w:val="clear" w:color="auto" w:fill="auto"/>
            <w:noWrap/>
            <w:vAlign w:val="bottom"/>
            <w:hideMark/>
          </w:tcPr>
          <w:p w14:paraId="5DC7BC4E"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1620" w:type="pct"/>
            <w:tcBorders>
              <w:top w:val="nil"/>
              <w:left w:val="nil"/>
              <w:bottom w:val="single" w:sz="4" w:space="0" w:color="auto"/>
              <w:right w:val="single" w:sz="8" w:space="0" w:color="auto"/>
            </w:tcBorders>
            <w:shd w:val="clear" w:color="auto" w:fill="auto"/>
            <w:noWrap/>
            <w:vAlign w:val="bottom"/>
            <w:hideMark/>
          </w:tcPr>
          <w:p w14:paraId="528FDF51"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r w:rsidR="00EA158E" w:rsidRPr="00543AD0" w14:paraId="667465AF" w14:textId="77777777" w:rsidTr="007B0D81">
        <w:trPr>
          <w:trHeight w:val="1785"/>
        </w:trPr>
        <w:tc>
          <w:tcPr>
            <w:tcW w:w="1982" w:type="pct"/>
            <w:tcBorders>
              <w:top w:val="nil"/>
              <w:left w:val="single" w:sz="8" w:space="0" w:color="auto"/>
              <w:bottom w:val="single" w:sz="4" w:space="0" w:color="auto"/>
              <w:right w:val="single" w:sz="4" w:space="0" w:color="auto"/>
            </w:tcBorders>
            <w:shd w:val="clear" w:color="000000" w:fill="FFC000"/>
            <w:vAlign w:val="bottom"/>
            <w:hideMark/>
          </w:tcPr>
          <w:p w14:paraId="140465DF"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Indicator 11: Degree of strength of financial and market mechanisms for low GHG development</w:t>
            </w:r>
          </w:p>
        </w:tc>
        <w:tc>
          <w:tcPr>
            <w:tcW w:w="853" w:type="pct"/>
            <w:tcBorders>
              <w:top w:val="nil"/>
              <w:left w:val="nil"/>
              <w:bottom w:val="single" w:sz="4" w:space="0" w:color="auto"/>
              <w:right w:val="single" w:sz="4" w:space="0" w:color="auto"/>
            </w:tcBorders>
            <w:shd w:val="clear" w:color="000000" w:fill="FFC000"/>
            <w:vAlign w:val="bottom"/>
            <w:hideMark/>
          </w:tcPr>
          <w:p w14:paraId="07C4CB4C" w14:textId="77777777" w:rsidR="00EA158E" w:rsidRPr="004622EC" w:rsidRDefault="00EA158E" w:rsidP="00EA158E">
            <w:pPr>
              <w:jc w:val="cente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Baseline</w:t>
            </w:r>
            <w:r w:rsidRPr="004622EC">
              <w:rPr>
                <w:rFonts w:eastAsia="Times New Roman" w:cs="Microsoft Sans Serif"/>
                <w:b/>
                <w:bCs/>
                <w:color w:val="000000"/>
                <w:sz w:val="20"/>
                <w:szCs w:val="20"/>
                <w:lang w:val="en-GB" w:eastAsia="en-GB"/>
              </w:rPr>
              <w:br/>
              <w:t>Rating (1-10)</w:t>
            </w:r>
          </w:p>
        </w:tc>
        <w:tc>
          <w:tcPr>
            <w:tcW w:w="545" w:type="pct"/>
            <w:gridSpan w:val="3"/>
            <w:tcBorders>
              <w:top w:val="nil"/>
              <w:left w:val="nil"/>
              <w:bottom w:val="single" w:sz="4" w:space="0" w:color="auto"/>
              <w:right w:val="single" w:sz="4" w:space="0" w:color="auto"/>
            </w:tcBorders>
            <w:shd w:val="clear" w:color="000000" w:fill="FFC000"/>
            <w:vAlign w:val="bottom"/>
            <w:hideMark/>
          </w:tcPr>
          <w:p w14:paraId="23B7C754" w14:textId="77777777" w:rsidR="00EA158E" w:rsidRPr="004622EC" w:rsidRDefault="00EA158E" w:rsidP="00EA158E">
            <w:pPr>
              <w:jc w:val="cente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Target</w:t>
            </w:r>
            <w:r w:rsidRPr="004622EC">
              <w:rPr>
                <w:rFonts w:eastAsia="Times New Roman" w:cs="Microsoft Sans Serif"/>
                <w:b/>
                <w:bCs/>
                <w:color w:val="000000"/>
                <w:sz w:val="20"/>
                <w:szCs w:val="20"/>
                <w:lang w:val="en-GB" w:eastAsia="en-GB"/>
              </w:rPr>
              <w:br/>
              <w:t>Rating (1-10)</w:t>
            </w:r>
          </w:p>
        </w:tc>
        <w:tc>
          <w:tcPr>
            <w:tcW w:w="1620" w:type="pct"/>
            <w:tcBorders>
              <w:top w:val="nil"/>
              <w:left w:val="nil"/>
              <w:bottom w:val="single" w:sz="4" w:space="0" w:color="auto"/>
              <w:right w:val="single" w:sz="8" w:space="0" w:color="auto"/>
            </w:tcBorders>
            <w:shd w:val="clear" w:color="000000" w:fill="FFC000"/>
            <w:vAlign w:val="bottom"/>
            <w:hideMark/>
          </w:tcPr>
          <w:p w14:paraId="5C669524"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 xml:space="preserve">Provide details of the financial mechanisms and identify the sector and the type of low GHG technology or development activity it supports. Baseline indicates current status (pre-project), Target is the rating level that is expected to be achieved due to project support. For guidance for qualitative ratings (in comment) move cursor over box or right click to show comment. </w:t>
            </w:r>
          </w:p>
        </w:tc>
      </w:tr>
      <w:tr w:rsidR="00EA158E" w:rsidRPr="00543AD0" w14:paraId="5105755C" w14:textId="77777777" w:rsidTr="007B0D81">
        <w:trPr>
          <w:trHeight w:val="510"/>
        </w:trPr>
        <w:tc>
          <w:tcPr>
            <w:tcW w:w="1982" w:type="pct"/>
            <w:tcBorders>
              <w:top w:val="nil"/>
              <w:left w:val="single" w:sz="8" w:space="0" w:color="auto"/>
              <w:bottom w:val="single" w:sz="4" w:space="0" w:color="auto"/>
              <w:right w:val="single" w:sz="4" w:space="0" w:color="auto"/>
            </w:tcBorders>
            <w:shd w:val="clear" w:color="000000" w:fill="FFFFFF"/>
            <w:vAlign w:val="bottom"/>
            <w:hideMark/>
          </w:tcPr>
          <w:p w14:paraId="1A6DE216" w14:textId="77777777" w:rsidR="00EA158E" w:rsidRPr="004622EC" w:rsidRDefault="00EA158E" w:rsidP="00EA158E">
            <w:pPr>
              <w:rPr>
                <w:rFonts w:eastAsia="Times New Roman" w:cs="Microsoft Sans Serif"/>
                <w:b/>
                <w:bCs/>
                <w:color w:val="000000"/>
                <w:sz w:val="20"/>
                <w:szCs w:val="20"/>
                <w:lang w:val="en-GB" w:eastAsia="en-GB"/>
              </w:rPr>
            </w:pPr>
            <w:r w:rsidRPr="004622EC">
              <w:rPr>
                <w:rFonts w:eastAsia="Times New Roman" w:cs="Microsoft Sans Serif"/>
                <w:b/>
                <w:bCs/>
                <w:color w:val="000000"/>
                <w:sz w:val="20"/>
                <w:szCs w:val="20"/>
                <w:lang w:val="en-GB" w:eastAsia="en-GB"/>
              </w:rPr>
              <w:t> </w:t>
            </w:r>
          </w:p>
        </w:tc>
        <w:tc>
          <w:tcPr>
            <w:tcW w:w="853" w:type="pct"/>
            <w:tcBorders>
              <w:top w:val="nil"/>
              <w:left w:val="nil"/>
              <w:bottom w:val="single" w:sz="4" w:space="0" w:color="auto"/>
              <w:right w:val="single" w:sz="4" w:space="0" w:color="auto"/>
            </w:tcBorders>
            <w:shd w:val="clear" w:color="000000" w:fill="FFCC99"/>
            <w:noWrap/>
            <w:vAlign w:val="bottom"/>
            <w:hideMark/>
          </w:tcPr>
          <w:p w14:paraId="048734F8"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xml:space="preserve">                                      1 </w:t>
            </w:r>
          </w:p>
        </w:tc>
        <w:tc>
          <w:tcPr>
            <w:tcW w:w="545" w:type="pct"/>
            <w:gridSpan w:val="3"/>
            <w:tcBorders>
              <w:top w:val="nil"/>
              <w:left w:val="nil"/>
              <w:bottom w:val="single" w:sz="4" w:space="0" w:color="auto"/>
              <w:right w:val="single" w:sz="4" w:space="0" w:color="auto"/>
            </w:tcBorders>
            <w:shd w:val="clear" w:color="000000" w:fill="FFCC99"/>
            <w:noWrap/>
            <w:vAlign w:val="bottom"/>
            <w:hideMark/>
          </w:tcPr>
          <w:p w14:paraId="5207D2CD"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xml:space="preserve">                                6 </w:t>
            </w:r>
          </w:p>
        </w:tc>
        <w:tc>
          <w:tcPr>
            <w:tcW w:w="1620" w:type="pct"/>
            <w:tcBorders>
              <w:top w:val="nil"/>
              <w:left w:val="nil"/>
              <w:bottom w:val="single" w:sz="4" w:space="0" w:color="auto"/>
              <w:right w:val="single" w:sz="8" w:space="0" w:color="auto"/>
            </w:tcBorders>
            <w:shd w:val="clear" w:color="000000" w:fill="FFFFFF"/>
            <w:vAlign w:val="bottom"/>
            <w:hideMark/>
          </w:tcPr>
          <w:p w14:paraId="112EF1F8" w14:textId="77777777" w:rsidR="00EA158E" w:rsidRPr="004622EC" w:rsidRDefault="00C953AA" w:rsidP="00EA158E">
            <w:pPr>
              <w:rPr>
                <w:rFonts w:eastAsia="Times New Roman" w:cs="Microsoft Sans Serif"/>
                <w:color w:val="000000"/>
                <w:sz w:val="20"/>
                <w:szCs w:val="20"/>
                <w:lang w:val="en-GB" w:eastAsia="en-GB"/>
              </w:rPr>
            </w:pPr>
            <w:r w:rsidRPr="002B343A">
              <w:rPr>
                <w:rFonts w:eastAsia="Times New Roman" w:cs="Microsoft Sans Serif"/>
                <w:color w:val="000000"/>
                <w:sz w:val="20"/>
                <w:szCs w:val="20"/>
                <w:lang w:val="en-GB" w:eastAsia="en-GB"/>
              </w:rPr>
              <w:t>Financial</w:t>
            </w:r>
            <w:r w:rsidR="00EA158E" w:rsidRPr="004622EC">
              <w:rPr>
                <w:rFonts w:eastAsia="Times New Roman" w:cs="Microsoft Sans Serif"/>
                <w:color w:val="000000"/>
                <w:sz w:val="20"/>
                <w:szCs w:val="20"/>
                <w:lang w:val="en-GB" w:eastAsia="en-GB"/>
              </w:rPr>
              <w:t xml:space="preserve"> mechanism to support on and off-grid small-scale renewable energy in urban and rural areas in Kazakhstan</w:t>
            </w:r>
          </w:p>
        </w:tc>
      </w:tr>
      <w:tr w:rsidR="00EA158E" w:rsidRPr="00543AD0" w14:paraId="146478B3" w14:textId="77777777" w:rsidTr="007B0D81">
        <w:trPr>
          <w:trHeight w:val="255"/>
        </w:trPr>
        <w:tc>
          <w:tcPr>
            <w:tcW w:w="1982" w:type="pct"/>
            <w:tcBorders>
              <w:top w:val="nil"/>
              <w:left w:val="single" w:sz="8" w:space="0" w:color="auto"/>
              <w:bottom w:val="single" w:sz="4" w:space="0" w:color="auto"/>
              <w:right w:val="single" w:sz="4" w:space="0" w:color="auto"/>
            </w:tcBorders>
            <w:shd w:val="clear" w:color="auto" w:fill="auto"/>
            <w:vAlign w:val="bottom"/>
            <w:hideMark/>
          </w:tcPr>
          <w:p w14:paraId="59742216"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853" w:type="pct"/>
            <w:tcBorders>
              <w:top w:val="nil"/>
              <w:left w:val="nil"/>
              <w:bottom w:val="single" w:sz="4" w:space="0" w:color="auto"/>
              <w:right w:val="single" w:sz="4" w:space="0" w:color="auto"/>
            </w:tcBorders>
            <w:shd w:val="clear" w:color="000000" w:fill="FFCC99"/>
            <w:noWrap/>
            <w:vAlign w:val="bottom"/>
            <w:hideMark/>
          </w:tcPr>
          <w:p w14:paraId="574C93C3"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545" w:type="pct"/>
            <w:gridSpan w:val="3"/>
            <w:tcBorders>
              <w:top w:val="nil"/>
              <w:left w:val="nil"/>
              <w:bottom w:val="single" w:sz="4" w:space="0" w:color="auto"/>
              <w:right w:val="single" w:sz="4" w:space="0" w:color="auto"/>
            </w:tcBorders>
            <w:shd w:val="clear" w:color="000000" w:fill="FFCC99"/>
            <w:noWrap/>
            <w:vAlign w:val="bottom"/>
            <w:hideMark/>
          </w:tcPr>
          <w:p w14:paraId="2FCD7DA7"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1620" w:type="pct"/>
            <w:tcBorders>
              <w:top w:val="nil"/>
              <w:left w:val="nil"/>
              <w:bottom w:val="single" w:sz="4" w:space="0" w:color="auto"/>
              <w:right w:val="single" w:sz="8" w:space="0" w:color="auto"/>
            </w:tcBorders>
            <w:shd w:val="clear" w:color="auto" w:fill="auto"/>
            <w:noWrap/>
            <w:vAlign w:val="bottom"/>
            <w:hideMark/>
          </w:tcPr>
          <w:p w14:paraId="795A3306"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r w:rsidR="00EA158E" w:rsidRPr="00543AD0" w14:paraId="57652A1F" w14:textId="77777777" w:rsidTr="007B0D81">
        <w:trPr>
          <w:trHeight w:val="270"/>
        </w:trPr>
        <w:tc>
          <w:tcPr>
            <w:tcW w:w="1982" w:type="pct"/>
            <w:tcBorders>
              <w:top w:val="nil"/>
              <w:left w:val="single" w:sz="8" w:space="0" w:color="auto"/>
              <w:bottom w:val="single" w:sz="8" w:space="0" w:color="auto"/>
              <w:right w:val="single" w:sz="4" w:space="0" w:color="auto"/>
            </w:tcBorders>
            <w:shd w:val="clear" w:color="auto" w:fill="auto"/>
            <w:vAlign w:val="bottom"/>
            <w:hideMark/>
          </w:tcPr>
          <w:p w14:paraId="6D7726E5"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c>
          <w:tcPr>
            <w:tcW w:w="853" w:type="pct"/>
            <w:tcBorders>
              <w:top w:val="nil"/>
              <w:left w:val="nil"/>
              <w:bottom w:val="single" w:sz="8" w:space="0" w:color="auto"/>
              <w:right w:val="single" w:sz="4" w:space="0" w:color="auto"/>
            </w:tcBorders>
            <w:shd w:val="clear" w:color="000000" w:fill="FFFFFF"/>
            <w:noWrap/>
            <w:vAlign w:val="bottom"/>
            <w:hideMark/>
          </w:tcPr>
          <w:p w14:paraId="0F1BFE0E"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545" w:type="pct"/>
            <w:gridSpan w:val="3"/>
            <w:tcBorders>
              <w:top w:val="nil"/>
              <w:left w:val="nil"/>
              <w:bottom w:val="single" w:sz="8" w:space="0" w:color="auto"/>
              <w:right w:val="single" w:sz="4" w:space="0" w:color="auto"/>
            </w:tcBorders>
            <w:shd w:val="clear" w:color="000000" w:fill="FFFFFF"/>
            <w:noWrap/>
            <w:vAlign w:val="bottom"/>
            <w:hideMark/>
          </w:tcPr>
          <w:p w14:paraId="3FEE1110" w14:textId="77777777" w:rsidR="00EA158E" w:rsidRPr="004622EC" w:rsidRDefault="00EA158E" w:rsidP="00EA158E">
            <w:pPr>
              <w:rPr>
                <w:rFonts w:eastAsia="Times New Roman" w:cs="Microsoft Sans Serif"/>
                <w:color w:val="3F3F76"/>
                <w:sz w:val="20"/>
                <w:szCs w:val="20"/>
                <w:lang w:val="en-GB" w:eastAsia="en-GB"/>
              </w:rPr>
            </w:pPr>
            <w:r w:rsidRPr="004622EC">
              <w:rPr>
                <w:rFonts w:eastAsia="Times New Roman" w:cs="Microsoft Sans Serif"/>
                <w:color w:val="3F3F76"/>
                <w:sz w:val="20"/>
                <w:szCs w:val="20"/>
                <w:lang w:val="en-GB" w:eastAsia="en-GB"/>
              </w:rPr>
              <w:t> </w:t>
            </w:r>
          </w:p>
        </w:tc>
        <w:tc>
          <w:tcPr>
            <w:tcW w:w="1620" w:type="pct"/>
            <w:tcBorders>
              <w:top w:val="nil"/>
              <w:left w:val="nil"/>
              <w:bottom w:val="single" w:sz="8" w:space="0" w:color="auto"/>
              <w:right w:val="single" w:sz="8" w:space="0" w:color="auto"/>
            </w:tcBorders>
            <w:shd w:val="clear" w:color="auto" w:fill="auto"/>
            <w:noWrap/>
            <w:vAlign w:val="bottom"/>
            <w:hideMark/>
          </w:tcPr>
          <w:p w14:paraId="2B117293" w14:textId="77777777" w:rsidR="00EA158E" w:rsidRPr="004622EC" w:rsidRDefault="00EA158E" w:rsidP="00EA158E">
            <w:pPr>
              <w:rPr>
                <w:rFonts w:eastAsia="Times New Roman" w:cs="Microsoft Sans Serif"/>
                <w:color w:val="000000"/>
                <w:sz w:val="20"/>
                <w:szCs w:val="20"/>
                <w:lang w:val="en-GB" w:eastAsia="en-GB"/>
              </w:rPr>
            </w:pPr>
            <w:r w:rsidRPr="004622EC">
              <w:rPr>
                <w:rFonts w:eastAsia="Times New Roman" w:cs="Microsoft Sans Serif"/>
                <w:color w:val="000000"/>
                <w:sz w:val="20"/>
                <w:szCs w:val="20"/>
                <w:lang w:val="en-GB" w:eastAsia="en-GB"/>
              </w:rPr>
              <w:t> </w:t>
            </w:r>
          </w:p>
        </w:tc>
      </w:tr>
    </w:tbl>
    <w:p w14:paraId="5F0DD45B" w14:textId="77777777" w:rsidR="00EA158E" w:rsidRPr="00EA158E" w:rsidRDefault="00EA158E" w:rsidP="00EA158E">
      <w:pPr>
        <w:rPr>
          <w:lang w:val="en-GB"/>
        </w:rPr>
        <w:sectPr w:rsidR="00EA158E" w:rsidRPr="00EA158E" w:rsidSect="004622EC">
          <w:footerReference w:type="default" r:id="rId48"/>
          <w:pgSz w:w="16840" w:h="11900" w:orient="landscape" w:code="1"/>
          <w:pgMar w:top="720" w:right="720" w:bottom="720" w:left="720" w:header="720" w:footer="720" w:gutter="0"/>
          <w:cols w:space="720"/>
          <w:docGrid w:linePitch="360"/>
        </w:sectPr>
      </w:pPr>
    </w:p>
    <w:p w14:paraId="309892E2" w14:textId="77777777" w:rsidR="000F3008" w:rsidRPr="004622EC" w:rsidRDefault="000F3008" w:rsidP="004622EC">
      <w:pPr>
        <w:pStyle w:val="2"/>
        <w:numPr>
          <w:ilvl w:val="0"/>
          <w:numId w:val="0"/>
        </w:numPr>
        <w:rPr>
          <w:rFonts w:asciiTheme="majorHAnsi" w:hAnsiTheme="majorHAnsi"/>
        </w:rPr>
      </w:pPr>
      <w:bookmarkStart w:id="122" w:name="_Ref337735653"/>
      <w:bookmarkStart w:id="123" w:name="_Ref476663893"/>
      <w:bookmarkStart w:id="124" w:name="_Toc479693895"/>
      <w:r w:rsidRPr="004622EC">
        <w:rPr>
          <w:rFonts w:asciiTheme="majorHAnsi" w:hAnsiTheme="majorHAnsi"/>
        </w:rPr>
        <w:t xml:space="preserve">Annex </w:t>
      </w:r>
      <w:r w:rsidR="00CA6A37">
        <w:rPr>
          <w:rFonts w:asciiTheme="majorHAnsi" w:hAnsiTheme="majorHAnsi"/>
        </w:rPr>
        <w:t>E</w:t>
      </w:r>
      <w:r w:rsidR="00715B3D">
        <w:rPr>
          <w:rFonts w:asciiTheme="majorHAnsi" w:hAnsiTheme="majorHAnsi"/>
        </w:rPr>
        <w:t>.</w:t>
      </w:r>
      <w:r w:rsidRPr="004622EC" w:rsidDel="003A0D2D">
        <w:rPr>
          <w:rFonts w:asciiTheme="majorHAnsi" w:hAnsiTheme="majorHAnsi"/>
        </w:rPr>
        <w:t xml:space="preserve"> </w:t>
      </w:r>
      <w:r w:rsidRPr="004622EC">
        <w:rPr>
          <w:rFonts w:asciiTheme="majorHAnsi" w:hAnsiTheme="majorHAnsi"/>
        </w:rPr>
        <w:t xml:space="preserve">Terms of </w:t>
      </w:r>
      <w:r w:rsidR="00043685">
        <w:rPr>
          <w:rFonts w:asciiTheme="majorHAnsi" w:hAnsiTheme="majorHAnsi"/>
        </w:rPr>
        <w:t>R</w:t>
      </w:r>
      <w:r w:rsidRPr="004622EC">
        <w:rPr>
          <w:rFonts w:asciiTheme="majorHAnsi" w:hAnsiTheme="majorHAnsi"/>
        </w:rPr>
        <w:t>eference</w:t>
      </w:r>
      <w:r w:rsidR="00043685">
        <w:rPr>
          <w:rFonts w:asciiTheme="majorHAnsi" w:hAnsiTheme="majorHAnsi"/>
        </w:rPr>
        <w:t xml:space="preserve"> for the </w:t>
      </w:r>
      <w:r w:rsidRPr="004622EC">
        <w:rPr>
          <w:rFonts w:asciiTheme="majorHAnsi" w:hAnsiTheme="majorHAnsi"/>
        </w:rPr>
        <w:t>Project Steering Committee</w:t>
      </w:r>
      <w:bookmarkEnd w:id="122"/>
      <w:r w:rsidR="007F0F86">
        <w:rPr>
          <w:rFonts w:asciiTheme="majorHAnsi" w:hAnsiTheme="majorHAnsi"/>
        </w:rPr>
        <w:t>, and Key Project Staff</w:t>
      </w:r>
      <w:bookmarkEnd w:id="123"/>
      <w:bookmarkEnd w:id="124"/>
    </w:p>
    <w:p w14:paraId="6847AA30" w14:textId="77777777" w:rsidR="000F3008" w:rsidRDefault="000F3008" w:rsidP="000F3008">
      <w:pPr>
        <w:rPr>
          <w:b/>
          <w:szCs w:val="20"/>
        </w:rPr>
      </w:pPr>
    </w:p>
    <w:p w14:paraId="2058D539" w14:textId="77777777" w:rsidR="00CA6A37" w:rsidRDefault="007F0F86" w:rsidP="00C9656A">
      <w:r>
        <w:t xml:space="preserve">1. </w:t>
      </w:r>
      <w:r w:rsidR="00CA6A37" w:rsidRPr="007F0F86">
        <w:t>Terms of Reference for the Project Steering Committee</w:t>
      </w:r>
    </w:p>
    <w:p w14:paraId="0AF8A0C3" w14:textId="77777777" w:rsidR="007F0F86" w:rsidRPr="007F0F86" w:rsidRDefault="007F0F86" w:rsidP="000F3008">
      <w:pPr>
        <w:rPr>
          <w:b/>
          <w:szCs w:val="20"/>
        </w:rPr>
      </w:pPr>
    </w:p>
    <w:p w14:paraId="7F3BFD07" w14:textId="77777777" w:rsidR="000F3008" w:rsidRPr="004622EC" w:rsidRDefault="000F3008" w:rsidP="000F3008">
      <w:pPr>
        <w:rPr>
          <w:b/>
          <w:szCs w:val="22"/>
        </w:rPr>
      </w:pPr>
      <w:r w:rsidRPr="004622EC">
        <w:rPr>
          <w:b/>
          <w:szCs w:val="22"/>
        </w:rPr>
        <w:t xml:space="preserve">I. Composition and organization: </w:t>
      </w:r>
    </w:p>
    <w:p w14:paraId="3B66EB7B" w14:textId="77777777" w:rsidR="000F3008" w:rsidRPr="004622EC" w:rsidRDefault="000F3008" w:rsidP="000F3008">
      <w:pPr>
        <w:rPr>
          <w:szCs w:val="22"/>
        </w:rPr>
      </w:pPr>
      <w:r w:rsidRPr="004622EC">
        <w:rPr>
          <w:szCs w:val="22"/>
        </w:rPr>
        <w:t xml:space="preserve">The </w:t>
      </w:r>
      <w:r w:rsidR="007A3BCE">
        <w:rPr>
          <w:szCs w:val="22"/>
        </w:rPr>
        <w:t>Project Steering Committee</w:t>
      </w:r>
      <w:r w:rsidRPr="004622EC">
        <w:rPr>
          <w:szCs w:val="22"/>
        </w:rPr>
        <w:t xml:space="preserve"> contains three roles, including (1) an executive: individual representing the project ownership to chair the group; (2) senior supplier: individual or group representing the interests of the parties concerned which provide funding and/or technical expertise to the project; and (3) senior beneficiary: individual or group of individuals representing the interests of those who will ultimately benefit from the project. </w:t>
      </w:r>
    </w:p>
    <w:p w14:paraId="7664A3EC" w14:textId="77777777" w:rsidR="000F3008" w:rsidRPr="004622EC" w:rsidRDefault="000F3008" w:rsidP="000F3008">
      <w:pPr>
        <w:rPr>
          <w:szCs w:val="22"/>
        </w:rPr>
      </w:pPr>
    </w:p>
    <w:p w14:paraId="0DF19790" w14:textId="77777777" w:rsidR="000F3008" w:rsidRPr="004622EC" w:rsidRDefault="000F3008" w:rsidP="000F3008">
      <w:pPr>
        <w:rPr>
          <w:b/>
          <w:szCs w:val="22"/>
        </w:rPr>
      </w:pPr>
      <w:r w:rsidRPr="004622EC">
        <w:rPr>
          <w:b/>
          <w:szCs w:val="22"/>
        </w:rPr>
        <w:t>II. Specific responsibilities</w:t>
      </w:r>
    </w:p>
    <w:p w14:paraId="0850287D" w14:textId="77777777" w:rsidR="000F3008" w:rsidRPr="004622EC" w:rsidRDefault="000F3008" w:rsidP="000F3008">
      <w:pPr>
        <w:ind w:left="360"/>
        <w:rPr>
          <w:szCs w:val="22"/>
        </w:rPr>
      </w:pPr>
      <w:r w:rsidRPr="004622EC">
        <w:rPr>
          <w:szCs w:val="22"/>
        </w:rPr>
        <w:t>1. Initiating a project:</w:t>
      </w:r>
    </w:p>
    <w:p w14:paraId="062DE73B" w14:textId="77777777" w:rsidR="000F3008" w:rsidRPr="004622EC" w:rsidRDefault="000F3008" w:rsidP="0020322F">
      <w:pPr>
        <w:numPr>
          <w:ilvl w:val="0"/>
          <w:numId w:val="23"/>
        </w:numPr>
        <w:ind w:hanging="180"/>
        <w:rPr>
          <w:szCs w:val="22"/>
        </w:rPr>
      </w:pPr>
      <w:r w:rsidRPr="004622EC">
        <w:rPr>
          <w:szCs w:val="22"/>
        </w:rPr>
        <w:t>Agree on PM’s responsibilities, as well as the responsibilities of the other members of the Project Management team;</w:t>
      </w:r>
    </w:p>
    <w:p w14:paraId="2A0C6F2B" w14:textId="77777777" w:rsidR="000F3008" w:rsidRPr="004622EC" w:rsidRDefault="000F3008" w:rsidP="0020322F">
      <w:pPr>
        <w:numPr>
          <w:ilvl w:val="0"/>
          <w:numId w:val="23"/>
        </w:numPr>
        <w:ind w:hanging="180"/>
        <w:rPr>
          <w:szCs w:val="22"/>
        </w:rPr>
      </w:pPr>
      <w:r w:rsidRPr="004622EC">
        <w:rPr>
          <w:szCs w:val="22"/>
        </w:rPr>
        <w:t>Delegate any Project Assurance function as appropriate;</w:t>
      </w:r>
    </w:p>
    <w:p w14:paraId="3A1188F5" w14:textId="77777777" w:rsidR="000F3008" w:rsidRPr="004622EC" w:rsidRDefault="000F3008" w:rsidP="0020322F">
      <w:pPr>
        <w:numPr>
          <w:ilvl w:val="0"/>
          <w:numId w:val="23"/>
        </w:numPr>
        <w:ind w:hanging="180"/>
        <w:rPr>
          <w:szCs w:val="22"/>
        </w:rPr>
      </w:pPr>
      <w:r w:rsidRPr="004622EC">
        <w:rPr>
          <w:szCs w:val="22"/>
        </w:rPr>
        <w:t>Review and appraise detailed Project Plan and AWP, including Atlas reports covering activity definition, quality criteria, issue log, updated risk log and the monitoring and communication plan.</w:t>
      </w:r>
    </w:p>
    <w:p w14:paraId="4DBFEBA8" w14:textId="77777777" w:rsidR="000F3008" w:rsidRPr="004622EC" w:rsidRDefault="000F3008" w:rsidP="000F3008">
      <w:pPr>
        <w:ind w:left="360"/>
        <w:rPr>
          <w:szCs w:val="22"/>
        </w:rPr>
      </w:pPr>
      <w:r w:rsidRPr="004622EC">
        <w:rPr>
          <w:szCs w:val="22"/>
        </w:rPr>
        <w:t>2. Running a project:</w:t>
      </w:r>
    </w:p>
    <w:p w14:paraId="56C05EE7" w14:textId="77777777" w:rsidR="000F3008" w:rsidRPr="004622EC" w:rsidRDefault="000F3008" w:rsidP="0020322F">
      <w:pPr>
        <w:numPr>
          <w:ilvl w:val="0"/>
          <w:numId w:val="23"/>
        </w:numPr>
        <w:ind w:hanging="180"/>
        <w:rPr>
          <w:rFonts w:cs="Cambria"/>
          <w:i/>
          <w:iCs/>
          <w:spacing w:val="15"/>
          <w:szCs w:val="22"/>
        </w:rPr>
      </w:pPr>
      <w:r w:rsidRPr="004622EC">
        <w:rPr>
          <w:szCs w:val="22"/>
        </w:rPr>
        <w:t>Provide overall guidance and direction to the project, ensuring it remains within any specified constraints;</w:t>
      </w:r>
    </w:p>
    <w:p w14:paraId="2D0599B6" w14:textId="77777777" w:rsidR="000F3008" w:rsidRPr="004622EC" w:rsidRDefault="000F3008" w:rsidP="0020322F">
      <w:pPr>
        <w:numPr>
          <w:ilvl w:val="0"/>
          <w:numId w:val="23"/>
        </w:numPr>
        <w:ind w:hanging="180"/>
        <w:rPr>
          <w:rFonts w:cs="Cambria"/>
          <w:i/>
          <w:iCs/>
          <w:spacing w:val="15"/>
          <w:szCs w:val="22"/>
        </w:rPr>
      </w:pPr>
      <w:r w:rsidRPr="004622EC">
        <w:rPr>
          <w:szCs w:val="22"/>
        </w:rPr>
        <w:t>Address project issues as raised by the Project Manager;</w:t>
      </w:r>
    </w:p>
    <w:p w14:paraId="4AE6B422" w14:textId="77777777" w:rsidR="000F3008" w:rsidRPr="004622EC" w:rsidRDefault="000F3008" w:rsidP="0020322F">
      <w:pPr>
        <w:numPr>
          <w:ilvl w:val="0"/>
          <w:numId w:val="23"/>
        </w:numPr>
        <w:ind w:hanging="180"/>
        <w:rPr>
          <w:rFonts w:cs="Cambria"/>
          <w:i/>
          <w:iCs/>
          <w:spacing w:val="15"/>
          <w:szCs w:val="22"/>
        </w:rPr>
      </w:pPr>
      <w:r w:rsidRPr="004622EC">
        <w:rPr>
          <w:szCs w:val="22"/>
        </w:rPr>
        <w:t>Provide guidance and agree on possible countermeasures/management actions to address specific risks;</w:t>
      </w:r>
    </w:p>
    <w:p w14:paraId="0F994E1A" w14:textId="77777777" w:rsidR="000F3008" w:rsidRPr="004622EC" w:rsidRDefault="000F3008" w:rsidP="0020322F">
      <w:pPr>
        <w:numPr>
          <w:ilvl w:val="0"/>
          <w:numId w:val="23"/>
        </w:numPr>
        <w:ind w:hanging="180"/>
        <w:rPr>
          <w:szCs w:val="22"/>
        </w:rPr>
      </w:pPr>
      <w:r w:rsidRPr="004622EC">
        <w:rPr>
          <w:szCs w:val="22"/>
        </w:rPr>
        <w:t>Agree on Project Manager’s tolerances in the Annual Work Plan and quarterly plans when required;</w:t>
      </w:r>
    </w:p>
    <w:p w14:paraId="0755F572" w14:textId="77777777" w:rsidR="000F3008" w:rsidRPr="004622EC" w:rsidRDefault="000F3008" w:rsidP="0020322F">
      <w:pPr>
        <w:numPr>
          <w:ilvl w:val="0"/>
          <w:numId w:val="23"/>
        </w:numPr>
        <w:ind w:hanging="180"/>
        <w:rPr>
          <w:rFonts w:cs="Cambria"/>
          <w:i/>
          <w:iCs/>
          <w:spacing w:val="15"/>
          <w:szCs w:val="22"/>
        </w:rPr>
      </w:pPr>
      <w:r w:rsidRPr="004622EC">
        <w:rPr>
          <w:szCs w:val="22"/>
        </w:rPr>
        <w:t>Review Combined Delivery Reports (CDR) prior to certification by the Implementing Partner;</w:t>
      </w:r>
    </w:p>
    <w:p w14:paraId="07B5BA29" w14:textId="77777777" w:rsidR="000F3008" w:rsidRPr="004622EC" w:rsidRDefault="000F3008" w:rsidP="0020322F">
      <w:pPr>
        <w:numPr>
          <w:ilvl w:val="0"/>
          <w:numId w:val="23"/>
        </w:numPr>
        <w:ind w:hanging="180"/>
        <w:rPr>
          <w:szCs w:val="22"/>
        </w:rPr>
      </w:pPr>
      <w:r w:rsidRPr="004622EC">
        <w:rPr>
          <w:szCs w:val="22"/>
        </w:rPr>
        <w:t>Appraise the Project Annual Review Report, make recommendations for the next AWP, and inform the Outcome Board about the results of the review.</w:t>
      </w:r>
    </w:p>
    <w:p w14:paraId="61B35CA8" w14:textId="77777777" w:rsidR="000F3008" w:rsidRPr="004622EC" w:rsidRDefault="000F3008" w:rsidP="0020322F">
      <w:pPr>
        <w:numPr>
          <w:ilvl w:val="0"/>
          <w:numId w:val="23"/>
        </w:numPr>
        <w:ind w:hanging="180"/>
        <w:rPr>
          <w:rFonts w:cs="Cambria"/>
          <w:i/>
          <w:iCs/>
          <w:spacing w:val="15"/>
          <w:szCs w:val="22"/>
        </w:rPr>
      </w:pPr>
      <w:r w:rsidRPr="004622EC">
        <w:rPr>
          <w:szCs w:val="22"/>
        </w:rPr>
        <w:t>Review and approve end project report, make recommendations for follow-on actions;</w:t>
      </w:r>
    </w:p>
    <w:p w14:paraId="38F687DA" w14:textId="77777777" w:rsidR="000F3008" w:rsidRPr="004622EC" w:rsidRDefault="000F3008" w:rsidP="0020322F">
      <w:pPr>
        <w:numPr>
          <w:ilvl w:val="0"/>
          <w:numId w:val="23"/>
        </w:numPr>
        <w:ind w:hanging="180"/>
        <w:rPr>
          <w:rFonts w:cs="Cambria"/>
          <w:i/>
          <w:iCs/>
          <w:spacing w:val="15"/>
          <w:szCs w:val="22"/>
        </w:rPr>
      </w:pPr>
      <w:r w:rsidRPr="004622EC">
        <w:rPr>
          <w:szCs w:val="22"/>
        </w:rPr>
        <w:t>Provide ad-hoc direction and advice for exception situations when project manager’s tolerances are exceeded;</w:t>
      </w:r>
    </w:p>
    <w:p w14:paraId="64C68278" w14:textId="77777777" w:rsidR="000F3008" w:rsidRPr="004622EC" w:rsidRDefault="000F3008" w:rsidP="0020322F">
      <w:pPr>
        <w:numPr>
          <w:ilvl w:val="0"/>
          <w:numId w:val="23"/>
        </w:numPr>
        <w:ind w:hanging="180"/>
        <w:rPr>
          <w:rFonts w:cs="Cambria"/>
          <w:i/>
          <w:iCs/>
          <w:spacing w:val="15"/>
          <w:szCs w:val="22"/>
        </w:rPr>
      </w:pPr>
      <w:r w:rsidRPr="004622EC">
        <w:rPr>
          <w:szCs w:val="22"/>
        </w:rPr>
        <w:t>Assess and decide on project changes through revisions;</w:t>
      </w:r>
    </w:p>
    <w:p w14:paraId="2E88325A" w14:textId="77777777" w:rsidR="000F3008" w:rsidRPr="004622EC" w:rsidRDefault="000F3008" w:rsidP="000F3008">
      <w:pPr>
        <w:ind w:left="360"/>
        <w:rPr>
          <w:szCs w:val="22"/>
        </w:rPr>
      </w:pPr>
      <w:r w:rsidRPr="004622EC">
        <w:rPr>
          <w:szCs w:val="22"/>
        </w:rPr>
        <w:t>3. Closing a project:</w:t>
      </w:r>
    </w:p>
    <w:p w14:paraId="3A006ABB" w14:textId="77777777" w:rsidR="000F3008" w:rsidRPr="004622EC" w:rsidRDefault="000F3008" w:rsidP="0020322F">
      <w:pPr>
        <w:numPr>
          <w:ilvl w:val="0"/>
          <w:numId w:val="23"/>
        </w:numPr>
        <w:ind w:hanging="180"/>
        <w:rPr>
          <w:rFonts w:cs="Cambria"/>
          <w:i/>
          <w:iCs/>
          <w:spacing w:val="15"/>
          <w:szCs w:val="22"/>
        </w:rPr>
      </w:pPr>
      <w:r w:rsidRPr="004622EC">
        <w:rPr>
          <w:szCs w:val="22"/>
        </w:rPr>
        <w:t>Assure that all Project deliverables have been produced satisfactorily;</w:t>
      </w:r>
    </w:p>
    <w:p w14:paraId="3D0B5F13" w14:textId="77777777" w:rsidR="000F3008" w:rsidRPr="004622EC" w:rsidRDefault="000F3008" w:rsidP="0020322F">
      <w:pPr>
        <w:numPr>
          <w:ilvl w:val="0"/>
          <w:numId w:val="23"/>
        </w:numPr>
        <w:ind w:hanging="180"/>
        <w:rPr>
          <w:rFonts w:cs="Cambria"/>
          <w:i/>
          <w:iCs/>
          <w:spacing w:val="15"/>
          <w:szCs w:val="22"/>
        </w:rPr>
      </w:pPr>
      <w:r w:rsidRPr="004622EC">
        <w:rPr>
          <w:szCs w:val="22"/>
        </w:rPr>
        <w:t>Review and approve the Final Project Review Report, including Lessons-learned;</w:t>
      </w:r>
    </w:p>
    <w:p w14:paraId="784B3F41" w14:textId="77777777" w:rsidR="000F3008" w:rsidRPr="004622EC" w:rsidRDefault="000F3008" w:rsidP="0020322F">
      <w:pPr>
        <w:numPr>
          <w:ilvl w:val="0"/>
          <w:numId w:val="23"/>
        </w:numPr>
        <w:ind w:hanging="180"/>
        <w:rPr>
          <w:rFonts w:cs="Cambria"/>
          <w:i/>
          <w:iCs/>
          <w:spacing w:val="15"/>
          <w:szCs w:val="22"/>
        </w:rPr>
      </w:pPr>
      <w:r w:rsidRPr="004622EC">
        <w:rPr>
          <w:szCs w:val="22"/>
        </w:rPr>
        <w:t>Make recommendations for follow-on actions to be submitted to the Outcome Board;</w:t>
      </w:r>
    </w:p>
    <w:p w14:paraId="79C69B45" w14:textId="77777777" w:rsidR="000F3008" w:rsidRPr="004622EC" w:rsidRDefault="000F3008" w:rsidP="0020322F">
      <w:pPr>
        <w:numPr>
          <w:ilvl w:val="0"/>
          <w:numId w:val="23"/>
        </w:numPr>
        <w:ind w:hanging="180"/>
        <w:rPr>
          <w:rFonts w:cs="Cambria"/>
          <w:i/>
          <w:iCs/>
          <w:spacing w:val="15"/>
          <w:szCs w:val="22"/>
        </w:rPr>
      </w:pPr>
      <w:r w:rsidRPr="004622EC">
        <w:rPr>
          <w:szCs w:val="22"/>
        </w:rPr>
        <w:t>Commission project evaluation (only when required by partnership agreement)</w:t>
      </w:r>
    </w:p>
    <w:p w14:paraId="533F8D3E" w14:textId="77777777" w:rsidR="000F3008" w:rsidRPr="004622EC" w:rsidRDefault="000F3008" w:rsidP="0020322F">
      <w:pPr>
        <w:numPr>
          <w:ilvl w:val="0"/>
          <w:numId w:val="23"/>
        </w:numPr>
        <w:ind w:hanging="180"/>
        <w:rPr>
          <w:rFonts w:cs="Cambria"/>
          <w:i/>
          <w:iCs/>
          <w:spacing w:val="15"/>
          <w:szCs w:val="22"/>
        </w:rPr>
      </w:pPr>
      <w:r w:rsidRPr="004622EC">
        <w:rPr>
          <w:szCs w:val="22"/>
        </w:rPr>
        <w:t xml:space="preserve">Notify operational completion of the project to the Outcome Board. </w:t>
      </w:r>
    </w:p>
    <w:p w14:paraId="481A6202" w14:textId="77777777" w:rsidR="000F3008" w:rsidRPr="004622EC" w:rsidRDefault="000F3008" w:rsidP="000F3008">
      <w:pPr>
        <w:rPr>
          <w:b/>
          <w:szCs w:val="22"/>
        </w:rPr>
      </w:pPr>
      <w:bookmarkStart w:id="125" w:name="_Toc206563559"/>
    </w:p>
    <w:p w14:paraId="372EC271" w14:textId="77777777" w:rsidR="000F3008" w:rsidRPr="004622EC" w:rsidRDefault="000F3008" w:rsidP="000F3008">
      <w:pPr>
        <w:rPr>
          <w:b/>
          <w:szCs w:val="22"/>
        </w:rPr>
      </w:pPr>
      <w:r w:rsidRPr="004622EC">
        <w:rPr>
          <w:b/>
          <w:szCs w:val="22"/>
        </w:rPr>
        <w:t>III. Executive</w:t>
      </w:r>
      <w:bookmarkEnd w:id="125"/>
    </w:p>
    <w:p w14:paraId="17E6291E" w14:textId="77777777" w:rsidR="000F3008" w:rsidRPr="004622EC" w:rsidRDefault="000F3008" w:rsidP="000F3008">
      <w:pPr>
        <w:rPr>
          <w:szCs w:val="22"/>
        </w:rPr>
      </w:pPr>
      <w:r w:rsidRPr="004622EC">
        <w:rPr>
          <w:szCs w:val="22"/>
        </w:rPr>
        <w:t xml:space="preserve">The Executive is ultimately responsible for the project, supported by the Senior Beneficiary and Senior Supplier. The Executive’s role is to ensure that the project is focused throughout its life cycle on achieving its objectives and delivering outputs that will contribute to higher-level outcomes. The Executive has to ensure that the project gives value for money, ensuring a cost-conscious approach to the project, balancing the demands of beneficiary and supplier. Specific Responsibilities (as part of the above responsibilities for the Project Steering Committee) include: </w:t>
      </w:r>
    </w:p>
    <w:p w14:paraId="73C422FC" w14:textId="77777777" w:rsidR="000F3008" w:rsidRPr="004622EC" w:rsidRDefault="000F3008" w:rsidP="0020322F">
      <w:pPr>
        <w:numPr>
          <w:ilvl w:val="0"/>
          <w:numId w:val="23"/>
        </w:numPr>
        <w:ind w:hanging="180"/>
        <w:rPr>
          <w:rFonts w:cs="Cambria"/>
          <w:i/>
          <w:iCs/>
          <w:spacing w:val="15"/>
          <w:szCs w:val="22"/>
        </w:rPr>
      </w:pPr>
      <w:r w:rsidRPr="004622EC">
        <w:rPr>
          <w:szCs w:val="22"/>
        </w:rPr>
        <w:t>Ensure that there is a coherent project organization structure and logical set of plans</w:t>
      </w:r>
    </w:p>
    <w:p w14:paraId="467F1B80" w14:textId="77777777" w:rsidR="000F3008" w:rsidRPr="004622EC" w:rsidRDefault="000F3008" w:rsidP="0020322F">
      <w:pPr>
        <w:numPr>
          <w:ilvl w:val="0"/>
          <w:numId w:val="23"/>
        </w:numPr>
        <w:ind w:hanging="180"/>
        <w:rPr>
          <w:rFonts w:cs="Cambria"/>
          <w:i/>
          <w:iCs/>
          <w:spacing w:val="15"/>
          <w:szCs w:val="22"/>
        </w:rPr>
      </w:pPr>
      <w:r w:rsidRPr="004622EC">
        <w:rPr>
          <w:szCs w:val="22"/>
        </w:rPr>
        <w:t>Set tolerances in the AWP and other plans as required for the Project Manager</w:t>
      </w:r>
    </w:p>
    <w:p w14:paraId="154EE461" w14:textId="77777777" w:rsidR="000F3008" w:rsidRPr="004622EC" w:rsidRDefault="000F3008" w:rsidP="0020322F">
      <w:pPr>
        <w:numPr>
          <w:ilvl w:val="0"/>
          <w:numId w:val="23"/>
        </w:numPr>
        <w:ind w:hanging="180"/>
        <w:rPr>
          <w:rFonts w:cs="Cambria"/>
          <w:i/>
          <w:iCs/>
          <w:spacing w:val="15"/>
          <w:szCs w:val="22"/>
        </w:rPr>
      </w:pPr>
      <w:r w:rsidRPr="004622EC">
        <w:rPr>
          <w:szCs w:val="22"/>
        </w:rPr>
        <w:t>Monitor and control the progress of the project at a strategic level</w:t>
      </w:r>
    </w:p>
    <w:p w14:paraId="0E9C1FC7" w14:textId="77777777" w:rsidR="000F3008" w:rsidRPr="004622EC" w:rsidRDefault="000F3008" w:rsidP="0020322F">
      <w:pPr>
        <w:numPr>
          <w:ilvl w:val="0"/>
          <w:numId w:val="23"/>
        </w:numPr>
        <w:ind w:hanging="180"/>
        <w:rPr>
          <w:rFonts w:cs="Cambria"/>
          <w:i/>
          <w:iCs/>
          <w:spacing w:val="15"/>
          <w:szCs w:val="22"/>
        </w:rPr>
      </w:pPr>
      <w:r w:rsidRPr="004622EC">
        <w:rPr>
          <w:szCs w:val="22"/>
        </w:rPr>
        <w:t>Ensure that risks are being tracked and mitigated as effectively as possible</w:t>
      </w:r>
    </w:p>
    <w:p w14:paraId="167BD429" w14:textId="77777777" w:rsidR="000F3008" w:rsidRPr="004622EC" w:rsidRDefault="000F3008" w:rsidP="0020322F">
      <w:pPr>
        <w:numPr>
          <w:ilvl w:val="0"/>
          <w:numId w:val="23"/>
        </w:numPr>
        <w:ind w:hanging="180"/>
        <w:rPr>
          <w:rFonts w:cs="Cambria"/>
          <w:i/>
          <w:iCs/>
          <w:spacing w:val="15"/>
          <w:szCs w:val="22"/>
        </w:rPr>
      </w:pPr>
      <w:r w:rsidRPr="004622EC">
        <w:rPr>
          <w:szCs w:val="22"/>
        </w:rPr>
        <w:t>Brief Outcome Board and relevant stakeholders about project progress</w:t>
      </w:r>
    </w:p>
    <w:p w14:paraId="2786EB95" w14:textId="77777777" w:rsidR="000F3008" w:rsidRPr="004622EC" w:rsidRDefault="000F3008" w:rsidP="0020322F">
      <w:pPr>
        <w:numPr>
          <w:ilvl w:val="0"/>
          <w:numId w:val="23"/>
        </w:numPr>
        <w:ind w:hanging="180"/>
        <w:rPr>
          <w:rFonts w:cs="Cambria"/>
          <w:i/>
          <w:iCs/>
          <w:spacing w:val="15"/>
          <w:szCs w:val="22"/>
        </w:rPr>
      </w:pPr>
      <w:r w:rsidRPr="004622EC">
        <w:rPr>
          <w:szCs w:val="22"/>
        </w:rPr>
        <w:t xml:space="preserve">Organize and chair Project </w:t>
      </w:r>
      <w:r w:rsidR="007A3BCE">
        <w:rPr>
          <w:szCs w:val="22"/>
        </w:rPr>
        <w:t xml:space="preserve">Steering Committee </w:t>
      </w:r>
      <w:r w:rsidRPr="004622EC">
        <w:rPr>
          <w:szCs w:val="22"/>
        </w:rPr>
        <w:t>meetings</w:t>
      </w:r>
      <w:r w:rsidR="007A3BCE">
        <w:rPr>
          <w:szCs w:val="22"/>
        </w:rPr>
        <w:t>.</w:t>
      </w:r>
    </w:p>
    <w:p w14:paraId="7E087FED" w14:textId="77777777" w:rsidR="000F3008" w:rsidRPr="004622EC" w:rsidRDefault="000F3008" w:rsidP="000F3008">
      <w:pPr>
        <w:ind w:left="720"/>
        <w:rPr>
          <w:rFonts w:cs="Cambria"/>
          <w:i/>
          <w:iCs/>
          <w:spacing w:val="15"/>
          <w:szCs w:val="22"/>
        </w:rPr>
      </w:pPr>
    </w:p>
    <w:p w14:paraId="2720AE45" w14:textId="77777777" w:rsidR="000F3008" w:rsidRPr="004622EC" w:rsidRDefault="000F3008" w:rsidP="004622EC">
      <w:pPr>
        <w:keepNext/>
        <w:keepLines/>
        <w:rPr>
          <w:b/>
          <w:szCs w:val="22"/>
        </w:rPr>
      </w:pPr>
      <w:bookmarkStart w:id="126" w:name="_Toc206563560"/>
      <w:r w:rsidRPr="004622EC">
        <w:rPr>
          <w:b/>
          <w:szCs w:val="22"/>
        </w:rPr>
        <w:t>IV. Senior Beneficiary</w:t>
      </w:r>
      <w:bookmarkEnd w:id="126"/>
    </w:p>
    <w:p w14:paraId="2BCA5A9E" w14:textId="77777777" w:rsidR="000F3008" w:rsidRPr="004622EC" w:rsidRDefault="000F3008" w:rsidP="000F3008">
      <w:pPr>
        <w:rPr>
          <w:szCs w:val="22"/>
        </w:rPr>
      </w:pPr>
      <w:r w:rsidRPr="004622EC">
        <w:rPr>
          <w:szCs w:val="22"/>
        </w:rPr>
        <w:t xml:space="preserve">The Senior Beneficiary is responsible for validating the needs and for monitoring that the solution will meet those needs within the constraints of the project. This role represents the interests of all those who will benefit from the project, or those for whom the deliverables resulting from activities will achieve specific output targets.  The Senior Beneficiary role monitors progress against targets and quality criteria. Specific Responsibilities (as part of the above responsibilities for the Project </w:t>
      </w:r>
      <w:r w:rsidR="007A3BCE">
        <w:rPr>
          <w:szCs w:val="22"/>
        </w:rPr>
        <w:t>Steering Committee</w:t>
      </w:r>
      <w:r w:rsidRPr="004622EC">
        <w:rPr>
          <w:szCs w:val="22"/>
        </w:rPr>
        <w:t>) include:</w:t>
      </w:r>
    </w:p>
    <w:p w14:paraId="0D03392A" w14:textId="77777777" w:rsidR="000F3008" w:rsidRPr="004622EC" w:rsidRDefault="000F3008" w:rsidP="0020322F">
      <w:pPr>
        <w:numPr>
          <w:ilvl w:val="0"/>
          <w:numId w:val="23"/>
        </w:numPr>
        <w:ind w:hanging="180"/>
        <w:rPr>
          <w:rFonts w:cs="Cambria"/>
          <w:i/>
          <w:iCs/>
          <w:spacing w:val="15"/>
          <w:szCs w:val="22"/>
        </w:rPr>
      </w:pPr>
      <w:r w:rsidRPr="004622EC">
        <w:rPr>
          <w:szCs w:val="22"/>
        </w:rPr>
        <w:t>Ensure the expected output(s) and related activities of the project are well defined</w:t>
      </w:r>
    </w:p>
    <w:p w14:paraId="4FB4CAF6" w14:textId="77777777" w:rsidR="000F3008" w:rsidRPr="004622EC" w:rsidRDefault="000F3008" w:rsidP="0020322F">
      <w:pPr>
        <w:numPr>
          <w:ilvl w:val="0"/>
          <w:numId w:val="23"/>
        </w:numPr>
        <w:ind w:hanging="180"/>
        <w:rPr>
          <w:rFonts w:cs="Cambria"/>
          <w:i/>
          <w:iCs/>
          <w:spacing w:val="15"/>
          <w:szCs w:val="22"/>
        </w:rPr>
      </w:pPr>
      <w:r w:rsidRPr="004622EC">
        <w:rPr>
          <w:szCs w:val="22"/>
        </w:rPr>
        <w:t>Make sure that progress towards the outputs required by the beneficiaries remains consistent from the beneficiary perspective</w:t>
      </w:r>
    </w:p>
    <w:p w14:paraId="65DB1CE0" w14:textId="77777777" w:rsidR="000F3008" w:rsidRPr="004622EC" w:rsidRDefault="000F3008" w:rsidP="0020322F">
      <w:pPr>
        <w:numPr>
          <w:ilvl w:val="0"/>
          <w:numId w:val="23"/>
        </w:numPr>
        <w:ind w:hanging="180"/>
        <w:rPr>
          <w:rFonts w:cs="Cambria"/>
          <w:i/>
          <w:iCs/>
          <w:spacing w:val="15"/>
          <w:szCs w:val="22"/>
        </w:rPr>
      </w:pPr>
      <w:r w:rsidRPr="004622EC">
        <w:rPr>
          <w:szCs w:val="22"/>
        </w:rPr>
        <w:t>Promote and maintain focus on the expected project output(s)</w:t>
      </w:r>
    </w:p>
    <w:p w14:paraId="21EFB197" w14:textId="77777777" w:rsidR="000F3008" w:rsidRPr="004622EC" w:rsidRDefault="000F3008" w:rsidP="0020322F">
      <w:pPr>
        <w:numPr>
          <w:ilvl w:val="0"/>
          <w:numId w:val="23"/>
        </w:numPr>
        <w:ind w:hanging="180"/>
        <w:rPr>
          <w:rFonts w:cs="Cambria"/>
          <w:i/>
          <w:iCs/>
          <w:spacing w:val="15"/>
          <w:szCs w:val="22"/>
        </w:rPr>
      </w:pPr>
      <w:r w:rsidRPr="004622EC">
        <w:rPr>
          <w:szCs w:val="22"/>
        </w:rPr>
        <w:t xml:space="preserve">Prioritize and contribute beneficiaries’ opinions on </w:t>
      </w:r>
      <w:r w:rsidR="007A3BCE">
        <w:rPr>
          <w:szCs w:val="22"/>
        </w:rPr>
        <w:t>Project Steering Committee</w:t>
      </w:r>
      <w:r w:rsidRPr="004622EC">
        <w:rPr>
          <w:szCs w:val="22"/>
        </w:rPr>
        <w:t xml:space="preserve"> decisions on whether to implement recommendations on proposed changes</w:t>
      </w:r>
    </w:p>
    <w:p w14:paraId="037CBD22" w14:textId="77777777" w:rsidR="000F3008" w:rsidRPr="004622EC" w:rsidRDefault="000F3008" w:rsidP="0020322F">
      <w:pPr>
        <w:numPr>
          <w:ilvl w:val="0"/>
          <w:numId w:val="23"/>
        </w:numPr>
        <w:ind w:hanging="180"/>
        <w:rPr>
          <w:rFonts w:cs="Cambria"/>
          <w:i/>
          <w:iCs/>
          <w:spacing w:val="15"/>
          <w:szCs w:val="22"/>
        </w:rPr>
      </w:pPr>
      <w:r w:rsidRPr="004622EC">
        <w:rPr>
          <w:szCs w:val="22"/>
        </w:rPr>
        <w:t>Resolve priority conflicts</w:t>
      </w:r>
    </w:p>
    <w:p w14:paraId="63707B92" w14:textId="77777777" w:rsidR="000F3008" w:rsidRPr="004622EC" w:rsidRDefault="000F3008" w:rsidP="000F3008">
      <w:pPr>
        <w:rPr>
          <w:szCs w:val="22"/>
        </w:rPr>
      </w:pPr>
      <w:r w:rsidRPr="004622EC">
        <w:rPr>
          <w:szCs w:val="22"/>
        </w:rPr>
        <w:t>The assurance responsibilities of the Senior Beneficiary are to check that:</w:t>
      </w:r>
    </w:p>
    <w:p w14:paraId="6D416F0C" w14:textId="77777777" w:rsidR="000F3008" w:rsidRPr="004622EC" w:rsidRDefault="000F3008" w:rsidP="0020322F">
      <w:pPr>
        <w:numPr>
          <w:ilvl w:val="0"/>
          <w:numId w:val="23"/>
        </w:numPr>
        <w:ind w:hanging="180"/>
        <w:rPr>
          <w:rFonts w:cs="Cambria"/>
          <w:i/>
          <w:iCs/>
          <w:spacing w:val="15"/>
          <w:szCs w:val="22"/>
        </w:rPr>
      </w:pPr>
      <w:r w:rsidRPr="004622EC">
        <w:rPr>
          <w:szCs w:val="22"/>
        </w:rPr>
        <w:t>Specification of the Beneficiary’s needs is accurate, complete and unambiguous</w:t>
      </w:r>
    </w:p>
    <w:p w14:paraId="024E057E" w14:textId="77777777" w:rsidR="000F3008" w:rsidRPr="004622EC" w:rsidRDefault="000F3008" w:rsidP="0020322F">
      <w:pPr>
        <w:numPr>
          <w:ilvl w:val="0"/>
          <w:numId w:val="23"/>
        </w:numPr>
        <w:ind w:hanging="180"/>
        <w:rPr>
          <w:rFonts w:cs="Cambria"/>
          <w:i/>
          <w:iCs/>
          <w:spacing w:val="15"/>
          <w:szCs w:val="22"/>
        </w:rPr>
      </w:pPr>
      <w:r w:rsidRPr="004622EC">
        <w:rPr>
          <w:szCs w:val="22"/>
        </w:rPr>
        <w:t>Implementation of activities at all stages is monitored to ensure that they will meet the beneficiary’s needs and are progressing towards that target</w:t>
      </w:r>
    </w:p>
    <w:p w14:paraId="06355612" w14:textId="77777777" w:rsidR="000F3008" w:rsidRPr="004622EC" w:rsidRDefault="000F3008" w:rsidP="0020322F">
      <w:pPr>
        <w:numPr>
          <w:ilvl w:val="0"/>
          <w:numId w:val="23"/>
        </w:numPr>
        <w:ind w:hanging="180"/>
        <w:rPr>
          <w:rFonts w:cs="Cambria"/>
          <w:i/>
          <w:iCs/>
          <w:spacing w:val="15"/>
          <w:szCs w:val="22"/>
        </w:rPr>
      </w:pPr>
      <w:r w:rsidRPr="004622EC">
        <w:rPr>
          <w:szCs w:val="22"/>
        </w:rPr>
        <w:t>Impact of potential changes is evaluated from the beneficiary point of view</w:t>
      </w:r>
    </w:p>
    <w:p w14:paraId="473392DC" w14:textId="77777777" w:rsidR="000F3008" w:rsidRPr="004622EC" w:rsidRDefault="000F3008" w:rsidP="0020322F">
      <w:pPr>
        <w:numPr>
          <w:ilvl w:val="0"/>
          <w:numId w:val="23"/>
        </w:numPr>
        <w:ind w:hanging="180"/>
        <w:rPr>
          <w:rFonts w:cs="Cambria"/>
          <w:i/>
          <w:iCs/>
          <w:spacing w:val="15"/>
          <w:szCs w:val="22"/>
        </w:rPr>
      </w:pPr>
      <w:r w:rsidRPr="004622EC">
        <w:rPr>
          <w:szCs w:val="22"/>
        </w:rPr>
        <w:t>Risks to the beneficiaries are frequently monitored</w:t>
      </w:r>
    </w:p>
    <w:p w14:paraId="2095D3BD" w14:textId="77777777" w:rsidR="000F3008" w:rsidRPr="004622EC" w:rsidRDefault="000F3008" w:rsidP="000F3008">
      <w:pPr>
        <w:ind w:left="720"/>
        <w:rPr>
          <w:rFonts w:cs="Cambria"/>
          <w:i/>
          <w:iCs/>
          <w:spacing w:val="15"/>
          <w:szCs w:val="22"/>
        </w:rPr>
      </w:pPr>
    </w:p>
    <w:p w14:paraId="2EE8AB57" w14:textId="77777777" w:rsidR="000F3008" w:rsidRPr="004622EC" w:rsidRDefault="000F3008" w:rsidP="000F3008">
      <w:pPr>
        <w:rPr>
          <w:b/>
          <w:szCs w:val="22"/>
        </w:rPr>
      </w:pPr>
      <w:bookmarkStart w:id="127" w:name="_Toc206563561"/>
      <w:r w:rsidRPr="004622EC">
        <w:rPr>
          <w:b/>
          <w:szCs w:val="22"/>
        </w:rPr>
        <w:t>V. Senior Supplier</w:t>
      </w:r>
      <w:bookmarkEnd w:id="127"/>
    </w:p>
    <w:p w14:paraId="2F01EC7E" w14:textId="77777777" w:rsidR="000F3008" w:rsidRPr="004622EC" w:rsidRDefault="000F3008" w:rsidP="000F3008">
      <w:pPr>
        <w:rPr>
          <w:szCs w:val="22"/>
        </w:rPr>
      </w:pPr>
      <w:r w:rsidRPr="004622EC">
        <w:rPr>
          <w:szCs w:val="22"/>
        </w:rPr>
        <w:t xml:space="preserve">The Senior Supplier represents the interests of the parties, which provide funding and/or technical expertise to the project (designing, developing, facilitating, procuring, implementing). The Senior Supplier’s primary function within the </w:t>
      </w:r>
      <w:r w:rsidR="007A3BCE">
        <w:rPr>
          <w:szCs w:val="22"/>
        </w:rPr>
        <w:t>Project Steering Committee</w:t>
      </w:r>
      <w:r w:rsidRPr="004622EC">
        <w:rPr>
          <w:szCs w:val="22"/>
        </w:rPr>
        <w:t xml:space="preserve"> is to provide guidance regarding the technical feasibility of the project. The Senior Supplier role must have the authority to commit or acquire supplier resources required. Specific Responsibilities (as part of the above responsibilities for the Project </w:t>
      </w:r>
      <w:r w:rsidR="007A3BCE">
        <w:rPr>
          <w:szCs w:val="22"/>
        </w:rPr>
        <w:t>Steering Committee</w:t>
      </w:r>
      <w:r w:rsidRPr="004622EC">
        <w:rPr>
          <w:szCs w:val="22"/>
        </w:rPr>
        <w:t>) include:</w:t>
      </w:r>
    </w:p>
    <w:p w14:paraId="77DA66FA" w14:textId="77777777" w:rsidR="000F3008" w:rsidRPr="004622EC" w:rsidRDefault="000F3008" w:rsidP="0020322F">
      <w:pPr>
        <w:numPr>
          <w:ilvl w:val="0"/>
          <w:numId w:val="23"/>
        </w:numPr>
        <w:ind w:hanging="180"/>
        <w:rPr>
          <w:rFonts w:cs="Cambria"/>
          <w:i/>
          <w:iCs/>
          <w:spacing w:val="15"/>
          <w:szCs w:val="22"/>
        </w:rPr>
      </w:pPr>
      <w:r w:rsidRPr="004622EC">
        <w:rPr>
          <w:szCs w:val="22"/>
        </w:rPr>
        <w:t>Make sure that progress towards the outputs remains consistent from the supplier perspective</w:t>
      </w:r>
    </w:p>
    <w:p w14:paraId="10AD706C" w14:textId="77777777" w:rsidR="000F3008" w:rsidRPr="004622EC" w:rsidRDefault="000F3008" w:rsidP="0020322F">
      <w:pPr>
        <w:numPr>
          <w:ilvl w:val="0"/>
          <w:numId w:val="23"/>
        </w:numPr>
        <w:ind w:hanging="180"/>
        <w:rPr>
          <w:rFonts w:cs="Cambria"/>
          <w:i/>
          <w:iCs/>
          <w:spacing w:val="15"/>
          <w:szCs w:val="22"/>
        </w:rPr>
      </w:pPr>
      <w:r w:rsidRPr="004622EC">
        <w:rPr>
          <w:szCs w:val="22"/>
        </w:rPr>
        <w:t>Promote and maintain focus on the expected project output(s) from the point of view of supplier management</w:t>
      </w:r>
    </w:p>
    <w:p w14:paraId="68BE8C6A" w14:textId="77777777" w:rsidR="000F3008" w:rsidRPr="004622EC" w:rsidRDefault="000F3008" w:rsidP="0020322F">
      <w:pPr>
        <w:numPr>
          <w:ilvl w:val="0"/>
          <w:numId w:val="23"/>
        </w:numPr>
        <w:ind w:hanging="180"/>
        <w:rPr>
          <w:rFonts w:cs="Cambria"/>
          <w:i/>
          <w:iCs/>
          <w:spacing w:val="15"/>
          <w:szCs w:val="22"/>
        </w:rPr>
      </w:pPr>
      <w:r w:rsidRPr="004622EC">
        <w:rPr>
          <w:szCs w:val="22"/>
        </w:rPr>
        <w:t>Ensure that the supplier resources required for the project are made available</w:t>
      </w:r>
    </w:p>
    <w:p w14:paraId="711DACA6" w14:textId="77777777" w:rsidR="000F3008" w:rsidRPr="004622EC" w:rsidRDefault="000F3008" w:rsidP="0020322F">
      <w:pPr>
        <w:numPr>
          <w:ilvl w:val="0"/>
          <w:numId w:val="23"/>
        </w:numPr>
        <w:ind w:hanging="180"/>
        <w:rPr>
          <w:rFonts w:cs="Cambria"/>
          <w:i/>
          <w:iCs/>
          <w:spacing w:val="15"/>
          <w:szCs w:val="22"/>
        </w:rPr>
      </w:pPr>
      <w:r w:rsidRPr="004622EC">
        <w:rPr>
          <w:szCs w:val="22"/>
        </w:rPr>
        <w:t xml:space="preserve">Contribute supplier opinions on Project </w:t>
      </w:r>
      <w:r w:rsidR="007A3BCE">
        <w:rPr>
          <w:szCs w:val="22"/>
        </w:rPr>
        <w:t>Steering Committee</w:t>
      </w:r>
      <w:r w:rsidRPr="004622EC">
        <w:rPr>
          <w:szCs w:val="22"/>
        </w:rPr>
        <w:t xml:space="preserve"> decisions on whether to implement recommendations on proposed changes</w:t>
      </w:r>
    </w:p>
    <w:p w14:paraId="1A755CF6" w14:textId="77777777" w:rsidR="000F3008" w:rsidRPr="004622EC" w:rsidRDefault="000F3008" w:rsidP="0020322F">
      <w:pPr>
        <w:numPr>
          <w:ilvl w:val="0"/>
          <w:numId w:val="23"/>
        </w:numPr>
        <w:ind w:hanging="180"/>
        <w:rPr>
          <w:rFonts w:cs="Cambria"/>
          <w:i/>
          <w:iCs/>
          <w:spacing w:val="15"/>
          <w:szCs w:val="22"/>
        </w:rPr>
      </w:pPr>
      <w:r w:rsidRPr="004622EC">
        <w:rPr>
          <w:szCs w:val="22"/>
        </w:rPr>
        <w:t>Arbitrate on, and ensure resolution of, any supplier priority or resource conflicts</w:t>
      </w:r>
    </w:p>
    <w:p w14:paraId="237BF833" w14:textId="77777777" w:rsidR="000F3008" w:rsidRPr="004622EC" w:rsidRDefault="000F3008" w:rsidP="000F3008">
      <w:pPr>
        <w:rPr>
          <w:szCs w:val="22"/>
        </w:rPr>
      </w:pPr>
      <w:r w:rsidRPr="004622EC">
        <w:rPr>
          <w:szCs w:val="22"/>
        </w:rPr>
        <w:t>The supplier assurance role responsibilities are to:</w:t>
      </w:r>
    </w:p>
    <w:p w14:paraId="65ED8428" w14:textId="77777777" w:rsidR="000F3008" w:rsidRPr="004622EC" w:rsidRDefault="000F3008" w:rsidP="0020322F">
      <w:pPr>
        <w:numPr>
          <w:ilvl w:val="0"/>
          <w:numId w:val="23"/>
        </w:numPr>
        <w:ind w:hanging="180"/>
        <w:rPr>
          <w:rFonts w:cs="Cambria"/>
          <w:i/>
          <w:iCs/>
          <w:spacing w:val="15"/>
          <w:szCs w:val="22"/>
        </w:rPr>
      </w:pPr>
      <w:r w:rsidRPr="004622EC">
        <w:rPr>
          <w:szCs w:val="22"/>
        </w:rPr>
        <w:t>Advise on the selection of strategy, design and methods to carry out project activities</w:t>
      </w:r>
    </w:p>
    <w:p w14:paraId="63F3E53F" w14:textId="77777777" w:rsidR="000F3008" w:rsidRPr="004622EC" w:rsidRDefault="000F3008" w:rsidP="0020322F">
      <w:pPr>
        <w:numPr>
          <w:ilvl w:val="0"/>
          <w:numId w:val="23"/>
        </w:numPr>
        <w:ind w:hanging="180"/>
        <w:rPr>
          <w:rFonts w:cs="Cambria"/>
          <w:i/>
          <w:iCs/>
          <w:spacing w:val="15"/>
          <w:szCs w:val="22"/>
        </w:rPr>
      </w:pPr>
      <w:r w:rsidRPr="004622EC">
        <w:rPr>
          <w:szCs w:val="22"/>
        </w:rPr>
        <w:t>Ensure that any standards defined for the project are met and used to good effect</w:t>
      </w:r>
    </w:p>
    <w:p w14:paraId="1EAE7F40" w14:textId="77777777" w:rsidR="000F3008" w:rsidRPr="004622EC" w:rsidRDefault="000F3008" w:rsidP="0020322F">
      <w:pPr>
        <w:numPr>
          <w:ilvl w:val="0"/>
          <w:numId w:val="23"/>
        </w:numPr>
        <w:ind w:hanging="180"/>
        <w:rPr>
          <w:rFonts w:cs="Cambria"/>
          <w:i/>
          <w:iCs/>
          <w:spacing w:val="15"/>
          <w:szCs w:val="22"/>
        </w:rPr>
      </w:pPr>
      <w:r w:rsidRPr="004622EC">
        <w:rPr>
          <w:szCs w:val="22"/>
        </w:rPr>
        <w:t>Monitor potential changes and their impact on the quality of deliverables from a supplier perspective</w:t>
      </w:r>
    </w:p>
    <w:p w14:paraId="27547A2A" w14:textId="77777777" w:rsidR="000F3008" w:rsidRPr="004622EC" w:rsidRDefault="000F3008" w:rsidP="0020322F">
      <w:pPr>
        <w:numPr>
          <w:ilvl w:val="0"/>
          <w:numId w:val="23"/>
        </w:numPr>
        <w:ind w:hanging="180"/>
        <w:rPr>
          <w:rFonts w:cs="Cambria"/>
          <w:i/>
          <w:iCs/>
          <w:spacing w:val="15"/>
          <w:szCs w:val="22"/>
        </w:rPr>
      </w:pPr>
      <w:r w:rsidRPr="004622EC">
        <w:rPr>
          <w:szCs w:val="22"/>
        </w:rPr>
        <w:t>Monitor any risks in the implementation aspects of the project</w:t>
      </w:r>
    </w:p>
    <w:p w14:paraId="6EDF74C6" w14:textId="77777777" w:rsidR="000F3008" w:rsidRPr="002033D3" w:rsidRDefault="000F3008" w:rsidP="000F3008">
      <w:pPr>
        <w:rPr>
          <w:b/>
          <w:iCs/>
          <w:smallCaps/>
          <w:szCs w:val="20"/>
        </w:rPr>
      </w:pPr>
    </w:p>
    <w:p w14:paraId="0D8FAFC4" w14:textId="77777777" w:rsidR="000F3008" w:rsidRDefault="000F3008" w:rsidP="000F3008">
      <w:pPr>
        <w:rPr>
          <w:rFonts w:cs="Times"/>
          <w:b/>
          <w:bCs/>
        </w:rPr>
      </w:pPr>
      <w:r>
        <w:rPr>
          <w:rFonts w:cs="Times"/>
          <w:b/>
          <w:bCs/>
        </w:rPr>
        <w:br w:type="page"/>
      </w:r>
    </w:p>
    <w:p w14:paraId="5C56B1F7" w14:textId="77777777" w:rsidR="007F0F86" w:rsidRPr="00445AE7" w:rsidRDefault="007F0F86" w:rsidP="00445AE7">
      <w:pPr>
        <w:pStyle w:val="afb"/>
        <w:ind w:left="360"/>
        <w:rPr>
          <w:rFonts w:ascii="Calibri" w:hAnsi="Calibri"/>
          <w:b/>
        </w:rPr>
      </w:pPr>
      <w:bookmarkStart w:id="128" w:name="_Ref333246186"/>
      <w:r w:rsidRPr="007F0F86">
        <w:rPr>
          <w:rFonts w:ascii="Calibri" w:hAnsi="Calibri"/>
          <w:b/>
        </w:rPr>
        <w:t xml:space="preserve">2. </w:t>
      </w:r>
      <w:bookmarkStart w:id="129" w:name="_Toc360630109"/>
      <w:bookmarkEnd w:id="128"/>
      <w:r w:rsidRPr="007F0F86">
        <w:rPr>
          <w:rFonts w:ascii="Calibri" w:hAnsi="Calibri"/>
          <w:b/>
        </w:rPr>
        <w:t xml:space="preserve">Terms of Reference for the </w:t>
      </w:r>
      <w:r w:rsidR="000F3008" w:rsidRPr="007F0F86">
        <w:rPr>
          <w:rFonts w:ascii="Calibri" w:hAnsi="Calibri"/>
          <w:b/>
        </w:rPr>
        <w:t>Project Manager</w:t>
      </w:r>
      <w:bookmarkEnd w:id="129"/>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620"/>
        <w:gridCol w:w="6480"/>
      </w:tblGrid>
      <w:tr w:rsidR="000F3008" w:rsidRPr="00656534" w14:paraId="761BEE8F" w14:textId="77777777" w:rsidTr="004622EC">
        <w:tc>
          <w:tcPr>
            <w:tcW w:w="10908" w:type="dxa"/>
            <w:gridSpan w:val="3"/>
            <w:shd w:val="clear" w:color="auto" w:fill="E0E0E0"/>
          </w:tcPr>
          <w:p w14:paraId="04F640AD" w14:textId="77777777" w:rsidR="000F3008" w:rsidRPr="00FD551A" w:rsidRDefault="000F3008" w:rsidP="0020322F">
            <w:pPr>
              <w:pStyle w:val="afb"/>
              <w:numPr>
                <w:ilvl w:val="0"/>
                <w:numId w:val="26"/>
              </w:numPr>
              <w:rPr>
                <w:rFonts w:ascii="Calibri" w:hAnsi="Calibri"/>
                <w:b/>
                <w:bCs/>
                <w:sz w:val="20"/>
                <w:szCs w:val="20"/>
              </w:rPr>
            </w:pPr>
            <w:r w:rsidRPr="00FD551A">
              <w:rPr>
                <w:rFonts w:ascii="Calibri" w:hAnsi="Calibri"/>
                <w:b/>
                <w:bCs/>
                <w:sz w:val="20"/>
                <w:szCs w:val="20"/>
              </w:rPr>
              <w:t>Position Information</w:t>
            </w:r>
          </w:p>
        </w:tc>
      </w:tr>
      <w:tr w:rsidR="000F3008" w:rsidRPr="00656534" w14:paraId="4FFC88B1" w14:textId="77777777" w:rsidTr="004622EC">
        <w:tc>
          <w:tcPr>
            <w:tcW w:w="4428" w:type="dxa"/>
            <w:gridSpan w:val="2"/>
          </w:tcPr>
          <w:p w14:paraId="289BC941" w14:textId="77777777" w:rsidR="000F3008" w:rsidRPr="00195DC7" w:rsidRDefault="000F3008" w:rsidP="00473D26">
            <w:pPr>
              <w:spacing w:before="60"/>
              <w:rPr>
                <w:sz w:val="20"/>
                <w:szCs w:val="20"/>
              </w:rPr>
            </w:pPr>
            <w:r w:rsidRPr="00195DC7">
              <w:rPr>
                <w:sz w:val="20"/>
                <w:szCs w:val="20"/>
              </w:rPr>
              <w:t xml:space="preserve">Position Title: </w:t>
            </w:r>
          </w:p>
          <w:p w14:paraId="7B848C44" w14:textId="77777777" w:rsidR="000F3008" w:rsidRPr="00195DC7" w:rsidRDefault="000F3008" w:rsidP="00473D26">
            <w:pPr>
              <w:spacing w:before="60"/>
              <w:rPr>
                <w:sz w:val="20"/>
                <w:szCs w:val="20"/>
              </w:rPr>
            </w:pPr>
            <w:r w:rsidRPr="00195DC7">
              <w:rPr>
                <w:sz w:val="20"/>
                <w:szCs w:val="20"/>
              </w:rPr>
              <w:t>SC range:</w:t>
            </w:r>
          </w:p>
          <w:p w14:paraId="2705FBC0" w14:textId="77777777" w:rsidR="000F3008" w:rsidRPr="00195DC7" w:rsidRDefault="000F3008" w:rsidP="00473D26">
            <w:pPr>
              <w:spacing w:before="60"/>
              <w:rPr>
                <w:sz w:val="20"/>
                <w:szCs w:val="20"/>
              </w:rPr>
            </w:pPr>
            <w:r w:rsidRPr="00195DC7">
              <w:rPr>
                <w:sz w:val="20"/>
                <w:szCs w:val="20"/>
              </w:rPr>
              <w:t xml:space="preserve">Project Title/Department: </w:t>
            </w:r>
          </w:p>
          <w:p w14:paraId="2B97AFB8" w14:textId="77777777" w:rsidR="000F3008" w:rsidRPr="00195DC7" w:rsidRDefault="000F3008" w:rsidP="00473D26">
            <w:pPr>
              <w:spacing w:before="60"/>
              <w:rPr>
                <w:sz w:val="20"/>
                <w:szCs w:val="20"/>
              </w:rPr>
            </w:pPr>
            <w:r w:rsidRPr="00195DC7">
              <w:rPr>
                <w:sz w:val="20"/>
                <w:szCs w:val="20"/>
              </w:rPr>
              <w:t>Duration of the service:</w:t>
            </w:r>
          </w:p>
          <w:p w14:paraId="753CFDCF" w14:textId="77777777" w:rsidR="000F3008" w:rsidRPr="00195DC7" w:rsidRDefault="000F3008" w:rsidP="00473D26">
            <w:pPr>
              <w:spacing w:before="60"/>
              <w:rPr>
                <w:sz w:val="20"/>
                <w:szCs w:val="20"/>
              </w:rPr>
            </w:pPr>
            <w:r w:rsidRPr="00195DC7">
              <w:rPr>
                <w:sz w:val="20"/>
                <w:szCs w:val="20"/>
              </w:rPr>
              <w:t>Work status</w:t>
            </w:r>
            <w:r w:rsidR="00656534" w:rsidRPr="00195DC7">
              <w:rPr>
                <w:sz w:val="20"/>
                <w:szCs w:val="20"/>
              </w:rPr>
              <w:t>:</w:t>
            </w:r>
          </w:p>
          <w:p w14:paraId="3FE1D17B" w14:textId="77777777" w:rsidR="000F3008" w:rsidRPr="00195DC7" w:rsidRDefault="000F3008" w:rsidP="00473D26">
            <w:pPr>
              <w:spacing w:before="60"/>
              <w:rPr>
                <w:sz w:val="20"/>
                <w:szCs w:val="20"/>
              </w:rPr>
            </w:pPr>
            <w:r w:rsidRPr="00195DC7">
              <w:rPr>
                <w:sz w:val="20"/>
                <w:szCs w:val="20"/>
              </w:rPr>
              <w:t>Reports To:</w:t>
            </w:r>
          </w:p>
        </w:tc>
        <w:tc>
          <w:tcPr>
            <w:tcW w:w="6480" w:type="dxa"/>
          </w:tcPr>
          <w:p w14:paraId="552E2915" w14:textId="77777777" w:rsidR="000F3008" w:rsidRPr="00195DC7" w:rsidRDefault="000F3008" w:rsidP="00473D26">
            <w:pPr>
              <w:rPr>
                <w:sz w:val="20"/>
                <w:szCs w:val="20"/>
              </w:rPr>
            </w:pPr>
            <w:r w:rsidRPr="00195DC7">
              <w:rPr>
                <w:sz w:val="20"/>
                <w:szCs w:val="20"/>
              </w:rPr>
              <w:t xml:space="preserve">Project Manager </w:t>
            </w:r>
          </w:p>
          <w:p w14:paraId="66EAFCD1" w14:textId="77777777" w:rsidR="000F3008" w:rsidRPr="00195DC7" w:rsidRDefault="000F3008" w:rsidP="00473D26">
            <w:pPr>
              <w:rPr>
                <w:sz w:val="20"/>
                <w:szCs w:val="20"/>
              </w:rPr>
            </w:pPr>
            <w:r w:rsidRPr="00195DC7">
              <w:rPr>
                <w:sz w:val="20"/>
                <w:szCs w:val="20"/>
              </w:rPr>
              <w:t>S</w:t>
            </w:r>
            <w:r w:rsidR="0036451C" w:rsidRPr="00195DC7">
              <w:rPr>
                <w:sz w:val="20"/>
                <w:szCs w:val="20"/>
              </w:rPr>
              <w:t>B-4</w:t>
            </w:r>
          </w:p>
          <w:p w14:paraId="5FF1D73C" w14:textId="77777777" w:rsidR="000F3008" w:rsidRPr="00195DC7" w:rsidRDefault="000F3008" w:rsidP="00473D26">
            <w:pPr>
              <w:rPr>
                <w:sz w:val="20"/>
                <w:szCs w:val="20"/>
              </w:rPr>
            </w:pPr>
            <w:r w:rsidRPr="00195DC7">
              <w:rPr>
                <w:sz w:val="20"/>
                <w:szCs w:val="20"/>
              </w:rPr>
              <w:t>Derisking Renewable Energy Investment in Kazakhstan/Renewable Energy Unit</w:t>
            </w:r>
          </w:p>
          <w:p w14:paraId="5BDAF58F" w14:textId="77777777" w:rsidR="000F3008" w:rsidRPr="00195DC7" w:rsidRDefault="000F3008" w:rsidP="00473D26">
            <w:pPr>
              <w:rPr>
                <w:sz w:val="20"/>
                <w:szCs w:val="20"/>
              </w:rPr>
            </w:pPr>
            <w:r w:rsidRPr="00195DC7">
              <w:rPr>
                <w:sz w:val="20"/>
                <w:szCs w:val="20"/>
              </w:rPr>
              <w:t>1 year (with possible extension subject to satisfactory performance)</w:t>
            </w:r>
          </w:p>
          <w:p w14:paraId="7A0B43D7" w14:textId="77777777" w:rsidR="000F3008" w:rsidRPr="00195DC7" w:rsidRDefault="000F3008" w:rsidP="00473D26">
            <w:pPr>
              <w:rPr>
                <w:sz w:val="20"/>
                <w:szCs w:val="20"/>
              </w:rPr>
            </w:pPr>
            <w:r w:rsidRPr="00195DC7">
              <w:rPr>
                <w:sz w:val="20"/>
                <w:szCs w:val="20"/>
              </w:rPr>
              <w:t>Full-time</w:t>
            </w:r>
          </w:p>
          <w:p w14:paraId="1D368798" w14:textId="77777777" w:rsidR="000F3008" w:rsidRPr="00195DC7" w:rsidRDefault="000F3008" w:rsidP="00473D26">
            <w:pPr>
              <w:rPr>
                <w:sz w:val="20"/>
                <w:szCs w:val="20"/>
              </w:rPr>
            </w:pPr>
            <w:r w:rsidRPr="00195DC7">
              <w:rPr>
                <w:sz w:val="20"/>
                <w:szCs w:val="20"/>
              </w:rPr>
              <w:t>UNDP Programme Officer</w:t>
            </w:r>
          </w:p>
        </w:tc>
      </w:tr>
      <w:tr w:rsidR="000F3008" w:rsidRPr="00656534" w14:paraId="069C7B43" w14:textId="77777777" w:rsidTr="004622EC">
        <w:tblPrEx>
          <w:shd w:val="clear" w:color="auto" w:fill="E0E0E0"/>
        </w:tblPrEx>
        <w:tc>
          <w:tcPr>
            <w:tcW w:w="10908" w:type="dxa"/>
            <w:gridSpan w:val="3"/>
            <w:tcBorders>
              <w:bottom w:val="single" w:sz="4" w:space="0" w:color="auto"/>
            </w:tcBorders>
            <w:shd w:val="clear" w:color="auto" w:fill="E0E0E0"/>
          </w:tcPr>
          <w:p w14:paraId="2614CA2A" w14:textId="77777777" w:rsidR="000F3008" w:rsidRPr="004622EC" w:rsidRDefault="000F3008" w:rsidP="00473D26">
            <w:pPr>
              <w:rPr>
                <w:b/>
                <w:sz w:val="20"/>
                <w:szCs w:val="20"/>
              </w:rPr>
            </w:pPr>
            <w:r w:rsidRPr="004622EC">
              <w:rPr>
                <w:b/>
                <w:sz w:val="20"/>
                <w:szCs w:val="20"/>
              </w:rPr>
              <w:t xml:space="preserve">II. Background </w:t>
            </w:r>
          </w:p>
        </w:tc>
      </w:tr>
      <w:tr w:rsidR="000F3008" w:rsidRPr="00656534" w14:paraId="4FA9B9C7" w14:textId="77777777" w:rsidTr="004622EC">
        <w:tblPrEx>
          <w:shd w:val="clear" w:color="auto" w:fill="E0E0E0"/>
        </w:tblPrEx>
        <w:tc>
          <w:tcPr>
            <w:tcW w:w="10908" w:type="dxa"/>
            <w:gridSpan w:val="3"/>
          </w:tcPr>
          <w:p w14:paraId="3C317030" w14:textId="77777777" w:rsidR="000F3008" w:rsidRPr="004622EC" w:rsidRDefault="000F3008" w:rsidP="004622EC">
            <w:pPr>
              <w:spacing w:before="120" w:after="120"/>
              <w:rPr>
                <w:sz w:val="20"/>
                <w:szCs w:val="20"/>
              </w:rPr>
            </w:pPr>
            <w:r w:rsidRPr="004622EC">
              <w:rPr>
                <w:sz w:val="20"/>
                <w:szCs w:val="20"/>
              </w:rPr>
              <w:t xml:space="preserve">Under the supervision of UNDP Kazakhstan, </w:t>
            </w:r>
            <w:r w:rsidR="00656534">
              <w:rPr>
                <w:sz w:val="20"/>
                <w:szCs w:val="20"/>
              </w:rPr>
              <w:t xml:space="preserve">the </w:t>
            </w:r>
            <w:r w:rsidRPr="004622EC">
              <w:rPr>
                <w:sz w:val="20"/>
                <w:szCs w:val="20"/>
              </w:rPr>
              <w:t>Project Manager (PM) manages the project implementation is responsible for overall assurance of the project</w:t>
            </w:r>
          </w:p>
        </w:tc>
      </w:tr>
      <w:tr w:rsidR="000F3008" w:rsidRPr="00656534" w14:paraId="30D4BCCF" w14:textId="77777777" w:rsidTr="004622EC">
        <w:tblPrEx>
          <w:shd w:val="clear" w:color="auto" w:fill="E0E0E0"/>
        </w:tblPrEx>
        <w:tc>
          <w:tcPr>
            <w:tcW w:w="10908" w:type="dxa"/>
            <w:gridSpan w:val="3"/>
            <w:shd w:val="clear" w:color="auto" w:fill="E0E0E0"/>
          </w:tcPr>
          <w:p w14:paraId="3D48E70D" w14:textId="77777777" w:rsidR="000F3008" w:rsidRPr="004622EC" w:rsidRDefault="000F3008" w:rsidP="00473D26">
            <w:pPr>
              <w:rPr>
                <w:b/>
                <w:sz w:val="20"/>
                <w:szCs w:val="20"/>
              </w:rPr>
            </w:pPr>
            <w:r w:rsidRPr="004622EC">
              <w:rPr>
                <w:b/>
                <w:sz w:val="20"/>
                <w:szCs w:val="20"/>
              </w:rPr>
              <w:t xml:space="preserve">III. Functions / Key Outputs Expected </w:t>
            </w:r>
          </w:p>
        </w:tc>
      </w:tr>
      <w:tr w:rsidR="000F3008" w:rsidRPr="00656534" w14:paraId="171A5EE0" w14:textId="77777777" w:rsidTr="004622EC">
        <w:tblPrEx>
          <w:shd w:val="clear" w:color="auto" w:fill="E0E0E0"/>
        </w:tblPrEx>
        <w:tc>
          <w:tcPr>
            <w:tcW w:w="10908" w:type="dxa"/>
            <w:gridSpan w:val="3"/>
          </w:tcPr>
          <w:p w14:paraId="6C5C17EE" w14:textId="77777777" w:rsidR="000F3008" w:rsidRPr="004622EC" w:rsidRDefault="000F3008" w:rsidP="00473D26">
            <w:pPr>
              <w:rPr>
                <w:sz w:val="20"/>
                <w:szCs w:val="20"/>
              </w:rPr>
            </w:pPr>
            <w:r w:rsidRPr="004622EC">
              <w:rPr>
                <w:b/>
                <w:sz w:val="20"/>
                <w:szCs w:val="20"/>
              </w:rPr>
              <w:t>Specific Responsibilities</w:t>
            </w:r>
          </w:p>
          <w:p w14:paraId="240EF149" w14:textId="77777777" w:rsidR="000F3008" w:rsidRPr="004622EC" w:rsidRDefault="000F3008" w:rsidP="0020322F">
            <w:pPr>
              <w:numPr>
                <w:ilvl w:val="0"/>
                <w:numId w:val="37"/>
              </w:numPr>
              <w:rPr>
                <w:sz w:val="20"/>
                <w:szCs w:val="20"/>
              </w:rPr>
            </w:pPr>
            <w:r w:rsidRPr="004622EC">
              <w:rPr>
                <w:sz w:val="20"/>
                <w:szCs w:val="20"/>
              </w:rPr>
              <w:t>Ensure that there is a coherent project organization structure and logical set of plans</w:t>
            </w:r>
          </w:p>
          <w:p w14:paraId="6C4B3FAE" w14:textId="77777777" w:rsidR="000F3008" w:rsidRPr="004622EC" w:rsidRDefault="000F3008" w:rsidP="0020322F">
            <w:pPr>
              <w:numPr>
                <w:ilvl w:val="0"/>
                <w:numId w:val="37"/>
              </w:numPr>
              <w:rPr>
                <w:sz w:val="20"/>
                <w:szCs w:val="20"/>
              </w:rPr>
            </w:pPr>
            <w:r w:rsidRPr="004622EC">
              <w:rPr>
                <w:sz w:val="20"/>
                <w:szCs w:val="20"/>
              </w:rPr>
              <w:t xml:space="preserve">Approve and sign basic project and financial documents and other plans as required </w:t>
            </w:r>
          </w:p>
          <w:p w14:paraId="1DD6DEF7" w14:textId="77777777" w:rsidR="000F3008" w:rsidRPr="004622EC" w:rsidRDefault="000F3008" w:rsidP="0020322F">
            <w:pPr>
              <w:numPr>
                <w:ilvl w:val="0"/>
                <w:numId w:val="37"/>
              </w:numPr>
              <w:rPr>
                <w:sz w:val="20"/>
                <w:szCs w:val="20"/>
              </w:rPr>
            </w:pPr>
            <w:r w:rsidRPr="004622EC">
              <w:rPr>
                <w:sz w:val="20"/>
                <w:szCs w:val="20"/>
              </w:rPr>
              <w:t>Monitor and control the progress of the project at a strategic level</w:t>
            </w:r>
          </w:p>
          <w:p w14:paraId="57345ACF" w14:textId="77777777" w:rsidR="000F3008" w:rsidRPr="004622EC" w:rsidRDefault="000F3008" w:rsidP="0020322F">
            <w:pPr>
              <w:numPr>
                <w:ilvl w:val="0"/>
                <w:numId w:val="37"/>
              </w:numPr>
              <w:rPr>
                <w:sz w:val="20"/>
                <w:szCs w:val="20"/>
              </w:rPr>
            </w:pPr>
            <w:r w:rsidRPr="004622EC">
              <w:rPr>
                <w:sz w:val="20"/>
                <w:szCs w:val="20"/>
              </w:rPr>
              <w:t>Ensure that risks are being tracked and mitigated as effectively as possible</w:t>
            </w:r>
          </w:p>
          <w:p w14:paraId="0E8C9011" w14:textId="77777777" w:rsidR="000F3008" w:rsidRPr="004622EC" w:rsidRDefault="000F3008" w:rsidP="0020322F">
            <w:pPr>
              <w:numPr>
                <w:ilvl w:val="0"/>
                <w:numId w:val="37"/>
              </w:numPr>
              <w:rPr>
                <w:sz w:val="20"/>
                <w:szCs w:val="20"/>
              </w:rPr>
            </w:pPr>
            <w:r w:rsidRPr="004622EC">
              <w:rPr>
                <w:sz w:val="20"/>
                <w:szCs w:val="20"/>
              </w:rPr>
              <w:t xml:space="preserve">Brief Project Steering </w:t>
            </w:r>
            <w:r w:rsidR="00C953AA" w:rsidRPr="002B343A">
              <w:rPr>
                <w:sz w:val="20"/>
                <w:szCs w:val="20"/>
              </w:rPr>
              <w:t>Committee (</w:t>
            </w:r>
            <w:r w:rsidRPr="004622EC">
              <w:rPr>
                <w:sz w:val="20"/>
                <w:szCs w:val="20"/>
              </w:rPr>
              <w:t>PSC) and relevant stakeholders about project progress</w:t>
            </w:r>
          </w:p>
          <w:p w14:paraId="417F9FFC" w14:textId="77777777" w:rsidR="000F3008" w:rsidRPr="004622EC" w:rsidRDefault="000F3008" w:rsidP="0020322F">
            <w:pPr>
              <w:numPr>
                <w:ilvl w:val="0"/>
                <w:numId w:val="37"/>
              </w:numPr>
              <w:rPr>
                <w:sz w:val="20"/>
                <w:szCs w:val="20"/>
              </w:rPr>
            </w:pPr>
            <w:r w:rsidRPr="004622EC">
              <w:rPr>
                <w:sz w:val="20"/>
                <w:szCs w:val="20"/>
              </w:rPr>
              <w:t>Organize and chair Project Steering Committee meetings</w:t>
            </w:r>
          </w:p>
          <w:p w14:paraId="58296F25" w14:textId="77777777" w:rsidR="000F3008" w:rsidRPr="004622EC" w:rsidRDefault="000F3008" w:rsidP="00473D26">
            <w:pPr>
              <w:spacing w:before="120"/>
              <w:rPr>
                <w:b/>
                <w:sz w:val="20"/>
                <w:szCs w:val="20"/>
              </w:rPr>
            </w:pPr>
            <w:r w:rsidRPr="004622EC">
              <w:rPr>
                <w:b/>
                <w:sz w:val="20"/>
                <w:szCs w:val="20"/>
              </w:rPr>
              <w:t>Running the project</w:t>
            </w:r>
          </w:p>
          <w:p w14:paraId="4899CE29" w14:textId="77777777" w:rsidR="000F3008" w:rsidRPr="004622EC" w:rsidRDefault="000F3008" w:rsidP="0020322F">
            <w:pPr>
              <w:numPr>
                <w:ilvl w:val="0"/>
                <w:numId w:val="24"/>
              </w:numPr>
              <w:rPr>
                <w:sz w:val="20"/>
                <w:szCs w:val="20"/>
              </w:rPr>
            </w:pPr>
            <w:r w:rsidRPr="004622EC">
              <w:rPr>
                <w:sz w:val="20"/>
                <w:szCs w:val="20"/>
              </w:rPr>
              <w:t xml:space="preserve">Plan the activities of the project and monitor progress against the initial quality criteria; </w:t>
            </w:r>
          </w:p>
          <w:p w14:paraId="4F86CE10" w14:textId="77777777" w:rsidR="000F3008" w:rsidRPr="004622EC" w:rsidRDefault="000F3008" w:rsidP="0020322F">
            <w:pPr>
              <w:numPr>
                <w:ilvl w:val="0"/>
                <w:numId w:val="24"/>
              </w:numPr>
              <w:rPr>
                <w:sz w:val="20"/>
                <w:szCs w:val="20"/>
              </w:rPr>
            </w:pPr>
            <w:r w:rsidRPr="004622EC">
              <w:rPr>
                <w:sz w:val="20"/>
                <w:szCs w:val="20"/>
              </w:rPr>
              <w:t xml:space="preserve">Mobilize goods and services to initiative activities, including drafting TORs and work specifications; </w:t>
            </w:r>
          </w:p>
          <w:p w14:paraId="019C2D7C" w14:textId="77777777" w:rsidR="000F3008" w:rsidRPr="004622EC" w:rsidRDefault="000F3008" w:rsidP="0020322F">
            <w:pPr>
              <w:numPr>
                <w:ilvl w:val="0"/>
                <w:numId w:val="24"/>
              </w:numPr>
              <w:rPr>
                <w:sz w:val="20"/>
                <w:szCs w:val="20"/>
              </w:rPr>
            </w:pPr>
            <w:r w:rsidRPr="004622EC">
              <w:rPr>
                <w:sz w:val="20"/>
                <w:szCs w:val="20"/>
              </w:rPr>
              <w:t>Manage requests for the provision of financial resources by UNDP, using advance of funds, direct payments, or reimbursement using the IPSAS;</w:t>
            </w:r>
          </w:p>
          <w:p w14:paraId="5F899036" w14:textId="77777777" w:rsidR="000F3008" w:rsidRPr="004622EC" w:rsidRDefault="000F3008" w:rsidP="0020322F">
            <w:pPr>
              <w:numPr>
                <w:ilvl w:val="0"/>
                <w:numId w:val="24"/>
              </w:numPr>
              <w:rPr>
                <w:sz w:val="20"/>
                <w:szCs w:val="20"/>
              </w:rPr>
            </w:pPr>
            <w:r w:rsidRPr="004622EC">
              <w:rPr>
                <w:sz w:val="20"/>
                <w:szCs w:val="20"/>
              </w:rPr>
              <w:t xml:space="preserve">Manage and monitor the project risks as initially identified in the Project Document, submit new risks to PSC for consideration and decision on possible actions if required; update the status of these risks by maintaining the Project Risks Log; </w:t>
            </w:r>
          </w:p>
          <w:p w14:paraId="3B6E613A" w14:textId="77777777" w:rsidR="000F3008" w:rsidRPr="004622EC" w:rsidRDefault="000F3008" w:rsidP="0020322F">
            <w:pPr>
              <w:numPr>
                <w:ilvl w:val="0"/>
                <w:numId w:val="24"/>
              </w:numPr>
              <w:rPr>
                <w:sz w:val="20"/>
                <w:szCs w:val="20"/>
              </w:rPr>
            </w:pPr>
            <w:r w:rsidRPr="004622EC">
              <w:rPr>
                <w:sz w:val="20"/>
                <w:szCs w:val="20"/>
              </w:rPr>
              <w:t>Be responsible for managing issues and requests for change by maintaining an Issues Log;</w:t>
            </w:r>
          </w:p>
          <w:p w14:paraId="1494CBCF" w14:textId="77777777" w:rsidR="000F3008" w:rsidRPr="004622EC" w:rsidRDefault="000F3008" w:rsidP="0020322F">
            <w:pPr>
              <w:numPr>
                <w:ilvl w:val="0"/>
                <w:numId w:val="24"/>
              </w:numPr>
              <w:rPr>
                <w:sz w:val="20"/>
                <w:szCs w:val="20"/>
              </w:rPr>
            </w:pPr>
            <w:r w:rsidRPr="004622EC">
              <w:rPr>
                <w:sz w:val="20"/>
                <w:szCs w:val="20"/>
              </w:rPr>
              <w:t xml:space="preserve">Prepare the Quarterly Project Report (progress against planned activities, update on Risks and Issues, expenditures in UNDP format) and Quarterly Operational Report and submit the reports to the Project Assurance team; </w:t>
            </w:r>
          </w:p>
          <w:p w14:paraId="2B5B8098" w14:textId="77777777" w:rsidR="000F3008" w:rsidRPr="004622EC" w:rsidRDefault="000F3008" w:rsidP="0020322F">
            <w:pPr>
              <w:numPr>
                <w:ilvl w:val="0"/>
                <w:numId w:val="27"/>
              </w:numPr>
              <w:rPr>
                <w:sz w:val="20"/>
                <w:szCs w:val="20"/>
              </w:rPr>
            </w:pPr>
            <w:r w:rsidRPr="004622EC">
              <w:rPr>
                <w:sz w:val="20"/>
                <w:szCs w:val="20"/>
              </w:rPr>
              <w:t>Prepare the Annual Review Report (UNDP format) and Project Implementation Report (GEF format) and submit reports to the Project Assurance team and GEF; based on the ARR, prepare the Annual Work Plan (AWP) and Annual Plan of Activities and Procurement Plan for the project years;</w:t>
            </w:r>
          </w:p>
          <w:p w14:paraId="70610A21" w14:textId="77777777" w:rsidR="000F3008" w:rsidRPr="004622EC" w:rsidRDefault="000F3008" w:rsidP="0020322F">
            <w:pPr>
              <w:numPr>
                <w:ilvl w:val="0"/>
                <w:numId w:val="24"/>
              </w:numPr>
              <w:rPr>
                <w:sz w:val="20"/>
                <w:szCs w:val="20"/>
              </w:rPr>
            </w:pPr>
            <w:r w:rsidRPr="004622EC">
              <w:rPr>
                <w:sz w:val="20"/>
                <w:szCs w:val="20"/>
              </w:rPr>
              <w:t>Monitors the implementation of project components, analyses problems that hamper their implementation and takes appropriate measures to ensure timely delivery of required inputs and achievement of project-wide results;</w:t>
            </w:r>
          </w:p>
          <w:p w14:paraId="55CE75B2" w14:textId="77777777" w:rsidR="000F3008" w:rsidRPr="004622EC" w:rsidRDefault="000F3008" w:rsidP="0020322F">
            <w:pPr>
              <w:numPr>
                <w:ilvl w:val="0"/>
                <w:numId w:val="24"/>
              </w:numPr>
              <w:rPr>
                <w:sz w:val="20"/>
                <w:szCs w:val="20"/>
              </w:rPr>
            </w:pPr>
            <w:r w:rsidRPr="004622EC">
              <w:rPr>
                <w:sz w:val="20"/>
                <w:szCs w:val="20"/>
              </w:rPr>
              <w:t>Monitor financial resources and accounting to ensure accuracy and reliability of financial reports, including proper utilization of funds and delivery, budget revisions, availability of funds, reconciliation of accounts, establishment of internal control mechanisms. Acts as a focal point to liaise with auditors and ensures follow-up actions. Ensures the accuracy and reliability of financial information and reporting;</w:t>
            </w:r>
          </w:p>
          <w:p w14:paraId="6C86021B" w14:textId="77777777" w:rsidR="000F3008" w:rsidRPr="004622EC" w:rsidRDefault="000F3008" w:rsidP="0020322F">
            <w:pPr>
              <w:numPr>
                <w:ilvl w:val="0"/>
                <w:numId w:val="24"/>
              </w:numPr>
              <w:rPr>
                <w:sz w:val="20"/>
                <w:szCs w:val="20"/>
              </w:rPr>
            </w:pPr>
            <w:r w:rsidRPr="004622EC">
              <w:rPr>
                <w:sz w:val="20"/>
                <w:szCs w:val="20"/>
              </w:rPr>
              <w:t>Sign annual CDRs with UNDP and the Implementing Partner national agency;</w:t>
            </w:r>
          </w:p>
          <w:p w14:paraId="6C0BBAD8" w14:textId="77777777" w:rsidR="000F3008" w:rsidRPr="004622EC" w:rsidRDefault="000F3008" w:rsidP="0020322F">
            <w:pPr>
              <w:numPr>
                <w:ilvl w:val="0"/>
                <w:numId w:val="24"/>
              </w:numPr>
              <w:rPr>
                <w:sz w:val="20"/>
                <w:szCs w:val="20"/>
              </w:rPr>
            </w:pPr>
            <w:r w:rsidRPr="004622EC">
              <w:rPr>
                <w:sz w:val="20"/>
                <w:szCs w:val="20"/>
              </w:rPr>
              <w:t xml:space="preserve">Monitors and facilitates advocacy and mass media outreach activities, </w:t>
            </w:r>
            <w:r w:rsidR="00C953AA" w:rsidRPr="002B343A">
              <w:rPr>
                <w:sz w:val="20"/>
                <w:szCs w:val="20"/>
              </w:rPr>
              <w:t>writ</w:t>
            </w:r>
            <w:r w:rsidR="00C953AA">
              <w:rPr>
                <w:sz w:val="20"/>
                <w:szCs w:val="20"/>
              </w:rPr>
              <w:t>es</w:t>
            </w:r>
            <w:r w:rsidRPr="004622EC">
              <w:rPr>
                <w:sz w:val="20"/>
                <w:szCs w:val="20"/>
              </w:rPr>
              <w:t xml:space="preserve"> success stories, newspapers coverage, PR campaigns;</w:t>
            </w:r>
          </w:p>
          <w:p w14:paraId="190BE62F" w14:textId="77777777" w:rsidR="000F3008" w:rsidRPr="004622EC" w:rsidRDefault="000F3008" w:rsidP="0020322F">
            <w:pPr>
              <w:numPr>
                <w:ilvl w:val="0"/>
                <w:numId w:val="24"/>
              </w:numPr>
              <w:tabs>
                <w:tab w:val="num" w:pos="720"/>
              </w:tabs>
              <w:rPr>
                <w:bCs/>
                <w:sz w:val="20"/>
                <w:szCs w:val="20"/>
              </w:rPr>
            </w:pPr>
            <w:r w:rsidRPr="004622EC">
              <w:rPr>
                <w:sz w:val="20"/>
                <w:szCs w:val="20"/>
              </w:rPr>
              <w:t>O</w:t>
            </w:r>
            <w:r w:rsidRPr="004622EC">
              <w:rPr>
                <w:bCs/>
                <w:sz w:val="20"/>
                <w:szCs w:val="20"/>
              </w:rPr>
              <w:t>rganize workshops, seminars and round tables to introduce project outputs to all stakeholders involved. Render support to related UNDP thematic activities such as publications, sharing of knowledge and group discussions;</w:t>
            </w:r>
          </w:p>
          <w:p w14:paraId="788A5A55" w14:textId="77777777" w:rsidR="000F3008" w:rsidRPr="004622EC" w:rsidRDefault="000F3008" w:rsidP="0020322F">
            <w:pPr>
              <w:numPr>
                <w:ilvl w:val="0"/>
                <w:numId w:val="24"/>
              </w:numPr>
              <w:rPr>
                <w:sz w:val="20"/>
                <w:szCs w:val="20"/>
              </w:rPr>
            </w:pPr>
            <w:r w:rsidRPr="004622EC">
              <w:rPr>
                <w:sz w:val="20"/>
                <w:szCs w:val="20"/>
              </w:rPr>
              <w:t>Liaises with other UNDP and UNDP-GEF funded projects to implement possible synergies and reports to UNDP Programme Officer and NPC on conducted activities;</w:t>
            </w:r>
          </w:p>
          <w:p w14:paraId="6EB87719" w14:textId="77777777" w:rsidR="000F3008" w:rsidRPr="004622EC" w:rsidRDefault="000F3008" w:rsidP="0020322F">
            <w:pPr>
              <w:numPr>
                <w:ilvl w:val="0"/>
                <w:numId w:val="24"/>
              </w:numPr>
              <w:rPr>
                <w:sz w:val="20"/>
                <w:szCs w:val="20"/>
              </w:rPr>
            </w:pPr>
            <w:r w:rsidRPr="004622EC">
              <w:rPr>
                <w:sz w:val="20"/>
                <w:szCs w:val="20"/>
              </w:rPr>
              <w:t>Undertake resource mobilization activities to be built on the project achievement that contribute to project scaling-up and replication</w:t>
            </w:r>
          </w:p>
          <w:p w14:paraId="35BDDC9D" w14:textId="77777777" w:rsidR="000F3008" w:rsidRPr="004622EC" w:rsidRDefault="000F3008" w:rsidP="00473D26">
            <w:pPr>
              <w:tabs>
                <w:tab w:val="num" w:pos="720"/>
              </w:tabs>
              <w:spacing w:before="120"/>
              <w:rPr>
                <w:b/>
                <w:sz w:val="20"/>
                <w:szCs w:val="20"/>
              </w:rPr>
            </w:pPr>
            <w:r w:rsidRPr="004622EC">
              <w:rPr>
                <w:b/>
                <w:sz w:val="20"/>
                <w:szCs w:val="20"/>
              </w:rPr>
              <w:t>Closing the Project</w:t>
            </w:r>
          </w:p>
          <w:p w14:paraId="4FC5477B" w14:textId="77777777" w:rsidR="000F3008" w:rsidRPr="004622EC" w:rsidRDefault="000F3008" w:rsidP="0020322F">
            <w:pPr>
              <w:numPr>
                <w:ilvl w:val="0"/>
                <w:numId w:val="25"/>
              </w:numPr>
              <w:rPr>
                <w:sz w:val="20"/>
                <w:szCs w:val="20"/>
              </w:rPr>
            </w:pPr>
            <w:r w:rsidRPr="004622EC">
              <w:rPr>
                <w:sz w:val="20"/>
                <w:szCs w:val="20"/>
              </w:rPr>
              <w:t>In cooperation with the UNDP CO and national project experts, develop a suitable project exit strategy during the last year of the project, and present it for approval to the UNDP Regional Center in Istanbul;</w:t>
            </w:r>
          </w:p>
          <w:p w14:paraId="5E54085B" w14:textId="77777777" w:rsidR="000F3008" w:rsidRPr="004622EC" w:rsidRDefault="000F3008" w:rsidP="0020322F">
            <w:pPr>
              <w:numPr>
                <w:ilvl w:val="0"/>
                <w:numId w:val="25"/>
              </w:numPr>
              <w:rPr>
                <w:sz w:val="20"/>
                <w:szCs w:val="20"/>
              </w:rPr>
            </w:pPr>
            <w:r w:rsidRPr="004622EC">
              <w:rPr>
                <w:sz w:val="20"/>
                <w:szCs w:val="20"/>
              </w:rPr>
              <w:t>Ensure proper operational, financial and programmatic closure of the project;</w:t>
            </w:r>
          </w:p>
          <w:p w14:paraId="58D1809F" w14:textId="77777777" w:rsidR="000F3008" w:rsidRPr="004622EC" w:rsidRDefault="000F3008" w:rsidP="0020322F">
            <w:pPr>
              <w:numPr>
                <w:ilvl w:val="0"/>
                <w:numId w:val="25"/>
              </w:numPr>
              <w:rPr>
                <w:sz w:val="20"/>
                <w:szCs w:val="20"/>
              </w:rPr>
            </w:pPr>
            <w:r w:rsidRPr="004622EC">
              <w:rPr>
                <w:sz w:val="20"/>
                <w:szCs w:val="20"/>
              </w:rPr>
              <w:t xml:space="preserve">Prepare Final Project Review Reports to be submitted to the PSC; </w:t>
            </w:r>
          </w:p>
          <w:p w14:paraId="78402D5F" w14:textId="77777777" w:rsidR="000F3008" w:rsidRPr="004622EC" w:rsidRDefault="000F3008" w:rsidP="0020322F">
            <w:pPr>
              <w:numPr>
                <w:ilvl w:val="0"/>
                <w:numId w:val="25"/>
              </w:numPr>
              <w:rPr>
                <w:sz w:val="20"/>
                <w:szCs w:val="20"/>
              </w:rPr>
            </w:pPr>
            <w:r w:rsidRPr="004622EC">
              <w:rPr>
                <w:sz w:val="20"/>
                <w:szCs w:val="20"/>
              </w:rPr>
              <w:t xml:space="preserve">Identify follow-on actions and submit them for consideration to PSC; </w:t>
            </w:r>
          </w:p>
          <w:p w14:paraId="51199F01" w14:textId="77777777" w:rsidR="000F3008" w:rsidRPr="004622EC" w:rsidRDefault="000F3008" w:rsidP="0020322F">
            <w:pPr>
              <w:numPr>
                <w:ilvl w:val="0"/>
                <w:numId w:val="25"/>
              </w:numPr>
              <w:rPr>
                <w:sz w:val="20"/>
                <w:szCs w:val="20"/>
              </w:rPr>
            </w:pPr>
            <w:r w:rsidRPr="004622EC">
              <w:rPr>
                <w:sz w:val="20"/>
                <w:szCs w:val="20"/>
              </w:rPr>
              <w:t>Manage the transfer of project deliverables, documents, files, equipment and materials to national beneficiaries;</w:t>
            </w:r>
          </w:p>
          <w:p w14:paraId="5EF5CF30" w14:textId="77777777" w:rsidR="000F3008" w:rsidRPr="004622EC" w:rsidRDefault="000F3008" w:rsidP="0020322F">
            <w:pPr>
              <w:numPr>
                <w:ilvl w:val="0"/>
                <w:numId w:val="25"/>
              </w:numPr>
              <w:rPr>
                <w:bCs/>
                <w:sz w:val="20"/>
                <w:szCs w:val="20"/>
              </w:rPr>
            </w:pPr>
            <w:r w:rsidRPr="004622EC">
              <w:rPr>
                <w:sz w:val="20"/>
                <w:szCs w:val="20"/>
              </w:rPr>
              <w:t>Prepare final CDR for signature by UNDP and the Implementing Partner.</w:t>
            </w:r>
          </w:p>
        </w:tc>
      </w:tr>
      <w:tr w:rsidR="000F3008" w:rsidRPr="00656534" w14:paraId="1508CC10" w14:textId="77777777" w:rsidTr="004622EC">
        <w:tblPrEx>
          <w:shd w:val="clear" w:color="auto" w:fill="E0E0E0"/>
        </w:tblPrEx>
        <w:tc>
          <w:tcPr>
            <w:tcW w:w="10908" w:type="dxa"/>
            <w:gridSpan w:val="3"/>
            <w:tcBorders>
              <w:top w:val="single" w:sz="4" w:space="0" w:color="auto"/>
              <w:left w:val="single" w:sz="4" w:space="0" w:color="auto"/>
              <w:bottom w:val="single" w:sz="4" w:space="0" w:color="auto"/>
              <w:right w:val="single" w:sz="4" w:space="0" w:color="auto"/>
            </w:tcBorders>
            <w:shd w:val="clear" w:color="auto" w:fill="B2B2B2"/>
          </w:tcPr>
          <w:p w14:paraId="69B66335" w14:textId="77777777" w:rsidR="000F3008" w:rsidRPr="004622EC" w:rsidRDefault="000F3008" w:rsidP="00473D26">
            <w:pPr>
              <w:rPr>
                <w:b/>
                <w:bCs/>
                <w:sz w:val="20"/>
                <w:szCs w:val="20"/>
              </w:rPr>
            </w:pPr>
            <w:r w:rsidRPr="004622EC">
              <w:rPr>
                <w:b/>
                <w:bCs/>
                <w:sz w:val="20"/>
                <w:szCs w:val="20"/>
              </w:rPr>
              <w:t>IV. Competencies</w:t>
            </w:r>
          </w:p>
        </w:tc>
      </w:tr>
      <w:tr w:rsidR="000F3008" w:rsidRPr="00656534" w14:paraId="136C9584" w14:textId="77777777" w:rsidTr="004622EC">
        <w:tblPrEx>
          <w:shd w:val="clear" w:color="auto" w:fill="E0E0E0"/>
        </w:tblPrEx>
        <w:trPr>
          <w:trHeight w:val="2708"/>
        </w:trPr>
        <w:tc>
          <w:tcPr>
            <w:tcW w:w="2808" w:type="dxa"/>
            <w:tcBorders>
              <w:bottom w:val="single" w:sz="4" w:space="0" w:color="auto"/>
            </w:tcBorders>
            <w:vAlign w:val="center"/>
          </w:tcPr>
          <w:p w14:paraId="0D893332" w14:textId="77777777" w:rsidR="000F3008" w:rsidRPr="004622EC" w:rsidRDefault="000F3008" w:rsidP="00473D26">
            <w:pPr>
              <w:rPr>
                <w:sz w:val="20"/>
                <w:szCs w:val="20"/>
              </w:rPr>
            </w:pPr>
            <w:r w:rsidRPr="004622EC">
              <w:rPr>
                <w:sz w:val="20"/>
                <w:szCs w:val="20"/>
              </w:rPr>
              <w:t>Corporate Competencies:</w:t>
            </w:r>
          </w:p>
        </w:tc>
        <w:tc>
          <w:tcPr>
            <w:tcW w:w="8100" w:type="dxa"/>
            <w:gridSpan w:val="2"/>
            <w:tcBorders>
              <w:bottom w:val="single" w:sz="4" w:space="0" w:color="auto"/>
            </w:tcBorders>
            <w:vAlign w:val="center"/>
          </w:tcPr>
          <w:p w14:paraId="637DAD2D" w14:textId="77777777" w:rsidR="000F3008" w:rsidRPr="004622EC" w:rsidRDefault="000F3008" w:rsidP="0020322F">
            <w:pPr>
              <w:numPr>
                <w:ilvl w:val="0"/>
                <w:numId w:val="28"/>
              </w:numPr>
              <w:spacing w:before="100" w:beforeAutospacing="1" w:after="100" w:afterAutospacing="1"/>
              <w:rPr>
                <w:color w:val="333333"/>
                <w:sz w:val="20"/>
                <w:szCs w:val="20"/>
              </w:rPr>
            </w:pPr>
            <w:r w:rsidRPr="004622EC">
              <w:rPr>
                <w:color w:val="333333"/>
                <w:sz w:val="20"/>
                <w:szCs w:val="20"/>
              </w:rPr>
              <w:t xml:space="preserve">Demonstrates commitment to UNDP’s mission, vision and values; </w:t>
            </w:r>
          </w:p>
          <w:p w14:paraId="67697109" w14:textId="77777777" w:rsidR="000F3008" w:rsidRPr="004622EC" w:rsidRDefault="000F3008" w:rsidP="0020322F">
            <w:pPr>
              <w:numPr>
                <w:ilvl w:val="0"/>
                <w:numId w:val="28"/>
              </w:numPr>
              <w:spacing w:before="100" w:beforeAutospacing="1" w:after="100" w:afterAutospacing="1"/>
              <w:rPr>
                <w:color w:val="333333"/>
                <w:sz w:val="20"/>
                <w:szCs w:val="20"/>
              </w:rPr>
            </w:pPr>
            <w:r w:rsidRPr="004622EC">
              <w:rPr>
                <w:color w:val="333333"/>
                <w:sz w:val="20"/>
                <w:szCs w:val="20"/>
              </w:rPr>
              <w:t xml:space="preserve">Displays cultural, gender, religion, race, nationality and age sensitivity and adaptability; </w:t>
            </w:r>
          </w:p>
          <w:p w14:paraId="5322505E" w14:textId="77777777" w:rsidR="000F3008" w:rsidRPr="004622EC" w:rsidRDefault="000F3008" w:rsidP="0020322F">
            <w:pPr>
              <w:numPr>
                <w:ilvl w:val="0"/>
                <w:numId w:val="28"/>
              </w:numPr>
              <w:spacing w:before="100" w:beforeAutospacing="1" w:after="100" w:afterAutospacing="1"/>
              <w:rPr>
                <w:color w:val="333333"/>
                <w:sz w:val="20"/>
                <w:szCs w:val="20"/>
              </w:rPr>
            </w:pPr>
            <w:r w:rsidRPr="004622EC">
              <w:rPr>
                <w:color w:val="333333"/>
                <w:sz w:val="20"/>
                <w:szCs w:val="20"/>
              </w:rPr>
              <w:t xml:space="preserve">Demonstrating/safeguarding ethics and integrity; </w:t>
            </w:r>
          </w:p>
          <w:p w14:paraId="667207C7" w14:textId="77777777" w:rsidR="000F3008" w:rsidRPr="004622EC" w:rsidRDefault="000F3008" w:rsidP="0020322F">
            <w:pPr>
              <w:numPr>
                <w:ilvl w:val="0"/>
                <w:numId w:val="28"/>
              </w:numPr>
              <w:spacing w:before="100" w:beforeAutospacing="1" w:after="100" w:afterAutospacing="1"/>
              <w:rPr>
                <w:color w:val="333333"/>
                <w:sz w:val="20"/>
                <w:szCs w:val="20"/>
              </w:rPr>
            </w:pPr>
            <w:r w:rsidRPr="004622EC">
              <w:rPr>
                <w:color w:val="333333"/>
                <w:sz w:val="20"/>
                <w:szCs w:val="20"/>
              </w:rPr>
              <w:t xml:space="preserve">Demonstrate corporate knowledge and sound judgment; </w:t>
            </w:r>
          </w:p>
          <w:p w14:paraId="3FA15122" w14:textId="77777777" w:rsidR="000F3008" w:rsidRPr="004622EC" w:rsidRDefault="000F3008" w:rsidP="0020322F">
            <w:pPr>
              <w:numPr>
                <w:ilvl w:val="0"/>
                <w:numId w:val="28"/>
              </w:numPr>
              <w:spacing w:before="100" w:beforeAutospacing="1" w:after="100" w:afterAutospacing="1"/>
              <w:rPr>
                <w:color w:val="333333"/>
                <w:sz w:val="20"/>
                <w:szCs w:val="20"/>
              </w:rPr>
            </w:pPr>
            <w:r w:rsidRPr="004622EC">
              <w:rPr>
                <w:color w:val="333333"/>
                <w:sz w:val="20"/>
                <w:szCs w:val="20"/>
              </w:rPr>
              <w:t>Self-development, initiative-taking</w:t>
            </w:r>
            <w:r w:rsidRPr="004622EC">
              <w:rPr>
                <w:b/>
                <w:bCs/>
                <w:color w:val="333333"/>
                <w:sz w:val="20"/>
                <w:szCs w:val="20"/>
              </w:rPr>
              <w:t>;</w:t>
            </w:r>
            <w:r w:rsidRPr="004622EC">
              <w:rPr>
                <w:color w:val="333333"/>
                <w:sz w:val="20"/>
                <w:szCs w:val="20"/>
              </w:rPr>
              <w:t xml:space="preserve"> </w:t>
            </w:r>
          </w:p>
          <w:p w14:paraId="2AB25826" w14:textId="77777777" w:rsidR="000F3008" w:rsidRPr="004622EC" w:rsidRDefault="000F3008" w:rsidP="0020322F">
            <w:pPr>
              <w:numPr>
                <w:ilvl w:val="0"/>
                <w:numId w:val="28"/>
              </w:numPr>
              <w:spacing w:before="100" w:beforeAutospacing="1" w:after="100" w:afterAutospacing="1"/>
              <w:rPr>
                <w:color w:val="333333"/>
                <w:sz w:val="20"/>
                <w:szCs w:val="20"/>
              </w:rPr>
            </w:pPr>
            <w:r w:rsidRPr="004622EC">
              <w:rPr>
                <w:color w:val="333333"/>
                <w:sz w:val="20"/>
                <w:szCs w:val="20"/>
              </w:rPr>
              <w:t>Acting as a team leader and facilitating team work</w:t>
            </w:r>
            <w:r w:rsidRPr="004622EC">
              <w:rPr>
                <w:b/>
                <w:bCs/>
                <w:color w:val="333333"/>
                <w:sz w:val="20"/>
                <w:szCs w:val="20"/>
              </w:rPr>
              <w:t>;</w:t>
            </w:r>
            <w:r w:rsidRPr="004622EC">
              <w:rPr>
                <w:color w:val="333333"/>
                <w:sz w:val="20"/>
                <w:szCs w:val="20"/>
              </w:rPr>
              <w:t xml:space="preserve"> </w:t>
            </w:r>
          </w:p>
          <w:p w14:paraId="16EC78A2" w14:textId="77777777" w:rsidR="000F3008" w:rsidRPr="004622EC" w:rsidRDefault="000F3008" w:rsidP="0020322F">
            <w:pPr>
              <w:numPr>
                <w:ilvl w:val="0"/>
                <w:numId w:val="28"/>
              </w:numPr>
              <w:spacing w:before="100" w:beforeAutospacing="1" w:after="100" w:afterAutospacing="1"/>
              <w:rPr>
                <w:color w:val="333333"/>
                <w:sz w:val="20"/>
                <w:szCs w:val="20"/>
              </w:rPr>
            </w:pPr>
            <w:r w:rsidRPr="004622EC">
              <w:rPr>
                <w:color w:val="333333"/>
                <w:sz w:val="20"/>
                <w:szCs w:val="20"/>
              </w:rPr>
              <w:t>Facilitating and encouraging open communication in the team, communicating effectively</w:t>
            </w:r>
            <w:r w:rsidRPr="004622EC">
              <w:rPr>
                <w:b/>
                <w:bCs/>
                <w:color w:val="333333"/>
                <w:sz w:val="20"/>
                <w:szCs w:val="20"/>
              </w:rPr>
              <w:t>;</w:t>
            </w:r>
            <w:r w:rsidRPr="004622EC">
              <w:rPr>
                <w:color w:val="333333"/>
                <w:sz w:val="20"/>
                <w:szCs w:val="20"/>
              </w:rPr>
              <w:t xml:space="preserve"> </w:t>
            </w:r>
          </w:p>
          <w:p w14:paraId="08DC95A1" w14:textId="77777777" w:rsidR="000F3008" w:rsidRPr="004622EC" w:rsidRDefault="000F3008" w:rsidP="0020322F">
            <w:pPr>
              <w:numPr>
                <w:ilvl w:val="0"/>
                <w:numId w:val="28"/>
              </w:numPr>
              <w:spacing w:before="100" w:beforeAutospacing="1" w:after="100" w:afterAutospacing="1"/>
              <w:rPr>
                <w:color w:val="333333"/>
                <w:sz w:val="20"/>
                <w:szCs w:val="20"/>
              </w:rPr>
            </w:pPr>
            <w:r w:rsidRPr="004622EC">
              <w:rPr>
                <w:color w:val="333333"/>
                <w:sz w:val="20"/>
                <w:szCs w:val="20"/>
              </w:rPr>
              <w:t xml:space="preserve">Creating synergies through self-control; </w:t>
            </w:r>
          </w:p>
          <w:p w14:paraId="1164EC80" w14:textId="77777777" w:rsidR="000F3008" w:rsidRPr="004622EC" w:rsidRDefault="000F3008" w:rsidP="0020322F">
            <w:pPr>
              <w:numPr>
                <w:ilvl w:val="0"/>
                <w:numId w:val="28"/>
              </w:numPr>
              <w:spacing w:before="100" w:beforeAutospacing="1" w:after="100" w:afterAutospacing="1"/>
              <w:rPr>
                <w:color w:val="333333"/>
                <w:sz w:val="20"/>
                <w:szCs w:val="20"/>
              </w:rPr>
            </w:pPr>
            <w:r w:rsidRPr="004622EC">
              <w:rPr>
                <w:color w:val="333333"/>
                <w:sz w:val="20"/>
                <w:szCs w:val="20"/>
              </w:rPr>
              <w:t xml:space="preserve">Managing conflict; </w:t>
            </w:r>
          </w:p>
          <w:p w14:paraId="67D1A804" w14:textId="77777777" w:rsidR="000F3008" w:rsidRPr="004622EC" w:rsidRDefault="000F3008" w:rsidP="0020322F">
            <w:pPr>
              <w:numPr>
                <w:ilvl w:val="0"/>
                <w:numId w:val="28"/>
              </w:numPr>
              <w:spacing w:before="100" w:beforeAutospacing="1" w:after="100" w:afterAutospacing="1"/>
              <w:rPr>
                <w:color w:val="333333"/>
                <w:sz w:val="20"/>
                <w:szCs w:val="20"/>
              </w:rPr>
            </w:pPr>
            <w:r w:rsidRPr="004622EC">
              <w:rPr>
                <w:color w:val="333333"/>
                <w:sz w:val="20"/>
                <w:szCs w:val="20"/>
              </w:rPr>
              <w:t xml:space="preserve">Learning and sharing knowledge and encourage the learning of others; </w:t>
            </w:r>
          </w:p>
          <w:p w14:paraId="71278029" w14:textId="77777777" w:rsidR="000F3008" w:rsidRPr="004622EC" w:rsidRDefault="000F3008" w:rsidP="0020322F">
            <w:pPr>
              <w:numPr>
                <w:ilvl w:val="0"/>
                <w:numId w:val="28"/>
              </w:numPr>
              <w:spacing w:before="100" w:beforeAutospacing="1" w:after="100" w:afterAutospacing="1"/>
              <w:rPr>
                <w:color w:val="333333"/>
                <w:sz w:val="20"/>
                <w:szCs w:val="20"/>
              </w:rPr>
            </w:pPr>
            <w:r w:rsidRPr="004622EC">
              <w:rPr>
                <w:color w:val="333333"/>
                <w:sz w:val="20"/>
                <w:szCs w:val="20"/>
              </w:rPr>
              <w:t>Informed and transparent decision making</w:t>
            </w:r>
          </w:p>
        </w:tc>
      </w:tr>
      <w:tr w:rsidR="000F3008" w:rsidRPr="00656534" w14:paraId="20B8DB8A" w14:textId="77777777" w:rsidTr="004622EC">
        <w:tblPrEx>
          <w:shd w:val="clear" w:color="auto" w:fill="E0E0E0"/>
        </w:tblPrEx>
        <w:trPr>
          <w:trHeight w:val="1430"/>
        </w:trPr>
        <w:tc>
          <w:tcPr>
            <w:tcW w:w="2808" w:type="dxa"/>
            <w:tcBorders>
              <w:bottom w:val="single" w:sz="4" w:space="0" w:color="auto"/>
            </w:tcBorders>
            <w:vAlign w:val="center"/>
          </w:tcPr>
          <w:p w14:paraId="47B09CBA" w14:textId="77777777" w:rsidR="000F3008" w:rsidRPr="004622EC" w:rsidRDefault="000F3008" w:rsidP="00473D26">
            <w:pPr>
              <w:rPr>
                <w:sz w:val="20"/>
                <w:szCs w:val="20"/>
              </w:rPr>
            </w:pPr>
            <w:r w:rsidRPr="004622EC">
              <w:rPr>
                <w:sz w:val="20"/>
                <w:szCs w:val="20"/>
              </w:rPr>
              <w:t>Functional Competencies:</w:t>
            </w:r>
          </w:p>
        </w:tc>
        <w:tc>
          <w:tcPr>
            <w:tcW w:w="8100" w:type="dxa"/>
            <w:gridSpan w:val="2"/>
            <w:tcBorders>
              <w:bottom w:val="single" w:sz="4" w:space="0" w:color="auto"/>
            </w:tcBorders>
            <w:vAlign w:val="center"/>
          </w:tcPr>
          <w:p w14:paraId="5D79791D" w14:textId="77777777" w:rsidR="000F3008" w:rsidRPr="004622EC" w:rsidRDefault="000F3008" w:rsidP="00473D26">
            <w:pPr>
              <w:spacing w:line="312" w:lineRule="auto"/>
              <w:rPr>
                <w:color w:val="333333"/>
                <w:sz w:val="20"/>
                <w:szCs w:val="20"/>
              </w:rPr>
            </w:pPr>
            <w:r w:rsidRPr="004622EC">
              <w:rPr>
                <w:i/>
                <w:iCs/>
                <w:color w:val="333333"/>
                <w:sz w:val="20"/>
                <w:szCs w:val="20"/>
              </w:rPr>
              <w:t>Communications and Networking</w:t>
            </w:r>
          </w:p>
          <w:p w14:paraId="18283CCE" w14:textId="77777777" w:rsidR="000F3008" w:rsidRPr="004622EC" w:rsidRDefault="000F3008" w:rsidP="0020322F">
            <w:pPr>
              <w:numPr>
                <w:ilvl w:val="0"/>
                <w:numId w:val="29"/>
              </w:numPr>
              <w:rPr>
                <w:color w:val="333333"/>
                <w:sz w:val="20"/>
                <w:szCs w:val="20"/>
              </w:rPr>
            </w:pPr>
            <w:r w:rsidRPr="004622EC">
              <w:rPr>
                <w:color w:val="333333"/>
                <w:sz w:val="20"/>
                <w:szCs w:val="20"/>
              </w:rPr>
              <w:t xml:space="preserve">Has excellent oral communication skills and conflict resolution competency to manage inter-group dynamics and mediate conflicting interests of varied actors; </w:t>
            </w:r>
          </w:p>
          <w:p w14:paraId="5AB17A8F" w14:textId="77777777" w:rsidR="000F3008" w:rsidRPr="004622EC" w:rsidRDefault="000F3008" w:rsidP="0020322F">
            <w:pPr>
              <w:numPr>
                <w:ilvl w:val="0"/>
                <w:numId w:val="29"/>
              </w:numPr>
              <w:spacing w:after="100" w:afterAutospacing="1"/>
              <w:rPr>
                <w:color w:val="333333"/>
                <w:sz w:val="20"/>
                <w:szCs w:val="20"/>
              </w:rPr>
            </w:pPr>
            <w:r w:rsidRPr="004622EC">
              <w:rPr>
                <w:color w:val="333333"/>
                <w:sz w:val="20"/>
                <w:szCs w:val="20"/>
              </w:rPr>
              <w:t xml:space="preserve">Has excellent written communication skills, with analytic capacity and ability to synthesize project outputs and relevant findings for the preparation of quality project reports; </w:t>
            </w:r>
          </w:p>
          <w:p w14:paraId="65B7A3FA" w14:textId="77777777" w:rsidR="000F3008" w:rsidRPr="004622EC" w:rsidRDefault="000F3008" w:rsidP="0020322F">
            <w:pPr>
              <w:numPr>
                <w:ilvl w:val="0"/>
                <w:numId w:val="29"/>
              </w:numPr>
              <w:rPr>
                <w:color w:val="333333"/>
                <w:sz w:val="20"/>
                <w:szCs w:val="20"/>
              </w:rPr>
            </w:pPr>
            <w:r w:rsidRPr="004622EC">
              <w:rPr>
                <w:color w:val="333333"/>
                <w:sz w:val="20"/>
                <w:szCs w:val="20"/>
              </w:rPr>
              <w:t xml:space="preserve">Maturity and confidence in dealing with senior and high ranking members of national and international institutions, government and non-government. </w:t>
            </w:r>
          </w:p>
          <w:p w14:paraId="511A9A77" w14:textId="77777777" w:rsidR="000F3008" w:rsidRPr="004622EC" w:rsidRDefault="000F3008" w:rsidP="00473D26">
            <w:pPr>
              <w:spacing w:before="120"/>
              <w:rPr>
                <w:color w:val="333333"/>
                <w:sz w:val="20"/>
                <w:szCs w:val="20"/>
              </w:rPr>
            </w:pPr>
            <w:r w:rsidRPr="004622EC">
              <w:rPr>
                <w:i/>
                <w:iCs/>
                <w:color w:val="333333"/>
                <w:sz w:val="20"/>
                <w:szCs w:val="20"/>
              </w:rPr>
              <w:t>Knowledge Management and Learning</w:t>
            </w:r>
          </w:p>
          <w:p w14:paraId="04A4AF9C" w14:textId="77777777" w:rsidR="000F3008" w:rsidRPr="004622EC" w:rsidRDefault="000F3008" w:rsidP="0020322F">
            <w:pPr>
              <w:numPr>
                <w:ilvl w:val="0"/>
                <w:numId w:val="30"/>
              </w:numPr>
              <w:spacing w:after="100" w:afterAutospacing="1"/>
              <w:rPr>
                <w:color w:val="333333"/>
                <w:sz w:val="20"/>
                <w:szCs w:val="20"/>
              </w:rPr>
            </w:pPr>
            <w:r w:rsidRPr="004622EC">
              <w:rPr>
                <w:color w:val="333333"/>
                <w:sz w:val="20"/>
                <w:szCs w:val="20"/>
              </w:rPr>
              <w:t xml:space="preserve">Promotes a knowledge sharing and learning culture in the team through leadership and personal example; </w:t>
            </w:r>
          </w:p>
          <w:p w14:paraId="3CF1A81F" w14:textId="77777777" w:rsidR="000F3008" w:rsidRPr="004622EC" w:rsidRDefault="000F3008" w:rsidP="0020322F">
            <w:pPr>
              <w:numPr>
                <w:ilvl w:val="0"/>
                <w:numId w:val="30"/>
              </w:numPr>
              <w:spacing w:before="100" w:beforeAutospacing="1" w:after="100" w:afterAutospacing="1"/>
              <w:rPr>
                <w:color w:val="333333"/>
                <w:sz w:val="20"/>
                <w:szCs w:val="20"/>
              </w:rPr>
            </w:pPr>
            <w:r w:rsidRPr="004622EC">
              <w:rPr>
                <w:color w:val="333333"/>
                <w:sz w:val="20"/>
                <w:szCs w:val="20"/>
              </w:rPr>
              <w:t xml:space="preserve">Actively mentoring project staff under her/his supervision; </w:t>
            </w:r>
          </w:p>
          <w:p w14:paraId="1DCB8CCC" w14:textId="77777777" w:rsidR="000F3008" w:rsidRPr="004622EC" w:rsidRDefault="000F3008" w:rsidP="0020322F">
            <w:pPr>
              <w:numPr>
                <w:ilvl w:val="0"/>
                <w:numId w:val="30"/>
              </w:numPr>
              <w:spacing w:before="100" w:beforeAutospacing="1" w:after="100" w:afterAutospacing="1"/>
              <w:rPr>
                <w:color w:val="333333"/>
                <w:sz w:val="20"/>
                <w:szCs w:val="20"/>
              </w:rPr>
            </w:pPr>
            <w:r w:rsidRPr="004622EC">
              <w:rPr>
                <w:color w:val="333333"/>
                <w:sz w:val="20"/>
                <w:szCs w:val="20"/>
              </w:rPr>
              <w:t xml:space="preserve">Leadership and Self-Management; </w:t>
            </w:r>
          </w:p>
          <w:p w14:paraId="24E5384A" w14:textId="77777777" w:rsidR="000F3008" w:rsidRPr="004622EC" w:rsidRDefault="000F3008" w:rsidP="0020322F">
            <w:pPr>
              <w:numPr>
                <w:ilvl w:val="0"/>
                <w:numId w:val="30"/>
              </w:numPr>
              <w:spacing w:before="100" w:beforeAutospacing="1" w:after="100" w:afterAutospacing="1"/>
              <w:rPr>
                <w:color w:val="333333"/>
                <w:sz w:val="20"/>
                <w:szCs w:val="20"/>
              </w:rPr>
            </w:pPr>
            <w:r w:rsidRPr="004622EC">
              <w:rPr>
                <w:color w:val="333333"/>
                <w:sz w:val="20"/>
                <w:szCs w:val="20"/>
              </w:rPr>
              <w:t xml:space="preserve">Focuses on result for the client and responds positively to feedback; </w:t>
            </w:r>
          </w:p>
          <w:p w14:paraId="08AD41FB" w14:textId="77777777" w:rsidR="000F3008" w:rsidRPr="004622EC" w:rsidRDefault="000F3008" w:rsidP="0020322F">
            <w:pPr>
              <w:numPr>
                <w:ilvl w:val="0"/>
                <w:numId w:val="30"/>
              </w:numPr>
              <w:spacing w:before="100" w:beforeAutospacing="1" w:after="100" w:afterAutospacing="1"/>
              <w:rPr>
                <w:color w:val="333333"/>
                <w:sz w:val="20"/>
                <w:szCs w:val="20"/>
              </w:rPr>
            </w:pPr>
            <w:r w:rsidRPr="004622EC">
              <w:rPr>
                <w:color w:val="333333"/>
                <w:sz w:val="20"/>
                <w:szCs w:val="20"/>
              </w:rPr>
              <w:t xml:space="preserve">Consistently approaches work with energy and a positive, constructive attitude; </w:t>
            </w:r>
          </w:p>
          <w:p w14:paraId="79C8FE84" w14:textId="77777777" w:rsidR="000F3008" w:rsidRPr="004622EC" w:rsidRDefault="000F3008" w:rsidP="0020322F">
            <w:pPr>
              <w:numPr>
                <w:ilvl w:val="0"/>
                <w:numId w:val="30"/>
              </w:numPr>
              <w:spacing w:after="100" w:afterAutospacing="1"/>
              <w:rPr>
                <w:color w:val="333333"/>
                <w:sz w:val="20"/>
                <w:szCs w:val="20"/>
              </w:rPr>
            </w:pPr>
            <w:r w:rsidRPr="004622EC">
              <w:rPr>
                <w:color w:val="333333"/>
                <w:sz w:val="20"/>
                <w:szCs w:val="20"/>
              </w:rPr>
              <w:t xml:space="preserve">Remains calm, in control and good humored even under pressure; </w:t>
            </w:r>
          </w:p>
          <w:p w14:paraId="2ED900F8" w14:textId="77777777" w:rsidR="000F3008" w:rsidRPr="004622EC" w:rsidRDefault="000F3008" w:rsidP="0020322F">
            <w:pPr>
              <w:numPr>
                <w:ilvl w:val="0"/>
                <w:numId w:val="30"/>
              </w:numPr>
              <w:rPr>
                <w:color w:val="333333"/>
                <w:sz w:val="20"/>
                <w:szCs w:val="20"/>
              </w:rPr>
            </w:pPr>
            <w:r w:rsidRPr="004622EC">
              <w:rPr>
                <w:color w:val="333333"/>
                <w:sz w:val="20"/>
                <w:szCs w:val="20"/>
              </w:rPr>
              <w:t xml:space="preserve">Competent in leading team and creating team spirit, stimulating team members to produce quality outputs in a timely and transparent fashion. </w:t>
            </w:r>
          </w:p>
          <w:p w14:paraId="5606FD0A" w14:textId="77777777" w:rsidR="000F3008" w:rsidRPr="004622EC" w:rsidRDefault="000F3008" w:rsidP="00473D26">
            <w:pPr>
              <w:spacing w:before="120"/>
              <w:rPr>
                <w:color w:val="333333"/>
                <w:sz w:val="20"/>
                <w:szCs w:val="20"/>
              </w:rPr>
            </w:pPr>
            <w:r w:rsidRPr="004622EC">
              <w:rPr>
                <w:i/>
                <w:iCs/>
                <w:color w:val="333333"/>
                <w:sz w:val="20"/>
                <w:szCs w:val="20"/>
              </w:rPr>
              <w:t>Development and Operational Effectiveness</w:t>
            </w:r>
          </w:p>
          <w:p w14:paraId="65264564" w14:textId="77777777" w:rsidR="000F3008" w:rsidRPr="004622EC" w:rsidRDefault="000F3008" w:rsidP="0020322F">
            <w:pPr>
              <w:numPr>
                <w:ilvl w:val="0"/>
                <w:numId w:val="31"/>
              </w:numPr>
              <w:spacing w:after="100" w:afterAutospacing="1"/>
              <w:rPr>
                <w:color w:val="333333"/>
                <w:sz w:val="20"/>
                <w:szCs w:val="20"/>
              </w:rPr>
            </w:pPr>
            <w:r w:rsidRPr="004622EC">
              <w:rPr>
                <w:color w:val="333333"/>
                <w:sz w:val="20"/>
                <w:szCs w:val="20"/>
              </w:rPr>
              <w:t xml:space="preserve">Ability to organize and complete multiple tasks by establishing priorities; </w:t>
            </w:r>
          </w:p>
          <w:p w14:paraId="08410897" w14:textId="77777777" w:rsidR="000F3008" w:rsidRPr="004622EC" w:rsidRDefault="000F3008" w:rsidP="0020322F">
            <w:pPr>
              <w:numPr>
                <w:ilvl w:val="0"/>
                <w:numId w:val="31"/>
              </w:numPr>
              <w:rPr>
                <w:color w:val="333333"/>
                <w:sz w:val="20"/>
                <w:szCs w:val="20"/>
              </w:rPr>
            </w:pPr>
            <w:r w:rsidRPr="004622EC">
              <w:rPr>
                <w:color w:val="333333"/>
                <w:sz w:val="20"/>
                <w:szCs w:val="20"/>
              </w:rPr>
              <w:t xml:space="preserve">Ability to handle a large volume of work possibly under time constraints. </w:t>
            </w:r>
          </w:p>
          <w:p w14:paraId="41F3349D" w14:textId="77777777" w:rsidR="000F3008" w:rsidRPr="004622EC" w:rsidRDefault="000F3008" w:rsidP="00473D26">
            <w:pPr>
              <w:spacing w:before="120" w:line="312" w:lineRule="auto"/>
              <w:rPr>
                <w:i/>
                <w:iCs/>
                <w:color w:val="333333"/>
                <w:sz w:val="20"/>
                <w:szCs w:val="20"/>
              </w:rPr>
            </w:pPr>
            <w:r w:rsidRPr="004622EC">
              <w:rPr>
                <w:i/>
                <w:iCs/>
                <w:color w:val="333333"/>
                <w:sz w:val="20"/>
                <w:szCs w:val="20"/>
              </w:rPr>
              <w:t xml:space="preserve">Job Knowledge/Technical Expertise </w:t>
            </w:r>
          </w:p>
          <w:p w14:paraId="2A3647DF" w14:textId="77777777" w:rsidR="000F3008" w:rsidRPr="004622EC" w:rsidRDefault="000F3008" w:rsidP="0020322F">
            <w:pPr>
              <w:numPr>
                <w:ilvl w:val="0"/>
                <w:numId w:val="32"/>
              </w:numPr>
              <w:rPr>
                <w:color w:val="333333"/>
                <w:sz w:val="20"/>
                <w:szCs w:val="20"/>
              </w:rPr>
            </w:pPr>
            <w:r w:rsidRPr="004622EC">
              <w:rPr>
                <w:color w:val="333333"/>
                <w:sz w:val="20"/>
                <w:szCs w:val="20"/>
              </w:rPr>
              <w:t xml:space="preserve">Understands the main processes and methods of work regarding to the position </w:t>
            </w:r>
          </w:p>
          <w:p w14:paraId="7F7011DF" w14:textId="77777777" w:rsidR="000F3008" w:rsidRPr="004622EC" w:rsidRDefault="000F3008" w:rsidP="0020322F">
            <w:pPr>
              <w:numPr>
                <w:ilvl w:val="0"/>
                <w:numId w:val="32"/>
              </w:numPr>
              <w:rPr>
                <w:color w:val="333333"/>
                <w:sz w:val="20"/>
                <w:szCs w:val="20"/>
              </w:rPr>
            </w:pPr>
            <w:r w:rsidRPr="004622EC">
              <w:rPr>
                <w:color w:val="333333"/>
                <w:sz w:val="20"/>
                <w:szCs w:val="20"/>
              </w:rPr>
              <w:t xml:space="preserve">Strives to keep job knowledge up-to-date through self-directed study and other means of learning; </w:t>
            </w:r>
          </w:p>
          <w:p w14:paraId="096A8C61" w14:textId="77777777" w:rsidR="000F3008" w:rsidRPr="004622EC" w:rsidRDefault="000F3008" w:rsidP="0020322F">
            <w:pPr>
              <w:numPr>
                <w:ilvl w:val="0"/>
                <w:numId w:val="32"/>
              </w:numPr>
              <w:rPr>
                <w:color w:val="333333"/>
                <w:sz w:val="20"/>
                <w:szCs w:val="20"/>
              </w:rPr>
            </w:pPr>
            <w:r w:rsidRPr="004622EC">
              <w:rPr>
                <w:color w:val="333333"/>
                <w:sz w:val="20"/>
                <w:szCs w:val="20"/>
              </w:rPr>
              <w:t xml:space="preserve">Demonstrates good knowledge of information technology and applies it in work assignments. </w:t>
            </w:r>
          </w:p>
          <w:p w14:paraId="57981C29" w14:textId="77777777" w:rsidR="000F3008" w:rsidRPr="004622EC" w:rsidRDefault="000F3008" w:rsidP="00FD551A">
            <w:pPr>
              <w:spacing w:before="120"/>
              <w:rPr>
                <w:color w:val="333333"/>
                <w:sz w:val="20"/>
                <w:szCs w:val="20"/>
              </w:rPr>
            </w:pPr>
            <w:r w:rsidRPr="004622EC">
              <w:rPr>
                <w:i/>
                <w:iCs/>
                <w:color w:val="333333"/>
                <w:sz w:val="20"/>
                <w:szCs w:val="20"/>
              </w:rPr>
              <w:t>Leadership and Self-Management</w:t>
            </w:r>
          </w:p>
          <w:p w14:paraId="017D3035" w14:textId="77777777" w:rsidR="000F3008" w:rsidRPr="004622EC" w:rsidRDefault="000F3008" w:rsidP="0020322F">
            <w:pPr>
              <w:numPr>
                <w:ilvl w:val="0"/>
                <w:numId w:val="33"/>
              </w:numPr>
              <w:spacing w:after="100" w:afterAutospacing="1"/>
              <w:ind w:left="360"/>
              <w:rPr>
                <w:color w:val="333333"/>
                <w:sz w:val="20"/>
                <w:szCs w:val="20"/>
              </w:rPr>
            </w:pPr>
            <w:r w:rsidRPr="004622EC">
              <w:rPr>
                <w:color w:val="333333"/>
                <w:sz w:val="20"/>
                <w:szCs w:val="20"/>
              </w:rPr>
              <w:t xml:space="preserve">Builds strong relationships with clients, focuses on impact and result for the client and responds positively to feedback; </w:t>
            </w:r>
          </w:p>
          <w:p w14:paraId="3AAF1687" w14:textId="77777777" w:rsidR="000F3008" w:rsidRPr="004622EC" w:rsidRDefault="000F3008" w:rsidP="0020322F">
            <w:pPr>
              <w:numPr>
                <w:ilvl w:val="0"/>
                <w:numId w:val="33"/>
              </w:numPr>
              <w:spacing w:before="100" w:beforeAutospacing="1" w:after="100" w:afterAutospacing="1"/>
              <w:ind w:left="360"/>
              <w:rPr>
                <w:color w:val="333333"/>
                <w:sz w:val="20"/>
                <w:szCs w:val="20"/>
              </w:rPr>
            </w:pPr>
            <w:r w:rsidRPr="004622EC">
              <w:rPr>
                <w:color w:val="333333"/>
                <w:sz w:val="20"/>
                <w:szCs w:val="20"/>
              </w:rPr>
              <w:t xml:space="preserve">Consistently approaches work with energy and a positive, constructive attitude; </w:t>
            </w:r>
          </w:p>
          <w:p w14:paraId="6A001880" w14:textId="77777777" w:rsidR="00E54CA1" w:rsidRPr="00476D89" w:rsidRDefault="000F3008" w:rsidP="0020322F">
            <w:pPr>
              <w:numPr>
                <w:ilvl w:val="0"/>
                <w:numId w:val="33"/>
              </w:numPr>
              <w:spacing w:before="100" w:beforeAutospacing="1" w:after="100" w:afterAutospacing="1"/>
              <w:ind w:left="360"/>
              <w:rPr>
                <w:color w:val="333333"/>
                <w:sz w:val="20"/>
                <w:szCs w:val="20"/>
              </w:rPr>
            </w:pPr>
            <w:r w:rsidRPr="004622EC">
              <w:rPr>
                <w:color w:val="333333"/>
                <w:sz w:val="20"/>
                <w:szCs w:val="20"/>
              </w:rPr>
              <w:t xml:space="preserve">Demonstrates good oral and written communication skills. </w:t>
            </w:r>
          </w:p>
        </w:tc>
      </w:tr>
      <w:tr w:rsidR="000F3008" w:rsidRPr="00656534" w14:paraId="7EA4F27D" w14:textId="77777777" w:rsidTr="004622EC">
        <w:tblPrEx>
          <w:shd w:val="clear" w:color="auto" w:fill="E0E0E0"/>
        </w:tblPrEx>
        <w:tc>
          <w:tcPr>
            <w:tcW w:w="10908" w:type="dxa"/>
            <w:gridSpan w:val="3"/>
            <w:shd w:val="clear" w:color="auto" w:fill="E0E0E0"/>
          </w:tcPr>
          <w:p w14:paraId="6ECB0C54" w14:textId="77777777" w:rsidR="000F3008" w:rsidRPr="004622EC" w:rsidRDefault="000F3008" w:rsidP="00476D89">
            <w:pPr>
              <w:keepNext/>
              <w:keepLines/>
              <w:rPr>
                <w:b/>
                <w:bCs/>
                <w:sz w:val="20"/>
                <w:szCs w:val="20"/>
              </w:rPr>
            </w:pPr>
            <w:r w:rsidRPr="004622EC">
              <w:rPr>
                <w:b/>
                <w:bCs/>
                <w:sz w:val="20"/>
                <w:szCs w:val="20"/>
              </w:rPr>
              <w:t xml:space="preserve">V. Qualifications Requirements </w:t>
            </w:r>
          </w:p>
        </w:tc>
      </w:tr>
      <w:tr w:rsidR="000F3008" w:rsidRPr="00656534" w14:paraId="50CBA875" w14:textId="77777777" w:rsidTr="004622EC">
        <w:tblPrEx>
          <w:shd w:val="clear" w:color="auto" w:fill="E0E0E0"/>
        </w:tblPrEx>
        <w:trPr>
          <w:trHeight w:val="230"/>
        </w:trPr>
        <w:tc>
          <w:tcPr>
            <w:tcW w:w="2808" w:type="dxa"/>
            <w:tcBorders>
              <w:bottom w:val="single" w:sz="4" w:space="0" w:color="auto"/>
            </w:tcBorders>
          </w:tcPr>
          <w:p w14:paraId="18F7AEE8" w14:textId="77777777" w:rsidR="000F3008" w:rsidRPr="004622EC" w:rsidRDefault="000F3008" w:rsidP="00473D26">
            <w:pPr>
              <w:rPr>
                <w:sz w:val="20"/>
                <w:szCs w:val="20"/>
              </w:rPr>
            </w:pPr>
            <w:r w:rsidRPr="004622EC">
              <w:rPr>
                <w:sz w:val="20"/>
                <w:szCs w:val="20"/>
              </w:rPr>
              <w:t>Education:</w:t>
            </w:r>
          </w:p>
        </w:tc>
        <w:tc>
          <w:tcPr>
            <w:tcW w:w="8100" w:type="dxa"/>
            <w:gridSpan w:val="2"/>
            <w:tcBorders>
              <w:bottom w:val="single" w:sz="4" w:space="0" w:color="auto"/>
            </w:tcBorders>
          </w:tcPr>
          <w:p w14:paraId="70FDB9BE" w14:textId="06493925" w:rsidR="000F3008" w:rsidRPr="004622EC" w:rsidRDefault="000F3008" w:rsidP="00A4185A">
            <w:pPr>
              <w:rPr>
                <w:sz w:val="20"/>
                <w:szCs w:val="20"/>
              </w:rPr>
            </w:pPr>
            <w:r w:rsidRPr="004622EC">
              <w:rPr>
                <w:sz w:val="20"/>
                <w:szCs w:val="20"/>
              </w:rPr>
              <w:t xml:space="preserve">PhD degree in the following areas: </w:t>
            </w:r>
            <w:r w:rsidR="00974AA4">
              <w:rPr>
                <w:sz w:val="20"/>
                <w:szCs w:val="20"/>
              </w:rPr>
              <w:t xml:space="preserve">engineering, environmental science, </w:t>
            </w:r>
            <w:r w:rsidR="0019706F">
              <w:rPr>
                <w:sz w:val="20"/>
                <w:szCs w:val="20"/>
              </w:rPr>
              <w:t xml:space="preserve">international relations, </w:t>
            </w:r>
            <w:r w:rsidR="00974AA4">
              <w:rPr>
                <w:sz w:val="20"/>
                <w:szCs w:val="20"/>
              </w:rPr>
              <w:t>business administration or other re</w:t>
            </w:r>
            <w:r w:rsidR="00A4185A">
              <w:rPr>
                <w:sz w:val="20"/>
                <w:szCs w:val="20"/>
              </w:rPr>
              <w:t>l</w:t>
            </w:r>
            <w:r w:rsidR="00974AA4">
              <w:rPr>
                <w:sz w:val="20"/>
                <w:szCs w:val="20"/>
              </w:rPr>
              <w:t>e</w:t>
            </w:r>
            <w:r w:rsidR="00A4185A">
              <w:rPr>
                <w:sz w:val="20"/>
                <w:szCs w:val="20"/>
              </w:rPr>
              <w:t>v</w:t>
            </w:r>
            <w:r w:rsidR="00974AA4">
              <w:rPr>
                <w:sz w:val="20"/>
                <w:szCs w:val="20"/>
              </w:rPr>
              <w:t>an</w:t>
            </w:r>
            <w:r w:rsidR="00A4185A">
              <w:rPr>
                <w:sz w:val="20"/>
                <w:szCs w:val="20"/>
              </w:rPr>
              <w:t>t</w:t>
            </w:r>
            <w:r w:rsidR="00974AA4">
              <w:rPr>
                <w:sz w:val="20"/>
                <w:szCs w:val="20"/>
              </w:rPr>
              <w:t xml:space="preserve"> field</w:t>
            </w:r>
            <w:r w:rsidR="0019706F">
              <w:rPr>
                <w:sz w:val="20"/>
                <w:szCs w:val="20"/>
              </w:rPr>
              <w:t>s</w:t>
            </w:r>
            <w:r w:rsidR="00974AA4">
              <w:rPr>
                <w:sz w:val="20"/>
                <w:szCs w:val="20"/>
              </w:rPr>
              <w:t>.</w:t>
            </w:r>
          </w:p>
        </w:tc>
      </w:tr>
      <w:tr w:rsidR="000F3008" w:rsidRPr="00656534" w14:paraId="3AABA6E7" w14:textId="77777777" w:rsidTr="004622EC">
        <w:tblPrEx>
          <w:shd w:val="clear" w:color="auto" w:fill="E0E0E0"/>
        </w:tblPrEx>
        <w:trPr>
          <w:trHeight w:val="230"/>
        </w:trPr>
        <w:tc>
          <w:tcPr>
            <w:tcW w:w="2808" w:type="dxa"/>
            <w:tcBorders>
              <w:bottom w:val="single" w:sz="4" w:space="0" w:color="auto"/>
            </w:tcBorders>
          </w:tcPr>
          <w:p w14:paraId="300A62DA" w14:textId="77777777" w:rsidR="000F3008" w:rsidRPr="004622EC" w:rsidRDefault="000F3008" w:rsidP="00473D26">
            <w:pPr>
              <w:rPr>
                <w:sz w:val="20"/>
                <w:szCs w:val="20"/>
              </w:rPr>
            </w:pPr>
            <w:r w:rsidRPr="004622EC">
              <w:rPr>
                <w:sz w:val="20"/>
                <w:szCs w:val="20"/>
              </w:rPr>
              <w:t>Experience:</w:t>
            </w:r>
          </w:p>
        </w:tc>
        <w:tc>
          <w:tcPr>
            <w:tcW w:w="8100" w:type="dxa"/>
            <w:gridSpan w:val="2"/>
            <w:tcBorders>
              <w:bottom w:val="single" w:sz="4" w:space="0" w:color="auto"/>
            </w:tcBorders>
          </w:tcPr>
          <w:p w14:paraId="197F1093" w14:textId="77777777" w:rsidR="000F3008" w:rsidRPr="004622EC" w:rsidRDefault="000F3008" w:rsidP="00473D26">
            <w:pPr>
              <w:rPr>
                <w:sz w:val="20"/>
                <w:szCs w:val="20"/>
              </w:rPr>
            </w:pPr>
            <w:r w:rsidRPr="004622EC">
              <w:rPr>
                <w:sz w:val="20"/>
                <w:szCs w:val="20"/>
              </w:rPr>
              <w:t xml:space="preserve">At least 10 of years of relevant experience. Practical experience in project management. Working experience in international organizations is an advantage. </w:t>
            </w:r>
          </w:p>
        </w:tc>
      </w:tr>
      <w:tr w:rsidR="000F3008" w:rsidRPr="00656534" w14:paraId="54F6E5D4" w14:textId="77777777" w:rsidTr="004622EC">
        <w:tblPrEx>
          <w:shd w:val="clear" w:color="auto" w:fill="E0E0E0"/>
        </w:tblPrEx>
        <w:trPr>
          <w:trHeight w:val="230"/>
        </w:trPr>
        <w:tc>
          <w:tcPr>
            <w:tcW w:w="2808" w:type="dxa"/>
          </w:tcPr>
          <w:p w14:paraId="662EBB0A" w14:textId="77777777" w:rsidR="000F3008" w:rsidRPr="004622EC" w:rsidRDefault="000F3008" w:rsidP="00473D26">
            <w:pPr>
              <w:rPr>
                <w:sz w:val="20"/>
                <w:szCs w:val="20"/>
              </w:rPr>
            </w:pPr>
            <w:r w:rsidRPr="004622EC">
              <w:rPr>
                <w:sz w:val="20"/>
                <w:szCs w:val="20"/>
              </w:rPr>
              <w:t>Language Requirements:</w:t>
            </w:r>
          </w:p>
        </w:tc>
        <w:tc>
          <w:tcPr>
            <w:tcW w:w="8100" w:type="dxa"/>
            <w:gridSpan w:val="2"/>
          </w:tcPr>
          <w:p w14:paraId="29CA67A5" w14:textId="77777777" w:rsidR="000F3008" w:rsidRPr="004622EC" w:rsidRDefault="000F3008" w:rsidP="00473D26">
            <w:pPr>
              <w:rPr>
                <w:sz w:val="20"/>
                <w:szCs w:val="20"/>
              </w:rPr>
            </w:pPr>
            <w:r w:rsidRPr="004622EC">
              <w:rPr>
                <w:sz w:val="20"/>
                <w:szCs w:val="20"/>
              </w:rPr>
              <w:t>Excellent command of spoken and written English, Kazakh and Russian are essential</w:t>
            </w:r>
          </w:p>
        </w:tc>
      </w:tr>
      <w:tr w:rsidR="000F3008" w:rsidRPr="00656534" w14:paraId="0213A489" w14:textId="77777777" w:rsidTr="004622EC">
        <w:tblPrEx>
          <w:shd w:val="clear" w:color="auto" w:fill="E0E0E0"/>
        </w:tblPrEx>
        <w:trPr>
          <w:trHeight w:val="230"/>
        </w:trPr>
        <w:tc>
          <w:tcPr>
            <w:tcW w:w="2808" w:type="dxa"/>
            <w:tcBorders>
              <w:bottom w:val="single" w:sz="4" w:space="0" w:color="auto"/>
            </w:tcBorders>
          </w:tcPr>
          <w:p w14:paraId="1EDBDB65" w14:textId="77777777" w:rsidR="000F3008" w:rsidRPr="004622EC" w:rsidRDefault="000F3008" w:rsidP="00473D26">
            <w:pPr>
              <w:rPr>
                <w:sz w:val="20"/>
                <w:szCs w:val="20"/>
              </w:rPr>
            </w:pPr>
            <w:r w:rsidRPr="004622EC">
              <w:rPr>
                <w:sz w:val="20"/>
                <w:szCs w:val="20"/>
              </w:rPr>
              <w:t>Others:</w:t>
            </w:r>
          </w:p>
        </w:tc>
        <w:tc>
          <w:tcPr>
            <w:tcW w:w="8100" w:type="dxa"/>
            <w:gridSpan w:val="2"/>
            <w:tcBorders>
              <w:bottom w:val="single" w:sz="4" w:space="0" w:color="auto"/>
            </w:tcBorders>
          </w:tcPr>
          <w:p w14:paraId="737C8250" w14:textId="77777777" w:rsidR="000F3008" w:rsidRPr="004622EC" w:rsidRDefault="000F3008" w:rsidP="0020322F">
            <w:pPr>
              <w:pStyle w:val="afb"/>
              <w:numPr>
                <w:ilvl w:val="0"/>
                <w:numId w:val="41"/>
              </w:numPr>
              <w:rPr>
                <w:sz w:val="20"/>
                <w:szCs w:val="20"/>
              </w:rPr>
            </w:pPr>
            <w:r w:rsidRPr="004622EC">
              <w:rPr>
                <w:rFonts w:ascii="Calibri" w:hAnsi="Calibri"/>
                <w:sz w:val="20"/>
                <w:szCs w:val="20"/>
              </w:rPr>
              <w:t>Sound experience in the project management associated with climate change adaptation, environment protection and corresponding sustainable development and corresponding UN conventions and treaties;</w:t>
            </w:r>
          </w:p>
          <w:p w14:paraId="0AA021FD" w14:textId="77777777" w:rsidR="000F3008" w:rsidRPr="004622EC" w:rsidRDefault="000F3008" w:rsidP="0020322F">
            <w:pPr>
              <w:pStyle w:val="afb"/>
              <w:numPr>
                <w:ilvl w:val="0"/>
                <w:numId w:val="41"/>
              </w:numPr>
              <w:rPr>
                <w:sz w:val="20"/>
                <w:szCs w:val="20"/>
              </w:rPr>
            </w:pPr>
            <w:r w:rsidRPr="004622EC">
              <w:rPr>
                <w:rFonts w:ascii="Calibri" w:hAnsi="Calibri"/>
                <w:sz w:val="20"/>
                <w:szCs w:val="20"/>
              </w:rPr>
              <w:t>Knowledge of and experience in gender mainstreaming is an asset;</w:t>
            </w:r>
          </w:p>
          <w:p w14:paraId="3C44A22E" w14:textId="77777777" w:rsidR="000F3008" w:rsidRPr="004622EC" w:rsidRDefault="000F3008" w:rsidP="0020322F">
            <w:pPr>
              <w:pStyle w:val="afb"/>
              <w:numPr>
                <w:ilvl w:val="0"/>
                <w:numId w:val="41"/>
              </w:numPr>
              <w:rPr>
                <w:sz w:val="20"/>
                <w:szCs w:val="20"/>
              </w:rPr>
            </w:pPr>
            <w:r w:rsidRPr="004622EC">
              <w:rPr>
                <w:rFonts w:ascii="Calibri" w:hAnsi="Calibri"/>
                <w:sz w:val="20"/>
                <w:szCs w:val="20"/>
              </w:rPr>
              <w:t>Proven experience in working and collaborating with governments;</w:t>
            </w:r>
          </w:p>
          <w:p w14:paraId="300E8C30" w14:textId="77777777" w:rsidR="000F3008" w:rsidRPr="004622EC" w:rsidRDefault="000F3008" w:rsidP="0020322F">
            <w:pPr>
              <w:pStyle w:val="afb"/>
              <w:numPr>
                <w:ilvl w:val="0"/>
                <w:numId w:val="41"/>
              </w:numPr>
              <w:rPr>
                <w:sz w:val="20"/>
                <w:szCs w:val="20"/>
              </w:rPr>
            </w:pPr>
            <w:r w:rsidRPr="004622EC">
              <w:rPr>
                <w:rFonts w:ascii="Calibri" w:hAnsi="Calibri"/>
                <w:sz w:val="20"/>
                <w:szCs w:val="20"/>
              </w:rPr>
              <w:t>Initiative and strong leadership skills;</w:t>
            </w:r>
          </w:p>
          <w:p w14:paraId="3924E03C" w14:textId="77777777" w:rsidR="000F3008" w:rsidRPr="004622EC" w:rsidRDefault="000F3008" w:rsidP="0020322F">
            <w:pPr>
              <w:pStyle w:val="afb"/>
              <w:numPr>
                <w:ilvl w:val="0"/>
                <w:numId w:val="41"/>
              </w:numPr>
              <w:rPr>
                <w:sz w:val="20"/>
                <w:szCs w:val="20"/>
              </w:rPr>
            </w:pPr>
            <w:r w:rsidRPr="004622EC">
              <w:rPr>
                <w:rFonts w:ascii="Calibri" w:hAnsi="Calibri"/>
                <w:sz w:val="20"/>
                <w:szCs w:val="20"/>
              </w:rPr>
              <w:t>Result and client-orientations;</w:t>
            </w:r>
          </w:p>
          <w:p w14:paraId="56BB2C9F" w14:textId="77777777" w:rsidR="000F3008" w:rsidRPr="004622EC" w:rsidRDefault="000F3008" w:rsidP="0020322F">
            <w:pPr>
              <w:pStyle w:val="afb"/>
              <w:numPr>
                <w:ilvl w:val="0"/>
                <w:numId w:val="41"/>
              </w:numPr>
              <w:rPr>
                <w:sz w:val="20"/>
                <w:szCs w:val="20"/>
              </w:rPr>
            </w:pPr>
            <w:r w:rsidRPr="004622EC">
              <w:rPr>
                <w:rFonts w:ascii="Calibri" w:hAnsi="Calibri"/>
                <w:sz w:val="20"/>
                <w:szCs w:val="20"/>
              </w:rPr>
              <w:t xml:space="preserve">Strong analytical, communication, writing, presentation and communication skills; </w:t>
            </w:r>
          </w:p>
          <w:p w14:paraId="65ABACE5" w14:textId="77777777" w:rsidR="000F3008" w:rsidRPr="004622EC" w:rsidRDefault="000F3008" w:rsidP="0020322F">
            <w:pPr>
              <w:pStyle w:val="afb"/>
              <w:numPr>
                <w:ilvl w:val="0"/>
                <w:numId w:val="41"/>
              </w:numPr>
              <w:rPr>
                <w:sz w:val="20"/>
                <w:szCs w:val="20"/>
              </w:rPr>
            </w:pPr>
            <w:r w:rsidRPr="004622EC">
              <w:rPr>
                <w:rFonts w:ascii="Calibri" w:hAnsi="Calibri"/>
                <w:sz w:val="20"/>
                <w:szCs w:val="20"/>
              </w:rPr>
              <w:t>Excellent interpersonal and cross cultural communication skills, ability to work in a team and to work under pressure and with tight deadlines, ethics and honesty;</w:t>
            </w:r>
          </w:p>
          <w:p w14:paraId="0614C4EE" w14:textId="77777777" w:rsidR="000F3008" w:rsidRPr="004622EC" w:rsidRDefault="000F3008" w:rsidP="0020322F">
            <w:pPr>
              <w:pStyle w:val="afb"/>
              <w:numPr>
                <w:ilvl w:val="0"/>
                <w:numId w:val="41"/>
              </w:numPr>
              <w:rPr>
                <w:sz w:val="20"/>
                <w:szCs w:val="20"/>
              </w:rPr>
            </w:pPr>
            <w:r w:rsidRPr="004622EC">
              <w:rPr>
                <w:rFonts w:ascii="Calibri" w:hAnsi="Calibri"/>
                <w:sz w:val="20"/>
                <w:szCs w:val="20"/>
              </w:rPr>
              <w:t>Ability to use information and communication technology as a tool and resource;</w:t>
            </w:r>
          </w:p>
          <w:p w14:paraId="65D39BFA" w14:textId="77777777" w:rsidR="000F3008" w:rsidRPr="004622EC" w:rsidRDefault="000F3008" w:rsidP="0020322F">
            <w:pPr>
              <w:pStyle w:val="afb"/>
              <w:numPr>
                <w:ilvl w:val="0"/>
                <w:numId w:val="41"/>
              </w:numPr>
              <w:rPr>
                <w:sz w:val="20"/>
                <w:szCs w:val="20"/>
              </w:rPr>
            </w:pPr>
            <w:r w:rsidRPr="004622EC">
              <w:rPr>
                <w:rFonts w:ascii="Calibri" w:hAnsi="Calibri"/>
                <w:sz w:val="20"/>
                <w:szCs w:val="20"/>
              </w:rPr>
              <w:t>Willingness to travel as appropriate</w:t>
            </w:r>
          </w:p>
        </w:tc>
      </w:tr>
    </w:tbl>
    <w:p w14:paraId="469BBFA9" w14:textId="77777777" w:rsidR="00715B3D" w:rsidRDefault="00715B3D" w:rsidP="004622EC">
      <w:pPr>
        <w:spacing w:before="120" w:after="120"/>
        <w:rPr>
          <w:b/>
          <w:szCs w:val="20"/>
        </w:rPr>
      </w:pPr>
      <w:bookmarkStart w:id="130" w:name="_Toc360630110"/>
    </w:p>
    <w:p w14:paraId="60149076" w14:textId="77777777" w:rsidR="000F3008" w:rsidRPr="005E7FF6" w:rsidRDefault="00FA0D9B" w:rsidP="004622EC">
      <w:pPr>
        <w:spacing w:before="120" w:after="120"/>
        <w:rPr>
          <w:b/>
          <w:szCs w:val="20"/>
        </w:rPr>
      </w:pPr>
      <w:r w:rsidRPr="005E7FF6">
        <w:rPr>
          <w:b/>
          <w:szCs w:val="20"/>
        </w:rPr>
        <w:t>3</w:t>
      </w:r>
      <w:r w:rsidR="000F3008" w:rsidRPr="005E7FF6">
        <w:rPr>
          <w:b/>
          <w:szCs w:val="20"/>
        </w:rPr>
        <w:t>.</w:t>
      </w:r>
      <w:r w:rsidR="002D41F0" w:rsidRPr="005E7FF6">
        <w:rPr>
          <w:b/>
          <w:szCs w:val="20"/>
        </w:rPr>
        <w:t xml:space="preserve"> </w:t>
      </w:r>
      <w:r w:rsidRPr="005E7FF6">
        <w:rPr>
          <w:b/>
          <w:szCs w:val="20"/>
        </w:rPr>
        <w:t xml:space="preserve">Terms of Reference for the </w:t>
      </w:r>
      <w:r w:rsidR="002D41F0" w:rsidRPr="005E7FF6">
        <w:rPr>
          <w:b/>
          <w:szCs w:val="20"/>
        </w:rPr>
        <w:t>Task Manager:</w:t>
      </w:r>
      <w:r w:rsidR="000F3008" w:rsidRPr="005E7FF6">
        <w:rPr>
          <w:b/>
          <w:szCs w:val="20"/>
        </w:rPr>
        <w:t xml:space="preserve"> Large-scale renewable energy</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180"/>
        <w:gridCol w:w="7740"/>
      </w:tblGrid>
      <w:tr w:rsidR="000F3008" w:rsidRPr="00FD551A" w14:paraId="0B7FCDF5" w14:textId="77777777" w:rsidTr="003E6878">
        <w:tc>
          <w:tcPr>
            <w:tcW w:w="10908" w:type="dxa"/>
            <w:gridSpan w:val="3"/>
            <w:shd w:val="clear" w:color="auto" w:fill="E0E0E0"/>
          </w:tcPr>
          <w:p w14:paraId="0FF6D616" w14:textId="77777777" w:rsidR="000F3008" w:rsidRPr="004622EC" w:rsidRDefault="000F3008" w:rsidP="004622EC">
            <w:pPr>
              <w:rPr>
                <w:b/>
                <w:bCs/>
                <w:sz w:val="20"/>
                <w:szCs w:val="20"/>
              </w:rPr>
            </w:pPr>
            <w:r w:rsidRPr="004622EC">
              <w:rPr>
                <w:b/>
                <w:bCs/>
                <w:sz w:val="20"/>
                <w:szCs w:val="20"/>
              </w:rPr>
              <w:t>I. Position Information</w:t>
            </w:r>
          </w:p>
        </w:tc>
      </w:tr>
      <w:tr w:rsidR="000F3008" w:rsidRPr="00FD551A" w14:paraId="5758E965" w14:textId="77777777" w:rsidTr="003E6878">
        <w:tc>
          <w:tcPr>
            <w:tcW w:w="3168" w:type="dxa"/>
            <w:gridSpan w:val="2"/>
          </w:tcPr>
          <w:p w14:paraId="410CD9D0" w14:textId="77777777" w:rsidR="000F3008" w:rsidRPr="004622EC" w:rsidRDefault="000F3008" w:rsidP="004622EC">
            <w:pPr>
              <w:spacing w:before="60"/>
              <w:rPr>
                <w:sz w:val="20"/>
                <w:szCs w:val="20"/>
              </w:rPr>
            </w:pPr>
            <w:r w:rsidRPr="004622EC">
              <w:rPr>
                <w:sz w:val="20"/>
                <w:szCs w:val="20"/>
              </w:rPr>
              <w:t xml:space="preserve">Position Title: </w:t>
            </w:r>
          </w:p>
          <w:p w14:paraId="250CE80A" w14:textId="77777777" w:rsidR="000F3008" w:rsidRPr="004622EC" w:rsidRDefault="000F3008" w:rsidP="004622EC">
            <w:pPr>
              <w:spacing w:before="60"/>
              <w:rPr>
                <w:sz w:val="20"/>
                <w:szCs w:val="20"/>
              </w:rPr>
            </w:pPr>
            <w:r w:rsidRPr="004622EC">
              <w:rPr>
                <w:sz w:val="20"/>
                <w:szCs w:val="20"/>
              </w:rPr>
              <w:t>Type:</w:t>
            </w:r>
          </w:p>
          <w:p w14:paraId="7B2E9B8D" w14:textId="77777777" w:rsidR="000F3008" w:rsidRPr="004622EC" w:rsidRDefault="000F3008" w:rsidP="004622EC">
            <w:pPr>
              <w:spacing w:before="60"/>
              <w:rPr>
                <w:sz w:val="20"/>
                <w:szCs w:val="20"/>
              </w:rPr>
            </w:pPr>
            <w:r w:rsidRPr="004622EC">
              <w:rPr>
                <w:sz w:val="20"/>
                <w:szCs w:val="20"/>
              </w:rPr>
              <w:t xml:space="preserve">Project Title/Department: </w:t>
            </w:r>
          </w:p>
          <w:p w14:paraId="46125AD8" w14:textId="77777777" w:rsidR="000F3008" w:rsidRPr="004622EC" w:rsidRDefault="000F3008" w:rsidP="004622EC">
            <w:pPr>
              <w:spacing w:before="60"/>
              <w:rPr>
                <w:sz w:val="20"/>
                <w:szCs w:val="20"/>
              </w:rPr>
            </w:pPr>
            <w:r w:rsidRPr="004622EC">
              <w:rPr>
                <w:sz w:val="20"/>
                <w:szCs w:val="20"/>
              </w:rPr>
              <w:t>Duration of the service:</w:t>
            </w:r>
          </w:p>
          <w:p w14:paraId="4933FC97" w14:textId="77777777" w:rsidR="000F3008" w:rsidRPr="004622EC" w:rsidRDefault="000F3008" w:rsidP="004622EC">
            <w:pPr>
              <w:spacing w:before="60"/>
              <w:rPr>
                <w:sz w:val="20"/>
                <w:szCs w:val="20"/>
              </w:rPr>
            </w:pPr>
            <w:r w:rsidRPr="004622EC">
              <w:rPr>
                <w:sz w:val="20"/>
                <w:szCs w:val="20"/>
              </w:rPr>
              <w:t>Duty station:</w:t>
            </w:r>
          </w:p>
          <w:p w14:paraId="6A6E0AD0" w14:textId="77777777" w:rsidR="000F3008" w:rsidRPr="004622EC" w:rsidRDefault="000F3008" w:rsidP="004622EC">
            <w:pPr>
              <w:spacing w:before="60"/>
              <w:rPr>
                <w:sz w:val="20"/>
                <w:szCs w:val="20"/>
              </w:rPr>
            </w:pPr>
            <w:r w:rsidRPr="004622EC">
              <w:rPr>
                <w:sz w:val="20"/>
                <w:szCs w:val="20"/>
              </w:rPr>
              <w:t>Reports to:</w:t>
            </w:r>
          </w:p>
        </w:tc>
        <w:tc>
          <w:tcPr>
            <w:tcW w:w="7740" w:type="dxa"/>
          </w:tcPr>
          <w:p w14:paraId="1AA1C53A" w14:textId="77777777" w:rsidR="000F3008" w:rsidRPr="004622EC" w:rsidRDefault="000F3008" w:rsidP="004622EC">
            <w:pPr>
              <w:rPr>
                <w:sz w:val="20"/>
                <w:szCs w:val="20"/>
              </w:rPr>
            </w:pPr>
            <w:r w:rsidRPr="004622EC">
              <w:rPr>
                <w:b/>
                <w:sz w:val="20"/>
                <w:szCs w:val="20"/>
              </w:rPr>
              <w:t>Large-scale renewable energy Task Manager</w:t>
            </w:r>
          </w:p>
          <w:p w14:paraId="4B17F89E" w14:textId="77777777" w:rsidR="000F3008" w:rsidRPr="004622EC" w:rsidRDefault="0036451C" w:rsidP="004622EC">
            <w:pPr>
              <w:rPr>
                <w:sz w:val="20"/>
                <w:szCs w:val="20"/>
              </w:rPr>
            </w:pPr>
            <w:r w:rsidRPr="00043685">
              <w:rPr>
                <w:sz w:val="20"/>
                <w:szCs w:val="20"/>
              </w:rPr>
              <w:t>SB-3</w:t>
            </w:r>
          </w:p>
          <w:p w14:paraId="71A9A83A" w14:textId="77777777" w:rsidR="000F3008" w:rsidRPr="004622EC" w:rsidRDefault="000F3008" w:rsidP="00445AE7">
            <w:pPr>
              <w:rPr>
                <w:sz w:val="20"/>
                <w:szCs w:val="20"/>
              </w:rPr>
            </w:pPr>
            <w:r w:rsidRPr="004622EC">
              <w:rPr>
                <w:sz w:val="20"/>
                <w:szCs w:val="20"/>
              </w:rPr>
              <w:t>Derisking Renewable Energy Investment in Kazakhstan</w:t>
            </w:r>
          </w:p>
          <w:p w14:paraId="14A7A951" w14:textId="77777777" w:rsidR="000F3008" w:rsidRPr="004622EC" w:rsidRDefault="000F3008" w:rsidP="004622EC">
            <w:pPr>
              <w:spacing w:before="60"/>
              <w:rPr>
                <w:sz w:val="20"/>
                <w:szCs w:val="20"/>
              </w:rPr>
            </w:pPr>
            <w:r w:rsidRPr="004622EC">
              <w:rPr>
                <w:sz w:val="20"/>
                <w:szCs w:val="20"/>
              </w:rPr>
              <w:t>Full-time</w:t>
            </w:r>
          </w:p>
          <w:p w14:paraId="7F173FCB" w14:textId="77777777" w:rsidR="000F3008" w:rsidRPr="004622EC" w:rsidRDefault="000F3008" w:rsidP="004622EC">
            <w:pPr>
              <w:rPr>
                <w:sz w:val="20"/>
                <w:szCs w:val="20"/>
              </w:rPr>
            </w:pPr>
            <w:r w:rsidRPr="004622EC">
              <w:rPr>
                <w:sz w:val="20"/>
                <w:szCs w:val="20"/>
              </w:rPr>
              <w:t>1 year (with possible extension subject to satisfactory performance)</w:t>
            </w:r>
          </w:p>
          <w:p w14:paraId="39F757DE" w14:textId="77777777" w:rsidR="000F3008" w:rsidRPr="004622EC" w:rsidRDefault="000F3008" w:rsidP="004622EC">
            <w:pPr>
              <w:spacing w:before="60"/>
              <w:rPr>
                <w:sz w:val="20"/>
                <w:szCs w:val="20"/>
              </w:rPr>
            </w:pPr>
            <w:r w:rsidRPr="004622EC">
              <w:rPr>
                <w:sz w:val="20"/>
                <w:szCs w:val="20"/>
              </w:rPr>
              <w:t>Astana</w:t>
            </w:r>
          </w:p>
          <w:p w14:paraId="60F2A2B5" w14:textId="77777777" w:rsidR="000F3008" w:rsidRPr="004622EC" w:rsidRDefault="000F3008" w:rsidP="004622EC">
            <w:pPr>
              <w:spacing w:before="60"/>
              <w:rPr>
                <w:sz w:val="20"/>
                <w:szCs w:val="20"/>
              </w:rPr>
            </w:pPr>
            <w:r w:rsidRPr="004622EC">
              <w:rPr>
                <w:sz w:val="20"/>
                <w:szCs w:val="20"/>
              </w:rPr>
              <w:t xml:space="preserve">Project Manager </w:t>
            </w:r>
          </w:p>
        </w:tc>
      </w:tr>
      <w:tr w:rsidR="000F3008" w:rsidRPr="00FD551A" w14:paraId="2F3C4567" w14:textId="77777777" w:rsidTr="003E6878">
        <w:tblPrEx>
          <w:shd w:val="clear" w:color="auto" w:fill="E0E0E0"/>
        </w:tblPrEx>
        <w:tc>
          <w:tcPr>
            <w:tcW w:w="10908" w:type="dxa"/>
            <w:gridSpan w:val="3"/>
            <w:tcBorders>
              <w:bottom w:val="single" w:sz="4" w:space="0" w:color="auto"/>
            </w:tcBorders>
            <w:shd w:val="clear" w:color="auto" w:fill="E0E0E0"/>
          </w:tcPr>
          <w:p w14:paraId="08FEBA43" w14:textId="77777777" w:rsidR="000F3008" w:rsidRPr="004622EC" w:rsidRDefault="000F3008" w:rsidP="004622EC">
            <w:pPr>
              <w:rPr>
                <w:b/>
                <w:sz w:val="20"/>
                <w:szCs w:val="20"/>
              </w:rPr>
            </w:pPr>
            <w:r w:rsidRPr="004622EC">
              <w:rPr>
                <w:b/>
                <w:sz w:val="20"/>
                <w:szCs w:val="20"/>
              </w:rPr>
              <w:t>II. Background information</w:t>
            </w:r>
          </w:p>
        </w:tc>
      </w:tr>
      <w:tr w:rsidR="000F3008" w:rsidRPr="00FD551A" w14:paraId="34D0062C" w14:textId="77777777" w:rsidTr="003E6878">
        <w:tblPrEx>
          <w:shd w:val="clear" w:color="auto" w:fill="E0E0E0"/>
        </w:tblPrEx>
        <w:tc>
          <w:tcPr>
            <w:tcW w:w="10908" w:type="dxa"/>
            <w:gridSpan w:val="3"/>
          </w:tcPr>
          <w:p w14:paraId="363F4893" w14:textId="77777777" w:rsidR="000F3008" w:rsidRPr="004622EC" w:rsidRDefault="000F3008" w:rsidP="004622EC">
            <w:pPr>
              <w:widowControl w:val="0"/>
              <w:spacing w:before="60"/>
              <w:rPr>
                <w:sz w:val="20"/>
                <w:szCs w:val="20"/>
              </w:rPr>
            </w:pPr>
            <w:r w:rsidRPr="004622EC">
              <w:rPr>
                <w:sz w:val="20"/>
                <w:szCs w:val="20"/>
              </w:rPr>
              <w:t>Under the guidance and supervision of the Project Manager, the Task Manager provides operational and thematic services ensuring high quality, accuracy and consistency of work. The Task Manager works in close collaboration with the Government counterparts, project, operations, and Programme’s staff in the CO to exchange information and ensure consistent service delivery, and undertake day-to-day responsibility for operational and thematic support services for the satisfactory achievement of the project component outputs.</w:t>
            </w:r>
          </w:p>
        </w:tc>
      </w:tr>
      <w:tr w:rsidR="000F3008" w:rsidRPr="00FD551A" w14:paraId="55F99F09" w14:textId="77777777" w:rsidTr="004622EC">
        <w:tblPrEx>
          <w:shd w:val="clear" w:color="auto" w:fill="E0E0E0"/>
        </w:tblPrEx>
        <w:tc>
          <w:tcPr>
            <w:tcW w:w="10908" w:type="dxa"/>
            <w:gridSpan w:val="3"/>
            <w:shd w:val="clear" w:color="auto" w:fill="E0E0E0"/>
          </w:tcPr>
          <w:p w14:paraId="2B898680" w14:textId="77777777" w:rsidR="000F3008" w:rsidRPr="004622EC" w:rsidRDefault="000F3008" w:rsidP="004622EC">
            <w:pPr>
              <w:widowControl w:val="0"/>
              <w:rPr>
                <w:b/>
                <w:sz w:val="20"/>
                <w:szCs w:val="20"/>
              </w:rPr>
            </w:pPr>
            <w:r w:rsidRPr="004622EC">
              <w:rPr>
                <w:b/>
                <w:sz w:val="20"/>
                <w:szCs w:val="20"/>
              </w:rPr>
              <w:t>III. Functions / Key Outputs Expected</w:t>
            </w:r>
          </w:p>
        </w:tc>
      </w:tr>
      <w:tr w:rsidR="000F3008" w:rsidRPr="00FD551A" w14:paraId="200D71DF" w14:textId="77777777" w:rsidTr="004622EC">
        <w:tblPrEx>
          <w:shd w:val="clear" w:color="auto" w:fill="E0E0E0"/>
        </w:tblPrEx>
        <w:tc>
          <w:tcPr>
            <w:tcW w:w="10908" w:type="dxa"/>
            <w:gridSpan w:val="3"/>
          </w:tcPr>
          <w:p w14:paraId="6457017F" w14:textId="77777777" w:rsidR="000F3008" w:rsidRPr="004622EC" w:rsidRDefault="000F3008" w:rsidP="004622EC">
            <w:pPr>
              <w:widowControl w:val="0"/>
              <w:spacing w:before="60"/>
              <w:rPr>
                <w:sz w:val="20"/>
                <w:szCs w:val="20"/>
              </w:rPr>
            </w:pPr>
            <w:r w:rsidRPr="004622EC">
              <w:rPr>
                <w:i/>
                <w:sz w:val="20"/>
                <w:szCs w:val="20"/>
                <w:u w:val="single"/>
              </w:rPr>
              <w:t xml:space="preserve">Thematic functions: </w:t>
            </w:r>
            <w:r w:rsidRPr="004622EC">
              <w:rPr>
                <w:sz w:val="20"/>
                <w:szCs w:val="20"/>
              </w:rPr>
              <w:t xml:space="preserve">Provide technical and administrative assistance for </w:t>
            </w:r>
            <w:r w:rsidR="00C953AA" w:rsidRPr="002B343A">
              <w:rPr>
                <w:sz w:val="20"/>
                <w:szCs w:val="20"/>
              </w:rPr>
              <w:t>delivery</w:t>
            </w:r>
            <w:r w:rsidRPr="004622EC">
              <w:rPr>
                <w:sz w:val="20"/>
                <w:szCs w:val="20"/>
              </w:rPr>
              <w:t xml:space="preserve"> of the Component 1 of the Project including the following outputs: </w:t>
            </w:r>
          </w:p>
          <w:p w14:paraId="78E14E2F" w14:textId="77777777" w:rsidR="000F3008" w:rsidRPr="004622EC" w:rsidRDefault="000F3008" w:rsidP="004622EC">
            <w:pPr>
              <w:widowControl w:val="0"/>
              <w:spacing w:before="60"/>
              <w:rPr>
                <w:sz w:val="20"/>
                <w:szCs w:val="20"/>
              </w:rPr>
            </w:pPr>
            <w:r w:rsidRPr="004622EC">
              <w:rPr>
                <w:sz w:val="20"/>
                <w:szCs w:val="20"/>
              </w:rPr>
              <w:t>Output 1.1 Technical, economic, financial, environmental and social analysis carried out to support the Ministry of Energy and other stakeholders in the design and implementation of appropriate policies, programmes and regulations, including development of briefings for decision-makers</w:t>
            </w:r>
          </w:p>
          <w:p w14:paraId="7681543C" w14:textId="77777777" w:rsidR="000F3008" w:rsidRPr="004622EC" w:rsidRDefault="000F3008" w:rsidP="004622EC">
            <w:pPr>
              <w:widowControl w:val="0"/>
              <w:spacing w:before="60"/>
              <w:rPr>
                <w:sz w:val="20"/>
                <w:szCs w:val="20"/>
              </w:rPr>
            </w:pPr>
            <w:r w:rsidRPr="004622EC">
              <w:rPr>
                <w:sz w:val="20"/>
                <w:szCs w:val="20"/>
              </w:rPr>
              <w:t xml:space="preserve">Activity 1.1.1: Implement financial and economic analyses for cost-effective and coordinated design of policy and financial derisking instruments to achieve the 2030 target. </w:t>
            </w:r>
          </w:p>
          <w:p w14:paraId="5A89890B" w14:textId="77777777" w:rsidR="000F3008" w:rsidRPr="004622EC" w:rsidRDefault="000F3008" w:rsidP="004622EC">
            <w:pPr>
              <w:widowControl w:val="0"/>
              <w:spacing w:before="60"/>
              <w:rPr>
                <w:sz w:val="20"/>
                <w:szCs w:val="20"/>
              </w:rPr>
            </w:pPr>
            <w:r w:rsidRPr="004622EC">
              <w:rPr>
                <w:sz w:val="20"/>
                <w:szCs w:val="20"/>
              </w:rPr>
              <w:t>While the DREI analysis represents a first level analysis it does not take into account subsidies present in the traditional energy sector. These subsidies are not easily quantified, but they can be expected to have a signi</w:t>
            </w:r>
            <w:r w:rsidR="00C953AA">
              <w:rPr>
                <w:sz w:val="20"/>
                <w:szCs w:val="20"/>
              </w:rPr>
              <w:t>fi</w:t>
            </w:r>
            <w:r w:rsidRPr="004622EC">
              <w:rPr>
                <w:sz w:val="20"/>
                <w:szCs w:val="20"/>
              </w:rPr>
              <w:t>cant impact on the economic costs of the traditional energy sector that has not been taken into account. Further work on this will allow a clearer picture to emerge of the real costs of traditional energy and renewable alternatives.</w:t>
            </w:r>
          </w:p>
          <w:p w14:paraId="695B3F97" w14:textId="77777777" w:rsidR="000F3008" w:rsidRPr="004622EC" w:rsidRDefault="000F3008" w:rsidP="004622EC">
            <w:pPr>
              <w:widowControl w:val="0"/>
              <w:spacing w:before="60"/>
              <w:rPr>
                <w:sz w:val="20"/>
                <w:szCs w:val="20"/>
              </w:rPr>
            </w:pPr>
            <w:r w:rsidRPr="004622EC">
              <w:rPr>
                <w:sz w:val="20"/>
                <w:szCs w:val="20"/>
              </w:rPr>
              <w:t>Activity 1.1.2: Develop improvements in the methodology for setting and reviewing the feed in tariff</w:t>
            </w:r>
          </w:p>
          <w:p w14:paraId="6CA36077" w14:textId="77777777" w:rsidR="000F3008" w:rsidRPr="004622EC" w:rsidRDefault="000F3008" w:rsidP="004622EC">
            <w:pPr>
              <w:widowControl w:val="0"/>
              <w:spacing w:before="60"/>
              <w:rPr>
                <w:sz w:val="20"/>
                <w:szCs w:val="20"/>
              </w:rPr>
            </w:pPr>
            <w:r w:rsidRPr="004622EC">
              <w:rPr>
                <w:sz w:val="20"/>
                <w:szCs w:val="20"/>
              </w:rPr>
              <w:t>Activity 1.1.3: Develop analysis and recommendations on land allocation rules and procedures to address short-term / long-term needs (as reflected in the 1 July 2016 Land Code)</w:t>
            </w:r>
          </w:p>
          <w:p w14:paraId="52B8A28D" w14:textId="77777777" w:rsidR="000F3008" w:rsidRPr="004622EC" w:rsidRDefault="000F3008" w:rsidP="004622EC">
            <w:pPr>
              <w:widowControl w:val="0"/>
              <w:spacing w:before="60"/>
              <w:rPr>
                <w:sz w:val="20"/>
                <w:szCs w:val="20"/>
              </w:rPr>
            </w:pPr>
            <w:r w:rsidRPr="004622EC">
              <w:rPr>
                <w:sz w:val="20"/>
                <w:szCs w:val="20"/>
              </w:rPr>
              <w:t>Activity 1.1.4: Develop technical rules for renewables, including analyzing and providing argumentation related to the new obligation on solar PV operators to install and operate batteries at the request of the system operator for use of batteries for PV</w:t>
            </w:r>
          </w:p>
          <w:p w14:paraId="1040D5AA" w14:textId="77777777" w:rsidR="000F3008" w:rsidRPr="004622EC" w:rsidRDefault="000F3008" w:rsidP="004622EC">
            <w:pPr>
              <w:widowControl w:val="0"/>
              <w:spacing w:before="60"/>
              <w:rPr>
                <w:sz w:val="20"/>
                <w:szCs w:val="20"/>
              </w:rPr>
            </w:pPr>
            <w:r w:rsidRPr="004622EC">
              <w:rPr>
                <w:sz w:val="20"/>
                <w:szCs w:val="20"/>
              </w:rPr>
              <w:t>Activity 1.1.5: Develop approaches and recommendations on the participation of conventional power producers in the renewable energy market (i.e. when acquiring renewable energy power plants)</w:t>
            </w:r>
          </w:p>
          <w:p w14:paraId="22519774" w14:textId="77777777" w:rsidR="000F3008" w:rsidRPr="004622EC" w:rsidRDefault="000F3008" w:rsidP="004622EC">
            <w:pPr>
              <w:widowControl w:val="0"/>
              <w:spacing w:before="60"/>
              <w:rPr>
                <w:sz w:val="20"/>
                <w:szCs w:val="20"/>
              </w:rPr>
            </w:pPr>
            <w:r w:rsidRPr="004622EC">
              <w:rPr>
                <w:sz w:val="20"/>
                <w:szCs w:val="20"/>
              </w:rPr>
              <w:t>Activity 1.1.6: Carry out analytical and legal work to address the long-term creditworthiness of the Settlement Centre</w:t>
            </w:r>
          </w:p>
          <w:p w14:paraId="2F2BF590" w14:textId="77777777" w:rsidR="000F3008" w:rsidRPr="004622EC" w:rsidRDefault="000F3008" w:rsidP="004622EC">
            <w:pPr>
              <w:widowControl w:val="0"/>
              <w:spacing w:before="60"/>
              <w:rPr>
                <w:sz w:val="20"/>
                <w:szCs w:val="20"/>
              </w:rPr>
            </w:pPr>
            <w:r w:rsidRPr="004622EC">
              <w:rPr>
                <w:sz w:val="20"/>
                <w:szCs w:val="20"/>
              </w:rPr>
              <w:t>Activity 1.1.7: Develop recommendations on a guarantee scheme for PPAs</w:t>
            </w:r>
          </w:p>
          <w:p w14:paraId="44786689" w14:textId="77777777" w:rsidR="000F3008" w:rsidRPr="004622EC" w:rsidRDefault="000F3008" w:rsidP="004622EC">
            <w:pPr>
              <w:widowControl w:val="0"/>
              <w:spacing w:before="60"/>
              <w:rPr>
                <w:sz w:val="20"/>
                <w:szCs w:val="20"/>
              </w:rPr>
            </w:pPr>
            <w:r w:rsidRPr="004622EC">
              <w:rPr>
                <w:sz w:val="20"/>
                <w:szCs w:val="20"/>
              </w:rPr>
              <w:t>Activity 1.1.8: Implement analysis of payment reflows and risk exposures under the FiT and auction models</w:t>
            </w:r>
          </w:p>
          <w:p w14:paraId="5A026BB6" w14:textId="77777777" w:rsidR="000F3008" w:rsidRPr="004622EC" w:rsidRDefault="000F3008" w:rsidP="004622EC">
            <w:pPr>
              <w:widowControl w:val="0"/>
              <w:spacing w:before="60"/>
              <w:rPr>
                <w:sz w:val="20"/>
                <w:szCs w:val="20"/>
              </w:rPr>
            </w:pPr>
            <w:r w:rsidRPr="004622EC">
              <w:rPr>
                <w:sz w:val="20"/>
                <w:szCs w:val="20"/>
              </w:rPr>
              <w:t>Activity 1.1.9: Implement analysis and guidance on approaches to address currency risk through, for instance, partial indexation</w:t>
            </w:r>
          </w:p>
          <w:p w14:paraId="29EB0C12" w14:textId="77777777" w:rsidR="000F3008" w:rsidRPr="004622EC" w:rsidRDefault="000F3008" w:rsidP="004622EC">
            <w:pPr>
              <w:widowControl w:val="0"/>
              <w:spacing w:before="60"/>
              <w:rPr>
                <w:sz w:val="20"/>
                <w:szCs w:val="20"/>
              </w:rPr>
            </w:pPr>
            <w:r w:rsidRPr="004622EC">
              <w:rPr>
                <w:sz w:val="20"/>
                <w:szCs w:val="20"/>
              </w:rPr>
              <w:t>Output 1.2 Capacity building of key stakeholders through coaching and training seminars / study tours</w:t>
            </w:r>
          </w:p>
          <w:p w14:paraId="393AD80B" w14:textId="77777777" w:rsidR="000F3008" w:rsidRPr="004622EC" w:rsidRDefault="000F3008" w:rsidP="004622EC">
            <w:pPr>
              <w:widowControl w:val="0"/>
              <w:spacing w:before="60"/>
              <w:rPr>
                <w:sz w:val="20"/>
                <w:szCs w:val="20"/>
              </w:rPr>
            </w:pPr>
            <w:r w:rsidRPr="004622EC">
              <w:rPr>
                <w:sz w:val="20"/>
                <w:szCs w:val="20"/>
              </w:rPr>
              <w:t xml:space="preserve">Activity 1.2.1: Carry out training needs assessment and provide training for local staff-members on large-scale renewable energy development issues. </w:t>
            </w:r>
          </w:p>
          <w:p w14:paraId="217EFF1B" w14:textId="77777777" w:rsidR="000F3008" w:rsidRPr="004622EC" w:rsidRDefault="000F3008" w:rsidP="004622EC">
            <w:pPr>
              <w:widowControl w:val="0"/>
              <w:spacing w:before="60"/>
              <w:rPr>
                <w:sz w:val="20"/>
                <w:szCs w:val="20"/>
              </w:rPr>
            </w:pPr>
            <w:r w:rsidRPr="004622EC">
              <w:rPr>
                <w:sz w:val="20"/>
                <w:szCs w:val="20"/>
              </w:rPr>
              <w:t>Activity 1.2.2: Organise regular information exchange events, conferences, workshops and seminars on large-scale renewable energy issues.</w:t>
            </w:r>
          </w:p>
        </w:tc>
      </w:tr>
      <w:tr w:rsidR="000F3008" w:rsidRPr="00FD551A" w14:paraId="350412F2" w14:textId="77777777" w:rsidTr="003E6878">
        <w:tblPrEx>
          <w:shd w:val="clear" w:color="auto" w:fill="E0E0E0"/>
        </w:tblPrEx>
        <w:tc>
          <w:tcPr>
            <w:tcW w:w="10908" w:type="dxa"/>
            <w:gridSpan w:val="3"/>
          </w:tcPr>
          <w:p w14:paraId="3ED6414B" w14:textId="77777777" w:rsidR="000F3008" w:rsidRPr="00FD551A" w:rsidRDefault="000F3008" w:rsidP="004622EC">
            <w:pPr>
              <w:pStyle w:val="Default"/>
              <w:widowControl w:val="0"/>
              <w:rPr>
                <w:rFonts w:ascii="Calibri" w:hAnsi="Calibri"/>
                <w:i/>
                <w:sz w:val="20"/>
                <w:szCs w:val="20"/>
                <w:u w:val="single"/>
                <w:lang w:val="en-GB"/>
              </w:rPr>
            </w:pPr>
            <w:r w:rsidRPr="00FD551A">
              <w:rPr>
                <w:rFonts w:ascii="Calibri" w:hAnsi="Calibri"/>
                <w:i/>
                <w:sz w:val="20"/>
                <w:szCs w:val="20"/>
                <w:u w:val="single"/>
                <w:lang w:val="en-GB"/>
              </w:rPr>
              <w:t>Operational functions:</w:t>
            </w:r>
          </w:p>
          <w:p w14:paraId="3C93A673" w14:textId="77777777" w:rsidR="000F3008" w:rsidRPr="00FD551A" w:rsidRDefault="000F3008" w:rsidP="004622EC">
            <w:pPr>
              <w:pStyle w:val="Default"/>
              <w:widowControl w:val="0"/>
              <w:rPr>
                <w:rFonts w:ascii="Calibri" w:hAnsi="Calibri"/>
                <w:b/>
                <w:bCs/>
                <w:color w:val="auto"/>
                <w:sz w:val="20"/>
                <w:szCs w:val="20"/>
                <w:lang w:val="en-GB" w:eastAsia="de-DE"/>
              </w:rPr>
            </w:pPr>
            <w:r w:rsidRPr="00FD551A">
              <w:rPr>
                <w:rFonts w:ascii="Calibri" w:hAnsi="Calibri"/>
                <w:b/>
                <w:sz w:val="20"/>
                <w:szCs w:val="20"/>
              </w:rPr>
              <w:t xml:space="preserve">1. Contribution to Inception Phase, </w:t>
            </w:r>
            <w:r w:rsidRPr="00FD551A">
              <w:rPr>
                <w:rFonts w:ascii="Calibri" w:hAnsi="Calibri"/>
                <w:b/>
                <w:bCs/>
                <w:color w:val="auto"/>
                <w:sz w:val="20"/>
                <w:szCs w:val="20"/>
                <w:lang w:val="en-GB" w:eastAsia="de-DE"/>
              </w:rPr>
              <w:t>Periodic Review of Project Implementation and Advice on Improvement</w:t>
            </w:r>
          </w:p>
          <w:p w14:paraId="07655935" w14:textId="77777777" w:rsidR="000F3008" w:rsidRPr="004622EC" w:rsidRDefault="000F3008" w:rsidP="0020322F">
            <w:pPr>
              <w:widowControl w:val="0"/>
              <w:numPr>
                <w:ilvl w:val="0"/>
                <w:numId w:val="35"/>
              </w:numPr>
              <w:rPr>
                <w:bCs/>
                <w:sz w:val="20"/>
                <w:szCs w:val="20"/>
                <w:lang w:eastAsia="de-DE"/>
              </w:rPr>
            </w:pPr>
            <w:r w:rsidRPr="004622EC">
              <w:rPr>
                <w:bCs/>
                <w:sz w:val="20"/>
                <w:szCs w:val="20"/>
                <w:lang w:eastAsia="de-DE"/>
              </w:rPr>
              <w:t>Contribute to the project inception phase, develop inception report and attend inception workshop;</w:t>
            </w:r>
          </w:p>
          <w:p w14:paraId="561BE80C" w14:textId="77777777" w:rsidR="000F3008" w:rsidRPr="004622EC" w:rsidRDefault="000F3008" w:rsidP="0020322F">
            <w:pPr>
              <w:widowControl w:val="0"/>
              <w:numPr>
                <w:ilvl w:val="0"/>
                <w:numId w:val="35"/>
              </w:numPr>
              <w:rPr>
                <w:bCs/>
                <w:sz w:val="20"/>
                <w:szCs w:val="20"/>
                <w:lang w:eastAsia="de-DE"/>
              </w:rPr>
            </w:pPr>
            <w:r w:rsidRPr="004622EC">
              <w:rPr>
                <w:bCs/>
                <w:sz w:val="20"/>
                <w:szCs w:val="20"/>
                <w:lang w:eastAsia="de-DE"/>
              </w:rPr>
              <w:t>Coordinate with the PM and team in order to monitor progress, assist in planning, and identify key technical problems (if any) and means for solving them;</w:t>
            </w:r>
          </w:p>
          <w:p w14:paraId="07A1EB21" w14:textId="77777777" w:rsidR="000F3008" w:rsidRPr="00FD551A" w:rsidRDefault="000F3008" w:rsidP="0020322F">
            <w:pPr>
              <w:pStyle w:val="Default"/>
              <w:widowControl w:val="0"/>
              <w:numPr>
                <w:ilvl w:val="0"/>
                <w:numId w:val="35"/>
              </w:numPr>
              <w:rPr>
                <w:rFonts w:ascii="Calibri" w:hAnsi="Calibri"/>
                <w:b/>
                <w:bCs/>
                <w:i/>
                <w:color w:val="auto"/>
                <w:sz w:val="20"/>
                <w:szCs w:val="20"/>
                <w:lang w:val="en-GB" w:eastAsia="de-DE"/>
              </w:rPr>
            </w:pPr>
            <w:r w:rsidRPr="00FD551A">
              <w:rPr>
                <w:rFonts w:ascii="Calibri" w:hAnsi="Calibri"/>
                <w:bCs/>
                <w:color w:val="auto"/>
                <w:sz w:val="20"/>
                <w:szCs w:val="20"/>
                <w:lang w:val="en-GB" w:eastAsia="de-DE"/>
              </w:rPr>
              <w:t xml:space="preserve">Participate, when feasible, in Project Steering Committee Meetings and other relevant project meetings; </w:t>
            </w:r>
          </w:p>
          <w:p w14:paraId="69C61180" w14:textId="77777777" w:rsidR="000F3008" w:rsidRPr="004622EC" w:rsidRDefault="000F3008" w:rsidP="0020322F">
            <w:pPr>
              <w:widowControl w:val="0"/>
              <w:numPr>
                <w:ilvl w:val="0"/>
                <w:numId w:val="35"/>
              </w:numPr>
              <w:spacing w:before="100" w:beforeAutospacing="1" w:after="100" w:afterAutospacing="1"/>
              <w:rPr>
                <w:sz w:val="20"/>
                <w:szCs w:val="20"/>
              </w:rPr>
            </w:pPr>
            <w:r w:rsidRPr="004622EC">
              <w:rPr>
                <w:sz w:val="20"/>
                <w:szCs w:val="20"/>
              </w:rPr>
              <w:t>Assist in capturing the key lessons and developing a replication plan for other regions and communities in Kazakhstan. As part of the replication strategy, assist in developing replication materials for wider dissemination and application of project results and lessons learned;</w:t>
            </w:r>
          </w:p>
          <w:p w14:paraId="6E9A4466" w14:textId="77777777" w:rsidR="000F3008" w:rsidRPr="004622EC" w:rsidRDefault="000F3008" w:rsidP="0020322F">
            <w:pPr>
              <w:widowControl w:val="0"/>
              <w:numPr>
                <w:ilvl w:val="0"/>
                <w:numId w:val="35"/>
              </w:numPr>
              <w:spacing w:before="60"/>
              <w:rPr>
                <w:sz w:val="20"/>
                <w:szCs w:val="20"/>
              </w:rPr>
            </w:pPr>
            <w:r w:rsidRPr="004622EC">
              <w:rPr>
                <w:sz w:val="20"/>
                <w:szCs w:val="20"/>
              </w:rPr>
              <w:t>In cooperation with the project team and UNDP CO, develop a suitable project exit strategy, and present it for approval to the PSC Meeting.</w:t>
            </w:r>
          </w:p>
          <w:p w14:paraId="2F3EE249" w14:textId="77777777" w:rsidR="000F3008" w:rsidRPr="00FD551A" w:rsidRDefault="000F3008" w:rsidP="004622EC">
            <w:pPr>
              <w:pStyle w:val="Default"/>
              <w:widowControl w:val="0"/>
              <w:spacing w:before="60"/>
              <w:rPr>
                <w:rFonts w:ascii="Calibri" w:hAnsi="Calibri"/>
                <w:b/>
                <w:sz w:val="20"/>
                <w:szCs w:val="20"/>
              </w:rPr>
            </w:pPr>
            <w:r w:rsidRPr="00FD551A">
              <w:rPr>
                <w:rFonts w:ascii="Calibri" w:hAnsi="Calibri"/>
                <w:b/>
                <w:sz w:val="20"/>
                <w:szCs w:val="20"/>
              </w:rPr>
              <w:t>2. Assistance in Planning, Staff Recruitment, Monitoring and Evaluation</w:t>
            </w:r>
          </w:p>
          <w:p w14:paraId="1A7BCD49" w14:textId="77777777" w:rsidR="000F3008" w:rsidRPr="004622EC" w:rsidRDefault="000F3008" w:rsidP="0020322F">
            <w:pPr>
              <w:widowControl w:val="0"/>
              <w:numPr>
                <w:ilvl w:val="0"/>
                <w:numId w:val="35"/>
              </w:numPr>
              <w:rPr>
                <w:sz w:val="20"/>
                <w:szCs w:val="20"/>
              </w:rPr>
            </w:pPr>
            <w:r w:rsidRPr="004622EC">
              <w:rPr>
                <w:sz w:val="20"/>
                <w:szCs w:val="20"/>
              </w:rPr>
              <w:t>Provide support and advice for preparation or revision of key planning and evaluation documents such as the project Annual Plan of Actions(APAs), Annual Work Plan (AWPs), Project Implementation Reviews (PIRs), progress reports, monitoring and review reports etc.;</w:t>
            </w:r>
          </w:p>
          <w:p w14:paraId="1A7F16EE" w14:textId="77777777" w:rsidR="000F3008" w:rsidRPr="004622EC" w:rsidRDefault="000F3008" w:rsidP="0020322F">
            <w:pPr>
              <w:widowControl w:val="0"/>
              <w:numPr>
                <w:ilvl w:val="0"/>
                <w:numId w:val="35"/>
              </w:numPr>
              <w:rPr>
                <w:b/>
                <w:bCs/>
                <w:i/>
                <w:sz w:val="20"/>
                <w:szCs w:val="20"/>
                <w:lang w:eastAsia="de-DE"/>
              </w:rPr>
            </w:pPr>
            <w:r w:rsidRPr="004622EC">
              <w:rPr>
                <w:sz w:val="20"/>
                <w:szCs w:val="20"/>
              </w:rPr>
              <w:t>Assist in the development of relevant Terms of References and mobilization of qualified national and international experts and organizations needed to provide specific consultancy services;</w:t>
            </w:r>
          </w:p>
          <w:p w14:paraId="189F5EC9" w14:textId="77777777" w:rsidR="000F3008" w:rsidRPr="005E7FF6" w:rsidRDefault="000F3008" w:rsidP="0020322F">
            <w:pPr>
              <w:widowControl w:val="0"/>
              <w:numPr>
                <w:ilvl w:val="0"/>
                <w:numId w:val="35"/>
              </w:numPr>
              <w:tabs>
                <w:tab w:val="num" w:pos="360"/>
              </w:tabs>
              <w:rPr>
                <w:i/>
                <w:sz w:val="20"/>
                <w:szCs w:val="20"/>
              </w:rPr>
            </w:pPr>
            <w:r w:rsidRPr="004622EC">
              <w:rPr>
                <w:sz w:val="20"/>
                <w:szCs w:val="20"/>
              </w:rPr>
              <w:t>Support Project Manager in the preparation and implementation of the Mid-Term and Terminal Evaluations (TORs, selection of appropriate candidates, accompaniment of field missions if and when required, discussion with evaluators, etc.).</w:t>
            </w:r>
          </w:p>
        </w:tc>
      </w:tr>
      <w:tr w:rsidR="000F3008" w:rsidRPr="00FD551A" w14:paraId="55416EFE" w14:textId="77777777" w:rsidTr="003E6878">
        <w:tblPrEx>
          <w:shd w:val="clear" w:color="auto" w:fill="E0E0E0"/>
        </w:tblPrEx>
        <w:tc>
          <w:tcPr>
            <w:tcW w:w="10908" w:type="dxa"/>
            <w:gridSpan w:val="3"/>
            <w:shd w:val="clear" w:color="auto" w:fill="E0E0E0"/>
          </w:tcPr>
          <w:p w14:paraId="7857A427" w14:textId="77777777" w:rsidR="000F3008" w:rsidRPr="004622EC" w:rsidRDefault="000F3008" w:rsidP="004622EC">
            <w:pPr>
              <w:rPr>
                <w:b/>
                <w:bCs/>
                <w:sz w:val="20"/>
                <w:szCs w:val="20"/>
              </w:rPr>
            </w:pPr>
            <w:r w:rsidRPr="004622EC">
              <w:rPr>
                <w:b/>
                <w:bCs/>
                <w:sz w:val="20"/>
                <w:szCs w:val="20"/>
              </w:rPr>
              <w:t>IV. Recruitment Qualifications</w:t>
            </w:r>
          </w:p>
        </w:tc>
      </w:tr>
      <w:tr w:rsidR="000F3008" w:rsidRPr="00FD551A" w14:paraId="33675C56" w14:textId="77777777" w:rsidTr="003E6878">
        <w:tblPrEx>
          <w:shd w:val="clear" w:color="auto" w:fill="E0E0E0"/>
        </w:tblPrEx>
        <w:trPr>
          <w:trHeight w:val="230"/>
        </w:trPr>
        <w:tc>
          <w:tcPr>
            <w:tcW w:w="2988" w:type="dxa"/>
            <w:tcBorders>
              <w:bottom w:val="single" w:sz="4" w:space="0" w:color="auto"/>
            </w:tcBorders>
            <w:vAlign w:val="center"/>
          </w:tcPr>
          <w:p w14:paraId="4A4BE5CF" w14:textId="77777777" w:rsidR="000F3008" w:rsidRPr="004622EC" w:rsidRDefault="000F3008" w:rsidP="004622EC">
            <w:pPr>
              <w:rPr>
                <w:sz w:val="20"/>
                <w:szCs w:val="20"/>
              </w:rPr>
            </w:pPr>
            <w:r w:rsidRPr="004622EC">
              <w:rPr>
                <w:sz w:val="20"/>
                <w:szCs w:val="20"/>
              </w:rPr>
              <w:t>Education:</w:t>
            </w:r>
          </w:p>
        </w:tc>
        <w:tc>
          <w:tcPr>
            <w:tcW w:w="7920" w:type="dxa"/>
            <w:gridSpan w:val="2"/>
            <w:tcBorders>
              <w:bottom w:val="single" w:sz="4" w:space="0" w:color="auto"/>
            </w:tcBorders>
            <w:vAlign w:val="center"/>
          </w:tcPr>
          <w:p w14:paraId="5CBC0060" w14:textId="77777777" w:rsidR="000F3008" w:rsidRPr="004622EC" w:rsidRDefault="000F3008" w:rsidP="004622EC">
            <w:pPr>
              <w:tabs>
                <w:tab w:val="num" w:pos="540"/>
              </w:tabs>
              <w:ind w:left="72"/>
              <w:rPr>
                <w:sz w:val="20"/>
                <w:szCs w:val="20"/>
              </w:rPr>
            </w:pPr>
            <w:r w:rsidRPr="004622EC">
              <w:rPr>
                <w:sz w:val="20"/>
                <w:szCs w:val="20"/>
              </w:rPr>
              <w:t>Advanced degree (master's level, equivalent or higher) in the field of energy, environment or energy engineering.</w:t>
            </w:r>
          </w:p>
        </w:tc>
      </w:tr>
      <w:tr w:rsidR="000F3008" w:rsidRPr="00FD551A" w14:paraId="4AF42A33" w14:textId="77777777" w:rsidTr="003E6878">
        <w:tblPrEx>
          <w:shd w:val="clear" w:color="auto" w:fill="E0E0E0"/>
        </w:tblPrEx>
        <w:trPr>
          <w:trHeight w:val="230"/>
        </w:trPr>
        <w:tc>
          <w:tcPr>
            <w:tcW w:w="2988" w:type="dxa"/>
            <w:tcBorders>
              <w:bottom w:val="single" w:sz="4" w:space="0" w:color="auto"/>
            </w:tcBorders>
            <w:vAlign w:val="center"/>
          </w:tcPr>
          <w:p w14:paraId="1F4E1394" w14:textId="77777777" w:rsidR="000F3008" w:rsidRPr="004622EC" w:rsidRDefault="000F3008" w:rsidP="004622EC">
            <w:pPr>
              <w:rPr>
                <w:sz w:val="20"/>
                <w:szCs w:val="20"/>
              </w:rPr>
            </w:pPr>
            <w:r w:rsidRPr="004622EC">
              <w:rPr>
                <w:sz w:val="20"/>
                <w:szCs w:val="20"/>
              </w:rPr>
              <w:t>Experience:</w:t>
            </w:r>
          </w:p>
        </w:tc>
        <w:tc>
          <w:tcPr>
            <w:tcW w:w="7920" w:type="dxa"/>
            <w:gridSpan w:val="2"/>
            <w:tcBorders>
              <w:bottom w:val="single" w:sz="4" w:space="0" w:color="auto"/>
            </w:tcBorders>
            <w:vAlign w:val="center"/>
          </w:tcPr>
          <w:p w14:paraId="1151E16C" w14:textId="77777777" w:rsidR="000F3008" w:rsidRPr="004622EC" w:rsidRDefault="000F3008" w:rsidP="004622EC">
            <w:pPr>
              <w:tabs>
                <w:tab w:val="left" w:pos="72"/>
                <w:tab w:val="left" w:pos="252"/>
              </w:tabs>
              <w:ind w:left="74"/>
              <w:rPr>
                <w:sz w:val="20"/>
                <w:szCs w:val="20"/>
              </w:rPr>
            </w:pPr>
            <w:r w:rsidRPr="004622EC">
              <w:rPr>
                <w:sz w:val="20"/>
                <w:szCs w:val="20"/>
              </w:rPr>
              <w:t>At least 10 years of practical experience in:</w:t>
            </w:r>
          </w:p>
          <w:p w14:paraId="0D4198BF" w14:textId="77777777" w:rsidR="000F3008" w:rsidRPr="004622EC" w:rsidRDefault="00974AA4" w:rsidP="0020322F">
            <w:pPr>
              <w:numPr>
                <w:ilvl w:val="0"/>
                <w:numId w:val="36"/>
              </w:numPr>
              <w:tabs>
                <w:tab w:val="left" w:pos="131"/>
                <w:tab w:val="left" w:pos="252"/>
              </w:tabs>
              <w:ind w:left="273" w:hanging="142"/>
              <w:rPr>
                <w:sz w:val="20"/>
                <w:szCs w:val="20"/>
              </w:rPr>
            </w:pPr>
            <w:r>
              <w:rPr>
                <w:sz w:val="20"/>
                <w:szCs w:val="20"/>
              </w:rPr>
              <w:t>Development</w:t>
            </w:r>
            <w:r w:rsidR="00032504" w:rsidRPr="004622EC">
              <w:rPr>
                <w:sz w:val="20"/>
                <w:szCs w:val="20"/>
              </w:rPr>
              <w:t xml:space="preserve"> of large-scale RES policy analysis and </w:t>
            </w:r>
            <w:r>
              <w:rPr>
                <w:sz w:val="20"/>
                <w:szCs w:val="20"/>
              </w:rPr>
              <w:t>design</w:t>
            </w:r>
            <w:r w:rsidR="000F3008" w:rsidRPr="004622EC">
              <w:rPr>
                <w:sz w:val="20"/>
                <w:szCs w:val="20"/>
              </w:rPr>
              <w:t>;</w:t>
            </w:r>
          </w:p>
          <w:p w14:paraId="288D86D1" w14:textId="77777777" w:rsidR="00974AA4" w:rsidRDefault="00974AA4" w:rsidP="0020322F">
            <w:pPr>
              <w:numPr>
                <w:ilvl w:val="0"/>
                <w:numId w:val="36"/>
              </w:numPr>
              <w:tabs>
                <w:tab w:val="left" w:pos="131"/>
                <w:tab w:val="left" w:pos="252"/>
              </w:tabs>
              <w:ind w:left="273" w:hanging="142"/>
              <w:rPr>
                <w:sz w:val="20"/>
                <w:szCs w:val="20"/>
              </w:rPr>
            </w:pPr>
            <w:r>
              <w:rPr>
                <w:sz w:val="20"/>
                <w:szCs w:val="20"/>
              </w:rPr>
              <w:t>Provision of</w:t>
            </w:r>
            <w:r w:rsidR="000F3008" w:rsidRPr="004622EC">
              <w:rPr>
                <w:sz w:val="20"/>
                <w:szCs w:val="20"/>
              </w:rPr>
              <w:t xml:space="preserve"> advisory services to large-scale renewable energy projects </w:t>
            </w:r>
          </w:p>
          <w:p w14:paraId="5879D8F0" w14:textId="77777777" w:rsidR="000F3008" w:rsidRPr="004622EC" w:rsidRDefault="00974AA4" w:rsidP="0020322F">
            <w:pPr>
              <w:numPr>
                <w:ilvl w:val="0"/>
                <w:numId w:val="36"/>
              </w:numPr>
              <w:tabs>
                <w:tab w:val="left" w:pos="131"/>
                <w:tab w:val="left" w:pos="252"/>
              </w:tabs>
              <w:ind w:left="273" w:hanging="142"/>
              <w:rPr>
                <w:sz w:val="20"/>
                <w:szCs w:val="20"/>
              </w:rPr>
            </w:pPr>
            <w:r>
              <w:rPr>
                <w:sz w:val="20"/>
                <w:szCs w:val="20"/>
              </w:rPr>
              <w:t>Project management and</w:t>
            </w:r>
            <w:r w:rsidR="000F3008" w:rsidRPr="004622EC">
              <w:rPr>
                <w:sz w:val="20"/>
                <w:szCs w:val="20"/>
              </w:rPr>
              <w:t xml:space="preserve"> implementation to ensure that the overall technical direction of the project is maintained and flexibility adapted to meet the practical challenges faced during the implementation of the project;</w:t>
            </w:r>
          </w:p>
          <w:p w14:paraId="5584674C" w14:textId="77777777" w:rsidR="000F3008" w:rsidRPr="004622EC" w:rsidRDefault="00974AA4" w:rsidP="0020322F">
            <w:pPr>
              <w:numPr>
                <w:ilvl w:val="0"/>
                <w:numId w:val="36"/>
              </w:numPr>
              <w:tabs>
                <w:tab w:val="left" w:pos="131"/>
                <w:tab w:val="left" w:pos="252"/>
              </w:tabs>
              <w:ind w:left="273" w:hanging="142"/>
              <w:rPr>
                <w:sz w:val="20"/>
                <w:szCs w:val="20"/>
              </w:rPr>
            </w:pPr>
            <w:r>
              <w:rPr>
                <w:sz w:val="20"/>
                <w:szCs w:val="20"/>
              </w:rPr>
              <w:t>P</w:t>
            </w:r>
            <w:r w:rsidR="000F3008" w:rsidRPr="004622EC">
              <w:rPr>
                <w:sz w:val="20"/>
                <w:szCs w:val="20"/>
              </w:rPr>
              <w:t xml:space="preserve">rovision of technical guidance on implementation and completion of </w:t>
            </w:r>
            <w:r>
              <w:rPr>
                <w:sz w:val="20"/>
                <w:szCs w:val="20"/>
              </w:rPr>
              <w:t xml:space="preserve">the </w:t>
            </w:r>
            <w:r w:rsidR="000F3008" w:rsidRPr="004622EC">
              <w:rPr>
                <w:sz w:val="20"/>
                <w:szCs w:val="20"/>
              </w:rPr>
              <w:t>key project components/activities, inputs on key technical decisions at strategic moments in the project implementation;</w:t>
            </w:r>
          </w:p>
          <w:p w14:paraId="537BAEF7" w14:textId="77777777" w:rsidR="000F3008" w:rsidRPr="00B84DF0" w:rsidRDefault="00B84DF0" w:rsidP="0020322F">
            <w:pPr>
              <w:numPr>
                <w:ilvl w:val="0"/>
                <w:numId w:val="36"/>
              </w:numPr>
              <w:tabs>
                <w:tab w:val="left" w:pos="131"/>
                <w:tab w:val="left" w:pos="252"/>
              </w:tabs>
              <w:ind w:left="273" w:hanging="142"/>
              <w:rPr>
                <w:sz w:val="20"/>
                <w:szCs w:val="20"/>
              </w:rPr>
            </w:pPr>
            <w:r w:rsidRPr="00043685">
              <w:rPr>
                <w:sz w:val="20"/>
                <w:szCs w:val="20"/>
              </w:rPr>
              <w:t>Monitoring and</w:t>
            </w:r>
            <w:r w:rsidR="000F3008" w:rsidRPr="00043685">
              <w:rPr>
                <w:sz w:val="20"/>
                <w:szCs w:val="20"/>
              </w:rPr>
              <w:t xml:space="preserve"> </w:t>
            </w:r>
            <w:r w:rsidR="00032504" w:rsidRPr="00043685">
              <w:rPr>
                <w:sz w:val="20"/>
                <w:szCs w:val="20"/>
              </w:rPr>
              <w:t>evaluation</w:t>
            </w:r>
            <w:r>
              <w:rPr>
                <w:sz w:val="20"/>
                <w:szCs w:val="20"/>
              </w:rPr>
              <w:t xml:space="preserve">, results reporting and development of the </w:t>
            </w:r>
            <w:r w:rsidR="00032504" w:rsidRPr="004622EC">
              <w:rPr>
                <w:sz w:val="20"/>
                <w:szCs w:val="20"/>
              </w:rPr>
              <w:t>project implementation reports;</w:t>
            </w:r>
            <w:r w:rsidRPr="00B84DF0">
              <w:rPr>
                <w:sz w:val="20"/>
                <w:szCs w:val="20"/>
              </w:rPr>
              <w:t xml:space="preserve"> </w:t>
            </w:r>
            <w:r w:rsidR="00043685">
              <w:rPr>
                <w:sz w:val="20"/>
                <w:szCs w:val="20"/>
              </w:rPr>
              <w:t>d</w:t>
            </w:r>
            <w:r w:rsidRPr="00B84DF0">
              <w:rPr>
                <w:sz w:val="20"/>
                <w:szCs w:val="20"/>
              </w:rPr>
              <w:t>evelopment of the project intervention strategies</w:t>
            </w:r>
            <w:r w:rsidRPr="00AD0E1E">
              <w:rPr>
                <w:sz w:val="20"/>
                <w:szCs w:val="20"/>
              </w:rPr>
              <w:t>, management responses as per results of evaluations.</w:t>
            </w:r>
          </w:p>
        </w:tc>
      </w:tr>
      <w:tr w:rsidR="000F3008" w:rsidRPr="00FD551A" w14:paraId="59984AB0" w14:textId="77777777" w:rsidTr="003E6878">
        <w:tblPrEx>
          <w:shd w:val="clear" w:color="auto" w:fill="E0E0E0"/>
        </w:tblPrEx>
        <w:trPr>
          <w:trHeight w:val="230"/>
        </w:trPr>
        <w:tc>
          <w:tcPr>
            <w:tcW w:w="2988" w:type="dxa"/>
            <w:vAlign w:val="center"/>
          </w:tcPr>
          <w:p w14:paraId="1403B2A8" w14:textId="77777777" w:rsidR="000F3008" w:rsidRPr="004622EC" w:rsidRDefault="000F3008" w:rsidP="004622EC">
            <w:pPr>
              <w:rPr>
                <w:sz w:val="20"/>
                <w:szCs w:val="20"/>
              </w:rPr>
            </w:pPr>
            <w:r w:rsidRPr="004622EC">
              <w:rPr>
                <w:sz w:val="20"/>
                <w:szCs w:val="20"/>
              </w:rPr>
              <w:t>Language Requirements:</w:t>
            </w:r>
          </w:p>
        </w:tc>
        <w:tc>
          <w:tcPr>
            <w:tcW w:w="7920" w:type="dxa"/>
            <w:gridSpan w:val="2"/>
            <w:vAlign w:val="center"/>
          </w:tcPr>
          <w:p w14:paraId="6CE99F7C" w14:textId="77777777" w:rsidR="000F3008" w:rsidRPr="00043685" w:rsidRDefault="0036451C" w:rsidP="0036451C">
            <w:pPr>
              <w:tabs>
                <w:tab w:val="left" w:pos="357"/>
              </w:tabs>
              <w:overflowPunct w:val="0"/>
              <w:autoSpaceDE w:val="0"/>
              <w:autoSpaceDN w:val="0"/>
              <w:adjustRightInd w:val="0"/>
              <w:ind w:left="72"/>
              <w:textAlignment w:val="baseline"/>
              <w:rPr>
                <w:color w:val="000000"/>
                <w:sz w:val="20"/>
                <w:szCs w:val="20"/>
              </w:rPr>
            </w:pPr>
            <w:r w:rsidRPr="00043685">
              <w:rPr>
                <w:color w:val="000000"/>
                <w:sz w:val="20"/>
                <w:szCs w:val="20"/>
              </w:rPr>
              <w:t xml:space="preserve">Excellent written and spoken Russian language, English and </w:t>
            </w:r>
            <w:r w:rsidRPr="00043685">
              <w:rPr>
                <w:sz w:val="20"/>
                <w:szCs w:val="20"/>
              </w:rPr>
              <w:t>Kazakh are essential</w:t>
            </w:r>
            <w:r w:rsidRPr="00043685">
              <w:rPr>
                <w:color w:val="000000"/>
                <w:sz w:val="20"/>
                <w:szCs w:val="20"/>
              </w:rPr>
              <w:t>. E</w:t>
            </w:r>
            <w:r w:rsidR="000F3008" w:rsidRPr="00043685">
              <w:rPr>
                <w:color w:val="000000"/>
                <w:sz w:val="20"/>
                <w:szCs w:val="20"/>
              </w:rPr>
              <w:t>xcellent anal</w:t>
            </w:r>
            <w:r w:rsidRPr="00043685">
              <w:rPr>
                <w:color w:val="000000"/>
                <w:sz w:val="20"/>
                <w:szCs w:val="20"/>
              </w:rPr>
              <w:t>ytical and presentation skills</w:t>
            </w:r>
          </w:p>
        </w:tc>
      </w:tr>
      <w:tr w:rsidR="000F3008" w:rsidRPr="00FD551A" w14:paraId="10167592" w14:textId="77777777" w:rsidTr="003E6878">
        <w:tblPrEx>
          <w:shd w:val="clear" w:color="auto" w:fill="E0E0E0"/>
        </w:tblPrEx>
        <w:trPr>
          <w:trHeight w:val="230"/>
        </w:trPr>
        <w:tc>
          <w:tcPr>
            <w:tcW w:w="2988" w:type="dxa"/>
            <w:tcBorders>
              <w:bottom w:val="single" w:sz="4" w:space="0" w:color="auto"/>
            </w:tcBorders>
            <w:vAlign w:val="center"/>
          </w:tcPr>
          <w:p w14:paraId="4276187B" w14:textId="77777777" w:rsidR="000F3008" w:rsidRPr="004622EC" w:rsidRDefault="000F3008" w:rsidP="004622EC">
            <w:pPr>
              <w:rPr>
                <w:sz w:val="20"/>
                <w:szCs w:val="20"/>
              </w:rPr>
            </w:pPr>
            <w:r w:rsidRPr="004622EC">
              <w:rPr>
                <w:sz w:val="20"/>
                <w:szCs w:val="20"/>
              </w:rPr>
              <w:t>Others:</w:t>
            </w:r>
          </w:p>
        </w:tc>
        <w:tc>
          <w:tcPr>
            <w:tcW w:w="7920" w:type="dxa"/>
            <w:gridSpan w:val="2"/>
            <w:tcBorders>
              <w:bottom w:val="single" w:sz="4" w:space="0" w:color="auto"/>
            </w:tcBorders>
            <w:vAlign w:val="center"/>
          </w:tcPr>
          <w:p w14:paraId="4795F8A8" w14:textId="77777777" w:rsidR="000F3008" w:rsidRPr="004622EC" w:rsidRDefault="000F3008" w:rsidP="004622EC">
            <w:pPr>
              <w:tabs>
                <w:tab w:val="num" w:pos="540"/>
              </w:tabs>
              <w:ind w:left="72"/>
              <w:rPr>
                <w:sz w:val="20"/>
                <w:szCs w:val="20"/>
              </w:rPr>
            </w:pPr>
            <w:r w:rsidRPr="004622EC">
              <w:rPr>
                <w:sz w:val="20"/>
                <w:szCs w:val="20"/>
              </w:rPr>
              <w:t>Good understanding of local policies and practices in energy sector.</w:t>
            </w:r>
          </w:p>
          <w:p w14:paraId="5F7113EE" w14:textId="77777777" w:rsidR="000F3008" w:rsidRPr="004622EC" w:rsidRDefault="000F3008" w:rsidP="004622EC">
            <w:pPr>
              <w:tabs>
                <w:tab w:val="num" w:pos="540"/>
              </w:tabs>
              <w:ind w:left="72"/>
              <w:rPr>
                <w:sz w:val="20"/>
                <w:szCs w:val="20"/>
              </w:rPr>
            </w:pPr>
            <w:r w:rsidRPr="004622EC">
              <w:rPr>
                <w:sz w:val="20"/>
                <w:szCs w:val="20"/>
              </w:rPr>
              <w:t>Outstanding time-management, organizational and interpersonal skills.</w:t>
            </w:r>
          </w:p>
        </w:tc>
      </w:tr>
    </w:tbl>
    <w:p w14:paraId="48A908ED" w14:textId="77777777" w:rsidR="000F3008" w:rsidRDefault="000F3008" w:rsidP="004622EC">
      <w:pPr>
        <w:rPr>
          <w:b/>
          <w:sz w:val="20"/>
          <w:szCs w:val="20"/>
        </w:rPr>
      </w:pPr>
    </w:p>
    <w:p w14:paraId="17C8505B" w14:textId="77777777" w:rsidR="000F3008" w:rsidRPr="003269A4" w:rsidRDefault="00FA0D9B" w:rsidP="004622EC">
      <w:pPr>
        <w:spacing w:before="120" w:after="120"/>
        <w:rPr>
          <w:b/>
        </w:rPr>
      </w:pPr>
      <w:r w:rsidRPr="003269A4">
        <w:rPr>
          <w:b/>
        </w:rPr>
        <w:t>4</w:t>
      </w:r>
      <w:r w:rsidR="000F3008" w:rsidRPr="003269A4">
        <w:rPr>
          <w:b/>
        </w:rPr>
        <w:t xml:space="preserve">. </w:t>
      </w:r>
      <w:r w:rsidRPr="003269A4">
        <w:rPr>
          <w:b/>
        </w:rPr>
        <w:t xml:space="preserve">Terms of Reference for the </w:t>
      </w:r>
      <w:r w:rsidR="000F3008" w:rsidRPr="003269A4">
        <w:rPr>
          <w:b/>
        </w:rPr>
        <w:t>Task Manager: Small-scale renewable energy development</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180"/>
        <w:gridCol w:w="7740"/>
      </w:tblGrid>
      <w:tr w:rsidR="000F3008" w:rsidRPr="00FD551A" w14:paraId="1C01251E" w14:textId="77777777" w:rsidTr="003E6878">
        <w:tc>
          <w:tcPr>
            <w:tcW w:w="10908" w:type="dxa"/>
            <w:gridSpan w:val="3"/>
            <w:tcBorders>
              <w:top w:val="single" w:sz="4" w:space="0" w:color="auto"/>
              <w:left w:val="single" w:sz="4" w:space="0" w:color="auto"/>
              <w:bottom w:val="single" w:sz="4" w:space="0" w:color="auto"/>
              <w:right w:val="single" w:sz="4" w:space="0" w:color="auto"/>
            </w:tcBorders>
            <w:shd w:val="clear" w:color="auto" w:fill="E0E0E0"/>
          </w:tcPr>
          <w:p w14:paraId="7ABF67E1" w14:textId="77777777" w:rsidR="000F3008" w:rsidRPr="00FD551A" w:rsidRDefault="000F3008" w:rsidP="00FD551A">
            <w:pPr>
              <w:pStyle w:val="afb"/>
              <w:ind w:left="1080" w:hanging="720"/>
              <w:rPr>
                <w:rFonts w:ascii="Calibri" w:hAnsi="Calibri"/>
                <w:b/>
                <w:bCs/>
                <w:sz w:val="20"/>
                <w:szCs w:val="20"/>
              </w:rPr>
            </w:pPr>
            <w:r w:rsidRPr="00FD551A">
              <w:rPr>
                <w:rFonts w:ascii="Calibri" w:hAnsi="Calibri"/>
                <w:b/>
                <w:bCs/>
                <w:sz w:val="20"/>
                <w:szCs w:val="20"/>
              </w:rPr>
              <w:t>I. Position Information</w:t>
            </w:r>
          </w:p>
        </w:tc>
      </w:tr>
      <w:tr w:rsidR="000F3008" w:rsidRPr="00FD551A" w14:paraId="5A49FCA8" w14:textId="77777777" w:rsidTr="003E6878">
        <w:tc>
          <w:tcPr>
            <w:tcW w:w="3168" w:type="dxa"/>
            <w:gridSpan w:val="2"/>
          </w:tcPr>
          <w:p w14:paraId="72F9A578" w14:textId="77777777" w:rsidR="000F3008" w:rsidRPr="004622EC" w:rsidRDefault="000F3008" w:rsidP="004622EC">
            <w:pPr>
              <w:spacing w:before="60"/>
              <w:rPr>
                <w:sz w:val="20"/>
                <w:szCs w:val="20"/>
              </w:rPr>
            </w:pPr>
            <w:r w:rsidRPr="004622EC">
              <w:rPr>
                <w:sz w:val="20"/>
                <w:szCs w:val="20"/>
              </w:rPr>
              <w:t xml:space="preserve">Position Title: </w:t>
            </w:r>
          </w:p>
          <w:p w14:paraId="6E4DE7EC" w14:textId="77777777" w:rsidR="000F3008" w:rsidRPr="004622EC" w:rsidRDefault="000F3008" w:rsidP="004622EC">
            <w:pPr>
              <w:spacing w:before="60"/>
              <w:rPr>
                <w:sz w:val="20"/>
                <w:szCs w:val="20"/>
              </w:rPr>
            </w:pPr>
            <w:r w:rsidRPr="004622EC">
              <w:rPr>
                <w:sz w:val="20"/>
                <w:szCs w:val="20"/>
              </w:rPr>
              <w:t>Type:</w:t>
            </w:r>
          </w:p>
          <w:p w14:paraId="3DC74856" w14:textId="77777777" w:rsidR="000F3008" w:rsidRPr="004622EC" w:rsidRDefault="000F3008" w:rsidP="004622EC">
            <w:pPr>
              <w:spacing w:before="60"/>
              <w:rPr>
                <w:sz w:val="20"/>
                <w:szCs w:val="20"/>
              </w:rPr>
            </w:pPr>
            <w:r w:rsidRPr="004622EC">
              <w:rPr>
                <w:sz w:val="20"/>
                <w:szCs w:val="20"/>
              </w:rPr>
              <w:t xml:space="preserve">Project Title/Department: </w:t>
            </w:r>
          </w:p>
          <w:p w14:paraId="212EF1F9" w14:textId="77777777" w:rsidR="000F3008" w:rsidRPr="004622EC" w:rsidRDefault="000F3008" w:rsidP="004622EC">
            <w:pPr>
              <w:spacing w:before="60"/>
              <w:rPr>
                <w:sz w:val="20"/>
                <w:szCs w:val="20"/>
              </w:rPr>
            </w:pPr>
            <w:r w:rsidRPr="004622EC">
              <w:rPr>
                <w:sz w:val="20"/>
                <w:szCs w:val="20"/>
              </w:rPr>
              <w:t>Duration of the service:</w:t>
            </w:r>
          </w:p>
          <w:p w14:paraId="2105920F" w14:textId="77777777" w:rsidR="000F3008" w:rsidRPr="004622EC" w:rsidRDefault="000F3008" w:rsidP="004622EC">
            <w:pPr>
              <w:spacing w:before="60"/>
              <w:rPr>
                <w:sz w:val="20"/>
                <w:szCs w:val="20"/>
              </w:rPr>
            </w:pPr>
            <w:r w:rsidRPr="004622EC">
              <w:rPr>
                <w:sz w:val="20"/>
                <w:szCs w:val="20"/>
              </w:rPr>
              <w:t>Duty station:</w:t>
            </w:r>
          </w:p>
          <w:p w14:paraId="6DC1108E" w14:textId="77777777" w:rsidR="000F3008" w:rsidRPr="004622EC" w:rsidRDefault="000F3008" w:rsidP="004622EC">
            <w:pPr>
              <w:spacing w:before="60"/>
              <w:rPr>
                <w:sz w:val="20"/>
                <w:szCs w:val="20"/>
              </w:rPr>
            </w:pPr>
            <w:r w:rsidRPr="004622EC">
              <w:rPr>
                <w:sz w:val="20"/>
                <w:szCs w:val="20"/>
              </w:rPr>
              <w:t>Reports to:</w:t>
            </w:r>
          </w:p>
        </w:tc>
        <w:tc>
          <w:tcPr>
            <w:tcW w:w="7740" w:type="dxa"/>
          </w:tcPr>
          <w:p w14:paraId="22A4FFE3" w14:textId="77777777" w:rsidR="000F3008" w:rsidRPr="004622EC" w:rsidRDefault="000F3008" w:rsidP="004622EC">
            <w:pPr>
              <w:rPr>
                <w:sz w:val="20"/>
                <w:szCs w:val="20"/>
              </w:rPr>
            </w:pPr>
            <w:r w:rsidRPr="004622EC">
              <w:rPr>
                <w:b/>
                <w:sz w:val="20"/>
                <w:szCs w:val="20"/>
              </w:rPr>
              <w:t>Small-scale renewable energy Task Manager</w:t>
            </w:r>
            <w:r w:rsidRPr="004622EC">
              <w:rPr>
                <w:sz w:val="20"/>
                <w:szCs w:val="20"/>
              </w:rPr>
              <w:t xml:space="preserve"> </w:t>
            </w:r>
          </w:p>
          <w:p w14:paraId="2EF97B50" w14:textId="77777777" w:rsidR="000F3008" w:rsidRPr="004622EC" w:rsidRDefault="0036451C" w:rsidP="004622EC">
            <w:pPr>
              <w:rPr>
                <w:sz w:val="20"/>
                <w:szCs w:val="20"/>
              </w:rPr>
            </w:pPr>
            <w:r>
              <w:rPr>
                <w:sz w:val="20"/>
                <w:szCs w:val="20"/>
              </w:rPr>
              <w:t>SB</w:t>
            </w:r>
            <w:r w:rsidR="000F3008" w:rsidRPr="004622EC">
              <w:rPr>
                <w:sz w:val="20"/>
                <w:szCs w:val="20"/>
              </w:rPr>
              <w:t>-</w:t>
            </w:r>
            <w:r>
              <w:rPr>
                <w:sz w:val="20"/>
                <w:szCs w:val="20"/>
              </w:rPr>
              <w:t>3</w:t>
            </w:r>
          </w:p>
          <w:p w14:paraId="33FC695B" w14:textId="77777777" w:rsidR="000F3008" w:rsidRPr="004622EC" w:rsidRDefault="000F3008" w:rsidP="004622EC">
            <w:pPr>
              <w:rPr>
                <w:sz w:val="20"/>
                <w:szCs w:val="20"/>
              </w:rPr>
            </w:pPr>
            <w:r w:rsidRPr="004622EC">
              <w:rPr>
                <w:sz w:val="20"/>
                <w:szCs w:val="20"/>
              </w:rPr>
              <w:t>Derisking Renewable Energy Investment in Kazakhstan</w:t>
            </w:r>
          </w:p>
          <w:p w14:paraId="756291DC" w14:textId="77777777" w:rsidR="000F3008" w:rsidRPr="004622EC" w:rsidRDefault="000F3008" w:rsidP="004622EC">
            <w:pPr>
              <w:spacing w:before="60"/>
              <w:rPr>
                <w:sz w:val="20"/>
                <w:szCs w:val="20"/>
              </w:rPr>
            </w:pPr>
            <w:r w:rsidRPr="004622EC">
              <w:rPr>
                <w:sz w:val="20"/>
                <w:szCs w:val="20"/>
              </w:rPr>
              <w:t>Full-time</w:t>
            </w:r>
          </w:p>
          <w:p w14:paraId="6182A1E7" w14:textId="77777777" w:rsidR="000F3008" w:rsidRPr="004622EC" w:rsidRDefault="000F3008" w:rsidP="004622EC">
            <w:pPr>
              <w:rPr>
                <w:sz w:val="20"/>
                <w:szCs w:val="20"/>
              </w:rPr>
            </w:pPr>
            <w:r w:rsidRPr="004622EC">
              <w:rPr>
                <w:sz w:val="20"/>
                <w:szCs w:val="20"/>
              </w:rPr>
              <w:t>1 year (with possible extension subject to satisfactory performance)</w:t>
            </w:r>
          </w:p>
          <w:p w14:paraId="6B89F3DB" w14:textId="77777777" w:rsidR="000F3008" w:rsidRPr="004622EC" w:rsidRDefault="000F3008" w:rsidP="004622EC">
            <w:pPr>
              <w:spacing w:before="60"/>
              <w:rPr>
                <w:sz w:val="20"/>
                <w:szCs w:val="20"/>
              </w:rPr>
            </w:pPr>
            <w:r w:rsidRPr="004622EC">
              <w:rPr>
                <w:sz w:val="20"/>
                <w:szCs w:val="20"/>
              </w:rPr>
              <w:t>Astana</w:t>
            </w:r>
          </w:p>
          <w:p w14:paraId="265D09B4" w14:textId="77777777" w:rsidR="000F3008" w:rsidRPr="004622EC" w:rsidRDefault="000F3008" w:rsidP="004622EC">
            <w:pPr>
              <w:spacing w:before="60"/>
              <w:rPr>
                <w:sz w:val="20"/>
                <w:szCs w:val="20"/>
              </w:rPr>
            </w:pPr>
            <w:r w:rsidRPr="004622EC">
              <w:rPr>
                <w:sz w:val="20"/>
                <w:szCs w:val="20"/>
              </w:rPr>
              <w:t xml:space="preserve">Project Manager </w:t>
            </w:r>
          </w:p>
        </w:tc>
      </w:tr>
      <w:tr w:rsidR="000F3008" w:rsidRPr="00FD551A" w14:paraId="23B1EA70" w14:textId="77777777" w:rsidTr="003E6878">
        <w:tblPrEx>
          <w:shd w:val="clear" w:color="auto" w:fill="E0E0E0"/>
        </w:tblPrEx>
        <w:tc>
          <w:tcPr>
            <w:tcW w:w="10908" w:type="dxa"/>
            <w:gridSpan w:val="3"/>
            <w:tcBorders>
              <w:bottom w:val="single" w:sz="4" w:space="0" w:color="auto"/>
            </w:tcBorders>
            <w:shd w:val="clear" w:color="auto" w:fill="E0E0E0"/>
          </w:tcPr>
          <w:p w14:paraId="636E90B2" w14:textId="77777777" w:rsidR="000F3008" w:rsidRPr="004622EC" w:rsidRDefault="000F3008" w:rsidP="004622EC">
            <w:pPr>
              <w:rPr>
                <w:b/>
                <w:sz w:val="20"/>
                <w:szCs w:val="20"/>
              </w:rPr>
            </w:pPr>
            <w:r w:rsidRPr="004622EC">
              <w:rPr>
                <w:b/>
                <w:sz w:val="20"/>
                <w:szCs w:val="20"/>
              </w:rPr>
              <w:t>II. Background information</w:t>
            </w:r>
          </w:p>
        </w:tc>
      </w:tr>
      <w:tr w:rsidR="000F3008" w:rsidRPr="00FD551A" w14:paraId="4C3C3C13" w14:textId="77777777" w:rsidTr="003E6878">
        <w:tblPrEx>
          <w:shd w:val="clear" w:color="auto" w:fill="E0E0E0"/>
        </w:tblPrEx>
        <w:tc>
          <w:tcPr>
            <w:tcW w:w="10908" w:type="dxa"/>
            <w:gridSpan w:val="3"/>
          </w:tcPr>
          <w:p w14:paraId="7B7B8222" w14:textId="77777777" w:rsidR="000F3008" w:rsidRPr="004622EC" w:rsidRDefault="000F3008" w:rsidP="004622EC">
            <w:pPr>
              <w:tabs>
                <w:tab w:val="num" w:pos="360"/>
              </w:tabs>
              <w:spacing w:before="60"/>
              <w:rPr>
                <w:sz w:val="20"/>
                <w:szCs w:val="20"/>
              </w:rPr>
            </w:pPr>
            <w:r w:rsidRPr="004622EC">
              <w:rPr>
                <w:sz w:val="20"/>
                <w:szCs w:val="20"/>
              </w:rPr>
              <w:t>Under the guidance and supervision of the Project Manager, the Task Manager provides operational and thematic services ensuring high quality, accuracy and consistency of work. The Task Manager works in close collaboration with the Government counterparts, project, operations, and Programme’s staff in the CO to exchange information and ensure consistent service delivery, and undertake day-to-day responsibility for operational and thematic support services for the satisfactory achievement of the project component outputs.</w:t>
            </w:r>
          </w:p>
        </w:tc>
      </w:tr>
      <w:tr w:rsidR="000F3008" w:rsidRPr="00FD551A" w14:paraId="5D94FD09" w14:textId="77777777" w:rsidTr="003E6878">
        <w:tblPrEx>
          <w:shd w:val="clear" w:color="auto" w:fill="E0E0E0"/>
        </w:tblPrEx>
        <w:tc>
          <w:tcPr>
            <w:tcW w:w="10908" w:type="dxa"/>
            <w:gridSpan w:val="3"/>
            <w:shd w:val="clear" w:color="auto" w:fill="E0E0E0"/>
          </w:tcPr>
          <w:p w14:paraId="3DD98A22" w14:textId="77777777" w:rsidR="000F3008" w:rsidRPr="004622EC" w:rsidRDefault="000F3008" w:rsidP="004622EC">
            <w:pPr>
              <w:rPr>
                <w:b/>
                <w:sz w:val="20"/>
                <w:szCs w:val="20"/>
              </w:rPr>
            </w:pPr>
            <w:r w:rsidRPr="004622EC">
              <w:rPr>
                <w:b/>
                <w:sz w:val="20"/>
                <w:szCs w:val="20"/>
              </w:rPr>
              <w:t xml:space="preserve">III. Functions </w:t>
            </w:r>
          </w:p>
        </w:tc>
      </w:tr>
      <w:tr w:rsidR="000F3008" w:rsidRPr="00FD551A" w14:paraId="560BE3EC" w14:textId="77777777" w:rsidTr="003E6878">
        <w:tblPrEx>
          <w:shd w:val="clear" w:color="auto" w:fill="E0E0E0"/>
        </w:tblPrEx>
        <w:tc>
          <w:tcPr>
            <w:tcW w:w="10908" w:type="dxa"/>
            <w:gridSpan w:val="3"/>
          </w:tcPr>
          <w:p w14:paraId="37BC356F" w14:textId="77777777" w:rsidR="000F3008" w:rsidRPr="004622EC" w:rsidRDefault="000F3008" w:rsidP="004622EC">
            <w:pPr>
              <w:tabs>
                <w:tab w:val="num" w:pos="360"/>
              </w:tabs>
              <w:spacing w:before="60"/>
              <w:rPr>
                <w:i/>
                <w:sz w:val="20"/>
                <w:szCs w:val="20"/>
                <w:u w:val="single"/>
              </w:rPr>
            </w:pPr>
            <w:r w:rsidRPr="004622EC">
              <w:rPr>
                <w:i/>
                <w:sz w:val="20"/>
                <w:szCs w:val="20"/>
                <w:u w:val="single"/>
              </w:rPr>
              <w:t>Thematic functions:</w:t>
            </w:r>
            <w:r w:rsidRPr="004622EC">
              <w:rPr>
                <w:sz w:val="20"/>
                <w:szCs w:val="20"/>
              </w:rPr>
              <w:t xml:space="preserve"> Provide technical and administrative assistance for </w:t>
            </w:r>
            <w:r w:rsidR="00C953AA" w:rsidRPr="002B343A">
              <w:rPr>
                <w:sz w:val="20"/>
                <w:szCs w:val="20"/>
              </w:rPr>
              <w:t>delivery</w:t>
            </w:r>
            <w:r w:rsidRPr="004622EC">
              <w:rPr>
                <w:sz w:val="20"/>
                <w:szCs w:val="20"/>
              </w:rPr>
              <w:t xml:space="preserve"> of the Component 2 and 3 of the Project including the following outputs:</w:t>
            </w:r>
          </w:p>
          <w:p w14:paraId="4A5AC422" w14:textId="77777777" w:rsidR="000F3008" w:rsidRPr="004622EC" w:rsidRDefault="000F3008" w:rsidP="004622EC">
            <w:pPr>
              <w:tabs>
                <w:tab w:val="num" w:pos="360"/>
              </w:tabs>
              <w:spacing w:before="60"/>
              <w:rPr>
                <w:b/>
                <w:sz w:val="20"/>
                <w:szCs w:val="20"/>
                <w:u w:val="single"/>
              </w:rPr>
            </w:pPr>
            <w:r w:rsidRPr="004622EC">
              <w:rPr>
                <w:b/>
                <w:sz w:val="20"/>
                <w:szCs w:val="20"/>
                <w:u w:val="single"/>
              </w:rPr>
              <w:t>Component 2: Renewable Energy for Life: Policy Derisking</w:t>
            </w:r>
          </w:p>
          <w:p w14:paraId="172319E8" w14:textId="77777777" w:rsidR="000F3008" w:rsidRPr="004622EC" w:rsidRDefault="000F3008" w:rsidP="004622EC">
            <w:pPr>
              <w:tabs>
                <w:tab w:val="num" w:pos="360"/>
              </w:tabs>
              <w:spacing w:before="60"/>
              <w:rPr>
                <w:sz w:val="20"/>
                <w:szCs w:val="20"/>
              </w:rPr>
            </w:pPr>
            <w:r w:rsidRPr="004622EC">
              <w:rPr>
                <w:sz w:val="20"/>
                <w:szCs w:val="20"/>
              </w:rPr>
              <w:t>Outcome 2: Appropriate policies, programmes and capacities are in place to reduce risk and attract investment in small-scale (on-grid and off-grid) renewables</w:t>
            </w:r>
            <w:r w:rsidRPr="004622EC">
              <w:rPr>
                <w:sz w:val="20"/>
                <w:szCs w:val="20"/>
              </w:rPr>
              <w:br/>
            </w:r>
          </w:p>
          <w:p w14:paraId="38A58CAF" w14:textId="77777777" w:rsidR="000F3008" w:rsidRPr="004622EC" w:rsidRDefault="000F3008" w:rsidP="004622EC">
            <w:pPr>
              <w:tabs>
                <w:tab w:val="num" w:pos="360"/>
              </w:tabs>
              <w:spacing w:before="60"/>
              <w:rPr>
                <w:sz w:val="20"/>
                <w:szCs w:val="20"/>
              </w:rPr>
            </w:pPr>
            <w:r w:rsidRPr="004622EC">
              <w:rPr>
                <w:sz w:val="20"/>
                <w:szCs w:val="20"/>
              </w:rPr>
              <w:t>Output 2.1 Appropriate policies, programmes and regulat</w:t>
            </w:r>
            <w:r w:rsidR="004622EC">
              <w:rPr>
                <w:sz w:val="20"/>
                <w:szCs w:val="20"/>
              </w:rPr>
              <w:t>ions for on- and off-grid small-</w:t>
            </w:r>
            <w:r w:rsidRPr="004622EC">
              <w:rPr>
                <w:sz w:val="20"/>
                <w:szCs w:val="20"/>
              </w:rPr>
              <w:t>scale renewables designed and implemented</w:t>
            </w:r>
          </w:p>
          <w:p w14:paraId="4212E047" w14:textId="77777777" w:rsidR="000F3008" w:rsidRPr="004622EC" w:rsidRDefault="000F3008" w:rsidP="004622EC">
            <w:pPr>
              <w:tabs>
                <w:tab w:val="num" w:pos="360"/>
              </w:tabs>
              <w:spacing w:before="60"/>
              <w:rPr>
                <w:sz w:val="20"/>
                <w:szCs w:val="20"/>
              </w:rPr>
            </w:pPr>
            <w:r w:rsidRPr="004622EC">
              <w:rPr>
                <w:sz w:val="20"/>
                <w:szCs w:val="20"/>
              </w:rPr>
              <w:t>Activity 2.1.1: Design and implement appropriate policies, programmes and regulations: adoption of national and regional targets for small-scale RE (addressing DREI power market risks); regulations for small RES (i.e. net-metering policy) and application of the Feed in Tariff for such projects (also addressing DREI power market risks); reform of subsidy systems to stimulate renewable markets better, without neglecting local content objectives (addressing DREI financial sector risks); policies, targets and regulations to promote RES-based heat generation and integration of RES in building design.</w:t>
            </w:r>
          </w:p>
          <w:p w14:paraId="6932E14D" w14:textId="77777777" w:rsidR="000F3008" w:rsidRPr="004622EC" w:rsidRDefault="000F3008" w:rsidP="004622EC">
            <w:pPr>
              <w:tabs>
                <w:tab w:val="num" w:pos="360"/>
              </w:tabs>
              <w:spacing w:before="60"/>
              <w:rPr>
                <w:sz w:val="20"/>
                <w:szCs w:val="20"/>
              </w:rPr>
            </w:pPr>
            <w:r w:rsidRPr="004622EC">
              <w:rPr>
                <w:sz w:val="20"/>
                <w:szCs w:val="20"/>
              </w:rPr>
              <w:t>Activity 2.1.2: Develop and recommend improvements for small on-grid RE approval, permits and grid connection (addressing DREI permits risks): streamlined and simplified approval procedures for permits, grid-connection procedures and contracts with grid operator.</w:t>
            </w:r>
          </w:p>
          <w:p w14:paraId="5FFA3B2F" w14:textId="77777777" w:rsidR="000F3008" w:rsidRPr="004622EC" w:rsidRDefault="000F3008" w:rsidP="004622EC">
            <w:pPr>
              <w:tabs>
                <w:tab w:val="num" w:pos="360"/>
              </w:tabs>
              <w:spacing w:before="60"/>
              <w:rPr>
                <w:sz w:val="20"/>
                <w:szCs w:val="20"/>
              </w:rPr>
            </w:pPr>
            <w:r w:rsidRPr="004622EC">
              <w:rPr>
                <w:sz w:val="20"/>
                <w:szCs w:val="20"/>
              </w:rPr>
              <w:t>Activity 2.1.3: Organise and implement training to build capacity of local expert to develop policy interventions for small-scale renewable energy development.</w:t>
            </w:r>
            <w:r w:rsidRPr="004622EC">
              <w:rPr>
                <w:sz w:val="20"/>
                <w:szCs w:val="20"/>
              </w:rPr>
              <w:br/>
            </w:r>
          </w:p>
          <w:p w14:paraId="1DBD6FB7" w14:textId="77777777" w:rsidR="000F3008" w:rsidRPr="004622EC" w:rsidRDefault="000F3008" w:rsidP="004622EC">
            <w:pPr>
              <w:tabs>
                <w:tab w:val="num" w:pos="360"/>
              </w:tabs>
              <w:spacing w:before="60"/>
              <w:rPr>
                <w:sz w:val="20"/>
                <w:szCs w:val="20"/>
              </w:rPr>
            </w:pPr>
            <w:r w:rsidRPr="004622EC">
              <w:rPr>
                <w:sz w:val="20"/>
                <w:szCs w:val="20"/>
              </w:rPr>
              <w:t>Output 2.2 Functioning MRV for the small-scale renewables sector</w:t>
            </w:r>
          </w:p>
          <w:p w14:paraId="077379B4" w14:textId="77777777" w:rsidR="000F3008" w:rsidRPr="004622EC" w:rsidRDefault="000F3008" w:rsidP="004622EC">
            <w:pPr>
              <w:tabs>
                <w:tab w:val="num" w:pos="360"/>
              </w:tabs>
              <w:spacing w:before="60"/>
              <w:rPr>
                <w:sz w:val="20"/>
                <w:szCs w:val="20"/>
              </w:rPr>
            </w:pPr>
            <w:r w:rsidRPr="004622EC">
              <w:rPr>
                <w:sz w:val="20"/>
                <w:szCs w:val="20"/>
              </w:rPr>
              <w:t xml:space="preserve">Activity 2.2.1: Review the current practice of international MRV systems and requirements for improving existing MRV practices. </w:t>
            </w:r>
          </w:p>
          <w:p w14:paraId="7410A709" w14:textId="77777777" w:rsidR="000F3008" w:rsidRPr="004622EC" w:rsidRDefault="000F3008" w:rsidP="004622EC">
            <w:pPr>
              <w:tabs>
                <w:tab w:val="num" w:pos="360"/>
              </w:tabs>
              <w:spacing w:before="60"/>
              <w:rPr>
                <w:sz w:val="20"/>
                <w:szCs w:val="20"/>
              </w:rPr>
            </w:pPr>
            <w:r w:rsidRPr="004622EC">
              <w:rPr>
                <w:sz w:val="20"/>
                <w:szCs w:val="20"/>
              </w:rPr>
              <w:t>Activity 2.2.2: Establish an MRV system of international standard for regular measurement, reporting, and verification of relevant indicators for small-scale renewable sector.</w:t>
            </w:r>
          </w:p>
          <w:p w14:paraId="3DE4EA66" w14:textId="77777777" w:rsidR="000F3008" w:rsidRPr="004622EC" w:rsidRDefault="000F3008" w:rsidP="004622EC">
            <w:pPr>
              <w:tabs>
                <w:tab w:val="num" w:pos="360"/>
              </w:tabs>
              <w:spacing w:before="60"/>
              <w:rPr>
                <w:sz w:val="20"/>
                <w:szCs w:val="20"/>
              </w:rPr>
            </w:pPr>
            <w:r w:rsidRPr="004622EC">
              <w:rPr>
                <w:sz w:val="20"/>
                <w:szCs w:val="20"/>
              </w:rPr>
              <w:t xml:space="preserve">Activity 2.2.3: Propose appropriate financial and institutional arrangements for the MRV system for small-scale renewable sector in Kazakhstan. </w:t>
            </w:r>
          </w:p>
          <w:p w14:paraId="120114B6" w14:textId="77777777" w:rsidR="000F3008" w:rsidRPr="004622EC" w:rsidRDefault="000F3008" w:rsidP="00FD551A">
            <w:pPr>
              <w:tabs>
                <w:tab w:val="num" w:pos="360"/>
              </w:tabs>
              <w:spacing w:before="60"/>
              <w:rPr>
                <w:sz w:val="20"/>
                <w:szCs w:val="20"/>
              </w:rPr>
            </w:pPr>
            <w:r w:rsidRPr="004622EC">
              <w:rPr>
                <w:sz w:val="20"/>
                <w:szCs w:val="20"/>
              </w:rPr>
              <w:t xml:space="preserve">Activity 2.2.4: Design training materials to support operation of the MRV system. </w:t>
            </w:r>
            <w:r w:rsidRPr="004622EC">
              <w:rPr>
                <w:sz w:val="20"/>
                <w:szCs w:val="20"/>
              </w:rPr>
              <w:br/>
            </w:r>
          </w:p>
          <w:p w14:paraId="4E8452CC" w14:textId="77777777" w:rsidR="000F3008" w:rsidRPr="004622EC" w:rsidRDefault="000F3008" w:rsidP="004622EC">
            <w:pPr>
              <w:tabs>
                <w:tab w:val="num" w:pos="360"/>
              </w:tabs>
              <w:spacing w:before="60"/>
              <w:rPr>
                <w:sz w:val="20"/>
                <w:szCs w:val="20"/>
              </w:rPr>
            </w:pPr>
            <w:r w:rsidRPr="004622EC">
              <w:rPr>
                <w:sz w:val="20"/>
                <w:szCs w:val="20"/>
              </w:rPr>
              <w:t>Output 2.3 Media campaigns and training for suppliers / developers to promote and market small-scale renewables in their target markets</w:t>
            </w:r>
          </w:p>
          <w:p w14:paraId="45693D4B" w14:textId="77777777" w:rsidR="000F3008" w:rsidRPr="004622EC" w:rsidRDefault="000F3008" w:rsidP="004622EC">
            <w:pPr>
              <w:tabs>
                <w:tab w:val="num" w:pos="360"/>
              </w:tabs>
              <w:spacing w:before="60"/>
              <w:rPr>
                <w:sz w:val="20"/>
                <w:szCs w:val="20"/>
              </w:rPr>
            </w:pPr>
            <w:r w:rsidRPr="004622EC">
              <w:rPr>
                <w:sz w:val="20"/>
                <w:szCs w:val="20"/>
              </w:rPr>
              <w:t>To address the identified DREI social acceptance risks, the project will carry out awareness raising activities focused on building the profile of small-scale renewables and reliable suppliers and designers.</w:t>
            </w:r>
          </w:p>
          <w:p w14:paraId="71613046" w14:textId="77777777" w:rsidR="000F3008" w:rsidRPr="004622EC" w:rsidRDefault="000F3008" w:rsidP="004622EC">
            <w:pPr>
              <w:tabs>
                <w:tab w:val="num" w:pos="360"/>
              </w:tabs>
              <w:spacing w:before="60"/>
              <w:rPr>
                <w:sz w:val="20"/>
                <w:szCs w:val="20"/>
              </w:rPr>
            </w:pPr>
            <w:r w:rsidRPr="004622EC">
              <w:rPr>
                <w:sz w:val="20"/>
                <w:szCs w:val="20"/>
              </w:rPr>
              <w:t>Activity 2.3.1: Consult with stakeholders and assess the types of intervention required to achieve optimum awareness for on and off-grid small-scale developments.</w:t>
            </w:r>
          </w:p>
          <w:p w14:paraId="3885D8F4" w14:textId="77777777" w:rsidR="000F3008" w:rsidRPr="004622EC" w:rsidRDefault="000F3008" w:rsidP="004622EC">
            <w:pPr>
              <w:tabs>
                <w:tab w:val="num" w:pos="360"/>
              </w:tabs>
              <w:spacing w:before="60"/>
              <w:rPr>
                <w:sz w:val="20"/>
                <w:szCs w:val="20"/>
              </w:rPr>
            </w:pPr>
            <w:r w:rsidRPr="004622EC">
              <w:rPr>
                <w:sz w:val="20"/>
                <w:szCs w:val="20"/>
              </w:rPr>
              <w:t xml:space="preserve">Activity 2.3.2: Develop the media plan including the scope of the media campaign, interventions required, human, financial and technical resources needed to support implementation of the plan. </w:t>
            </w:r>
          </w:p>
          <w:p w14:paraId="01E0D54C" w14:textId="77777777" w:rsidR="000F3008" w:rsidRPr="004622EC" w:rsidRDefault="000F3008" w:rsidP="004622EC">
            <w:pPr>
              <w:tabs>
                <w:tab w:val="num" w:pos="360"/>
              </w:tabs>
              <w:spacing w:before="60"/>
              <w:rPr>
                <w:sz w:val="20"/>
                <w:szCs w:val="20"/>
              </w:rPr>
            </w:pPr>
            <w:r w:rsidRPr="004622EC">
              <w:rPr>
                <w:sz w:val="20"/>
                <w:szCs w:val="20"/>
              </w:rPr>
              <w:t xml:space="preserve">Activity 2.3.3: Plan and execute awareness raising interventions in on- and offline media as per developed media plan. </w:t>
            </w:r>
          </w:p>
          <w:p w14:paraId="2963711E" w14:textId="77777777" w:rsidR="000F3008" w:rsidRPr="004622EC" w:rsidRDefault="000F3008" w:rsidP="004622EC">
            <w:pPr>
              <w:tabs>
                <w:tab w:val="num" w:pos="360"/>
              </w:tabs>
              <w:spacing w:before="60"/>
              <w:rPr>
                <w:sz w:val="20"/>
                <w:szCs w:val="20"/>
              </w:rPr>
            </w:pPr>
            <w:r w:rsidRPr="004622EC">
              <w:rPr>
                <w:sz w:val="20"/>
                <w:szCs w:val="20"/>
              </w:rPr>
              <w:t xml:space="preserve">Activity 2.3.4: Facilitate information exchange via organisation of targeted training and workshops including inter alia for small-scale </w:t>
            </w:r>
            <w:r w:rsidR="00C953AA" w:rsidRPr="002B343A">
              <w:rPr>
                <w:sz w:val="20"/>
                <w:szCs w:val="20"/>
              </w:rPr>
              <w:t>equipment suppliers</w:t>
            </w:r>
            <w:r w:rsidRPr="004622EC">
              <w:rPr>
                <w:sz w:val="20"/>
                <w:szCs w:val="20"/>
              </w:rPr>
              <w:t xml:space="preserve">. </w:t>
            </w:r>
          </w:p>
          <w:p w14:paraId="66F761B1" w14:textId="77777777" w:rsidR="000F3008" w:rsidRPr="004622EC" w:rsidRDefault="000F3008" w:rsidP="004622EC">
            <w:pPr>
              <w:tabs>
                <w:tab w:val="num" w:pos="360"/>
              </w:tabs>
              <w:spacing w:before="60"/>
              <w:rPr>
                <w:sz w:val="20"/>
                <w:szCs w:val="20"/>
              </w:rPr>
            </w:pPr>
          </w:p>
          <w:p w14:paraId="3B6BB352" w14:textId="77777777" w:rsidR="000F3008" w:rsidRPr="004622EC" w:rsidRDefault="000F3008" w:rsidP="004622EC">
            <w:pPr>
              <w:tabs>
                <w:tab w:val="num" w:pos="360"/>
              </w:tabs>
              <w:spacing w:before="60"/>
              <w:rPr>
                <w:sz w:val="20"/>
                <w:szCs w:val="20"/>
              </w:rPr>
            </w:pPr>
            <w:r w:rsidRPr="004622EC">
              <w:rPr>
                <w:sz w:val="20"/>
                <w:szCs w:val="20"/>
              </w:rPr>
              <w:t>Output 2.4 Functioning and enforced quality control system in place for small-scale technology</w:t>
            </w:r>
          </w:p>
          <w:p w14:paraId="2DCB1979" w14:textId="77777777" w:rsidR="000F3008" w:rsidRPr="004622EC" w:rsidRDefault="000F3008" w:rsidP="004622EC">
            <w:pPr>
              <w:tabs>
                <w:tab w:val="num" w:pos="360"/>
              </w:tabs>
              <w:spacing w:before="60"/>
              <w:rPr>
                <w:sz w:val="20"/>
                <w:szCs w:val="20"/>
              </w:rPr>
            </w:pPr>
            <w:r w:rsidRPr="004622EC">
              <w:rPr>
                <w:sz w:val="20"/>
                <w:szCs w:val="20"/>
              </w:rPr>
              <w:t>To address the identified DREI resource and technology risks (and indirectly the labour risks), the project will carry out awareness raising activities focused on building the profile of small-scale renewables and reliable suppliers and designers.</w:t>
            </w:r>
          </w:p>
          <w:p w14:paraId="639CF1C6" w14:textId="77777777" w:rsidR="000F3008" w:rsidRPr="004622EC" w:rsidRDefault="000F3008" w:rsidP="004622EC">
            <w:pPr>
              <w:tabs>
                <w:tab w:val="num" w:pos="360"/>
              </w:tabs>
              <w:spacing w:before="60"/>
              <w:rPr>
                <w:sz w:val="20"/>
                <w:szCs w:val="20"/>
              </w:rPr>
            </w:pPr>
            <w:r w:rsidRPr="004622EC">
              <w:rPr>
                <w:sz w:val="20"/>
                <w:szCs w:val="20"/>
              </w:rPr>
              <w:t xml:space="preserve">Activity 2.4.1: Arrange consultations with producers, sellers, buyers, users and/or regulators of small-scale renewable energy equipment and facilitate a dialogue on technology standards.  </w:t>
            </w:r>
          </w:p>
          <w:p w14:paraId="16F42953" w14:textId="77777777" w:rsidR="000F3008" w:rsidRPr="004622EC" w:rsidRDefault="000F3008" w:rsidP="004622EC">
            <w:pPr>
              <w:tabs>
                <w:tab w:val="num" w:pos="360"/>
              </w:tabs>
              <w:spacing w:before="60"/>
              <w:rPr>
                <w:sz w:val="20"/>
                <w:szCs w:val="20"/>
              </w:rPr>
            </w:pPr>
            <w:r w:rsidRPr="004622EC">
              <w:rPr>
                <w:sz w:val="20"/>
                <w:szCs w:val="20"/>
              </w:rPr>
              <w:t xml:space="preserve">Activity 2.4.2: Develop proposals on small-scale technology standards. </w:t>
            </w:r>
          </w:p>
          <w:p w14:paraId="2FE21A50" w14:textId="77777777" w:rsidR="000F3008" w:rsidRPr="004622EC" w:rsidRDefault="000F3008" w:rsidP="004622EC">
            <w:pPr>
              <w:tabs>
                <w:tab w:val="num" w:pos="360"/>
              </w:tabs>
              <w:spacing w:before="60"/>
              <w:rPr>
                <w:sz w:val="20"/>
                <w:szCs w:val="20"/>
              </w:rPr>
            </w:pPr>
            <w:r w:rsidRPr="004622EC">
              <w:rPr>
                <w:sz w:val="20"/>
                <w:szCs w:val="20"/>
              </w:rPr>
              <w:t>Activity 2.4.3: Establish and maintain small-scale technology platform, which includes information on small-scale technologies and quality and performance standards.</w:t>
            </w:r>
          </w:p>
          <w:p w14:paraId="10183BA4" w14:textId="77777777" w:rsidR="000F3008" w:rsidRPr="004622EC" w:rsidRDefault="000F3008" w:rsidP="004622EC">
            <w:pPr>
              <w:tabs>
                <w:tab w:val="num" w:pos="360"/>
              </w:tabs>
              <w:spacing w:before="60"/>
              <w:rPr>
                <w:sz w:val="20"/>
                <w:szCs w:val="20"/>
              </w:rPr>
            </w:pPr>
            <w:r w:rsidRPr="004622EC">
              <w:rPr>
                <w:sz w:val="20"/>
                <w:szCs w:val="20"/>
              </w:rPr>
              <w:t xml:space="preserve">Activity 2.4.4: Develop appropriate institutional and organizational arrangements for monitoring and enforcing quality standards. </w:t>
            </w:r>
          </w:p>
          <w:p w14:paraId="0CB4CE7C" w14:textId="77777777" w:rsidR="000F3008" w:rsidRPr="004622EC" w:rsidRDefault="000F3008" w:rsidP="004622EC">
            <w:pPr>
              <w:tabs>
                <w:tab w:val="num" w:pos="360"/>
              </w:tabs>
              <w:spacing w:before="60"/>
              <w:rPr>
                <w:sz w:val="20"/>
                <w:szCs w:val="20"/>
              </w:rPr>
            </w:pPr>
            <w:r w:rsidRPr="004622EC">
              <w:rPr>
                <w:sz w:val="20"/>
                <w:szCs w:val="20"/>
              </w:rPr>
              <w:t>Activity 2.4.5: Organize and implement relevant training to develop skills for support of quality control system.</w:t>
            </w:r>
          </w:p>
          <w:p w14:paraId="0F621E9A" w14:textId="77777777" w:rsidR="000F3008" w:rsidRPr="004622EC" w:rsidRDefault="000F3008" w:rsidP="004622EC">
            <w:pPr>
              <w:tabs>
                <w:tab w:val="num" w:pos="360"/>
              </w:tabs>
              <w:spacing w:before="60"/>
              <w:rPr>
                <w:sz w:val="20"/>
                <w:szCs w:val="20"/>
              </w:rPr>
            </w:pPr>
          </w:p>
          <w:p w14:paraId="423CAC39" w14:textId="77777777" w:rsidR="000F3008" w:rsidRPr="004622EC" w:rsidRDefault="000F3008" w:rsidP="004622EC">
            <w:pPr>
              <w:tabs>
                <w:tab w:val="num" w:pos="360"/>
              </w:tabs>
              <w:spacing w:before="60"/>
              <w:rPr>
                <w:sz w:val="20"/>
                <w:szCs w:val="20"/>
              </w:rPr>
            </w:pPr>
            <w:r w:rsidRPr="004622EC">
              <w:rPr>
                <w:sz w:val="20"/>
                <w:szCs w:val="20"/>
              </w:rPr>
              <w:t xml:space="preserve">Component 3: Renewable Energy for Life: Financial Derisking and Incentives </w:t>
            </w:r>
          </w:p>
          <w:p w14:paraId="2CA7DBFA" w14:textId="77777777" w:rsidR="000F3008" w:rsidRPr="004622EC" w:rsidRDefault="000F3008" w:rsidP="004622EC">
            <w:pPr>
              <w:tabs>
                <w:tab w:val="num" w:pos="360"/>
              </w:tabs>
              <w:spacing w:before="60"/>
              <w:rPr>
                <w:sz w:val="20"/>
                <w:szCs w:val="20"/>
              </w:rPr>
            </w:pPr>
            <w:r w:rsidRPr="004622EC">
              <w:rPr>
                <w:sz w:val="20"/>
                <w:szCs w:val="20"/>
              </w:rPr>
              <w:t>Outcome 3: Sustainable business models and financial mechanisms to support implementation for investment in small-scale urban and rural RES solutions in place</w:t>
            </w:r>
          </w:p>
          <w:p w14:paraId="3EAED46C" w14:textId="77777777" w:rsidR="000F3008" w:rsidRPr="004622EC" w:rsidRDefault="000F3008" w:rsidP="004622EC">
            <w:pPr>
              <w:tabs>
                <w:tab w:val="num" w:pos="360"/>
              </w:tabs>
              <w:spacing w:before="60"/>
              <w:rPr>
                <w:sz w:val="20"/>
                <w:szCs w:val="20"/>
              </w:rPr>
            </w:pPr>
          </w:p>
          <w:p w14:paraId="5417FB77" w14:textId="77777777" w:rsidR="000F3008" w:rsidRPr="004622EC" w:rsidRDefault="000F3008" w:rsidP="004622EC">
            <w:pPr>
              <w:tabs>
                <w:tab w:val="num" w:pos="360"/>
              </w:tabs>
              <w:spacing w:before="60"/>
              <w:rPr>
                <w:sz w:val="20"/>
                <w:szCs w:val="20"/>
              </w:rPr>
            </w:pPr>
            <w:r w:rsidRPr="004622EC">
              <w:rPr>
                <w:sz w:val="20"/>
                <w:szCs w:val="20"/>
              </w:rPr>
              <w:t>Output 3.1 Financia</w:t>
            </w:r>
            <w:r w:rsidR="004622EC">
              <w:rPr>
                <w:sz w:val="20"/>
                <w:szCs w:val="20"/>
              </w:rPr>
              <w:t>l and business models for small-</w:t>
            </w:r>
            <w:r w:rsidRPr="004622EC">
              <w:rPr>
                <w:sz w:val="20"/>
                <w:szCs w:val="20"/>
              </w:rPr>
              <w:t>scale renewables are developed and piloted</w:t>
            </w:r>
          </w:p>
          <w:p w14:paraId="3716E1F7" w14:textId="77777777" w:rsidR="000F3008" w:rsidRPr="004622EC" w:rsidRDefault="000F3008" w:rsidP="004622EC">
            <w:pPr>
              <w:tabs>
                <w:tab w:val="num" w:pos="360"/>
              </w:tabs>
              <w:spacing w:before="60"/>
              <w:rPr>
                <w:sz w:val="20"/>
                <w:szCs w:val="20"/>
              </w:rPr>
            </w:pPr>
            <w:r w:rsidRPr="004622EC">
              <w:rPr>
                <w:sz w:val="20"/>
                <w:szCs w:val="20"/>
              </w:rPr>
              <w:t>Activity 3.1.1: Review international practices on financial and business models for support of small-scale renewable energy projects.</w:t>
            </w:r>
          </w:p>
          <w:p w14:paraId="03E7A37D" w14:textId="77777777" w:rsidR="000F3008" w:rsidRPr="004622EC" w:rsidRDefault="000F3008" w:rsidP="004622EC">
            <w:pPr>
              <w:tabs>
                <w:tab w:val="num" w:pos="360"/>
              </w:tabs>
              <w:spacing w:before="60"/>
              <w:rPr>
                <w:sz w:val="20"/>
                <w:szCs w:val="20"/>
              </w:rPr>
            </w:pPr>
            <w:r w:rsidRPr="004622EC">
              <w:rPr>
                <w:sz w:val="20"/>
                <w:szCs w:val="20"/>
              </w:rPr>
              <w:t>Activity 3.1.2: Analyse existing markets for small-scale renewables, opportunities and gaps for support of small-scale renewable energy projects.</w:t>
            </w:r>
          </w:p>
          <w:p w14:paraId="6877B552" w14:textId="77777777" w:rsidR="000F3008" w:rsidRPr="004622EC" w:rsidRDefault="000F3008" w:rsidP="004622EC">
            <w:pPr>
              <w:tabs>
                <w:tab w:val="num" w:pos="360"/>
              </w:tabs>
              <w:spacing w:before="60"/>
              <w:rPr>
                <w:sz w:val="20"/>
                <w:szCs w:val="20"/>
              </w:rPr>
            </w:pPr>
            <w:r w:rsidRPr="004622EC">
              <w:rPr>
                <w:sz w:val="20"/>
                <w:szCs w:val="20"/>
              </w:rPr>
              <w:t xml:space="preserve">Activity 3.1.3: Design appropriate business and financial models for small-scale renewable energy developments tailored for existing markets in Kazakhstan. </w:t>
            </w:r>
          </w:p>
          <w:p w14:paraId="5373EC7F" w14:textId="77777777" w:rsidR="000F3008" w:rsidRPr="004622EC" w:rsidRDefault="000F3008" w:rsidP="004622EC">
            <w:pPr>
              <w:tabs>
                <w:tab w:val="num" w:pos="360"/>
              </w:tabs>
              <w:spacing w:before="60"/>
              <w:rPr>
                <w:sz w:val="20"/>
                <w:szCs w:val="20"/>
              </w:rPr>
            </w:pPr>
            <w:r w:rsidRPr="004622EC">
              <w:rPr>
                <w:sz w:val="20"/>
                <w:szCs w:val="20"/>
              </w:rPr>
              <w:t>Activity 3.1.4: Develop standard supporting documents for mainstreaming small-scale renewables developments.</w:t>
            </w:r>
          </w:p>
          <w:p w14:paraId="21449895" w14:textId="77777777" w:rsidR="000F3008" w:rsidRPr="004622EC" w:rsidRDefault="000F3008" w:rsidP="004622EC">
            <w:pPr>
              <w:tabs>
                <w:tab w:val="num" w:pos="360"/>
              </w:tabs>
              <w:spacing w:before="60"/>
              <w:rPr>
                <w:sz w:val="20"/>
                <w:szCs w:val="20"/>
              </w:rPr>
            </w:pPr>
            <w:r w:rsidRPr="004622EC">
              <w:rPr>
                <w:sz w:val="20"/>
                <w:szCs w:val="20"/>
              </w:rPr>
              <w:t>Output 3.2 Appropriate financial instruments created and piloted</w:t>
            </w:r>
          </w:p>
          <w:p w14:paraId="5F9E5ACD" w14:textId="77777777" w:rsidR="000F3008" w:rsidRPr="004622EC" w:rsidRDefault="000F3008" w:rsidP="004622EC">
            <w:pPr>
              <w:tabs>
                <w:tab w:val="num" w:pos="360"/>
              </w:tabs>
              <w:spacing w:before="60"/>
              <w:rPr>
                <w:sz w:val="20"/>
                <w:szCs w:val="20"/>
              </w:rPr>
            </w:pPr>
            <w:r w:rsidRPr="004622EC">
              <w:rPr>
                <w:sz w:val="20"/>
                <w:szCs w:val="20"/>
              </w:rPr>
              <w:t xml:space="preserve">Activity 3.2.1: Arrange consultations and lead consultations including inter alia with local financial institutions, banks, development finance institutions, institutional investors, and others to identify and refine plans to develop financial d-risking instruments. </w:t>
            </w:r>
          </w:p>
          <w:p w14:paraId="590E6009" w14:textId="4221FBB6" w:rsidR="000F3008" w:rsidRPr="004622EC" w:rsidRDefault="000F3008" w:rsidP="004622EC">
            <w:pPr>
              <w:tabs>
                <w:tab w:val="num" w:pos="360"/>
              </w:tabs>
              <w:spacing w:before="60"/>
              <w:rPr>
                <w:sz w:val="20"/>
                <w:szCs w:val="20"/>
              </w:rPr>
            </w:pPr>
            <w:r w:rsidRPr="004622EC">
              <w:rPr>
                <w:sz w:val="20"/>
                <w:szCs w:val="20"/>
              </w:rPr>
              <w:t>Activity 3.2.2: Support creation of an enabling framework that provides incentives for small-scale developers and developing a financial instrument ready for submission to the Government.</w:t>
            </w:r>
          </w:p>
          <w:p w14:paraId="178712E3" w14:textId="77777777" w:rsidR="000F3008" w:rsidRPr="004622EC" w:rsidRDefault="000F3008" w:rsidP="004622EC">
            <w:pPr>
              <w:tabs>
                <w:tab w:val="num" w:pos="360"/>
              </w:tabs>
              <w:spacing w:before="60"/>
              <w:rPr>
                <w:sz w:val="20"/>
                <w:szCs w:val="20"/>
              </w:rPr>
            </w:pPr>
            <w:r w:rsidRPr="004622EC">
              <w:rPr>
                <w:sz w:val="20"/>
                <w:szCs w:val="20"/>
              </w:rPr>
              <w:t>Activity 3.2.3: Arrange stakeholder consultation to develop practical strategies to address first-mover risks for small-scale renewable energy projects.</w:t>
            </w:r>
          </w:p>
          <w:p w14:paraId="33EC4B3C" w14:textId="77777777" w:rsidR="000F3008" w:rsidRPr="004622EC" w:rsidRDefault="000F3008" w:rsidP="004622EC">
            <w:pPr>
              <w:tabs>
                <w:tab w:val="num" w:pos="360"/>
              </w:tabs>
              <w:spacing w:before="60"/>
              <w:rPr>
                <w:sz w:val="20"/>
                <w:szCs w:val="20"/>
              </w:rPr>
            </w:pPr>
            <w:r w:rsidRPr="004622EC">
              <w:rPr>
                <w:sz w:val="20"/>
                <w:szCs w:val="20"/>
              </w:rPr>
              <w:t xml:space="preserve">Activity 3.2.4: Develop eligibility criteria for incentive payments including the project type to take into account the different economics of the projects and their relevant technical parameters, and environmental and social safeguarding. </w:t>
            </w:r>
          </w:p>
          <w:p w14:paraId="0B0EFC31" w14:textId="77777777" w:rsidR="000F3008" w:rsidRPr="004622EC" w:rsidRDefault="000F3008" w:rsidP="004622EC">
            <w:pPr>
              <w:tabs>
                <w:tab w:val="num" w:pos="360"/>
              </w:tabs>
              <w:spacing w:before="60"/>
              <w:rPr>
                <w:sz w:val="20"/>
                <w:szCs w:val="20"/>
              </w:rPr>
            </w:pPr>
            <w:r w:rsidRPr="004622EC">
              <w:rPr>
                <w:sz w:val="20"/>
                <w:szCs w:val="20"/>
              </w:rPr>
              <w:t>Activity 3.2.5: Facilitate adoption of financial derisking measures for small-scale renewable energy developments.</w:t>
            </w:r>
          </w:p>
          <w:p w14:paraId="58ED8A8A" w14:textId="77777777" w:rsidR="000F3008" w:rsidRPr="004622EC" w:rsidRDefault="000F3008" w:rsidP="004622EC">
            <w:pPr>
              <w:tabs>
                <w:tab w:val="num" w:pos="360"/>
              </w:tabs>
              <w:spacing w:before="60"/>
              <w:rPr>
                <w:sz w:val="20"/>
                <w:szCs w:val="20"/>
              </w:rPr>
            </w:pPr>
            <w:r w:rsidRPr="004622EC">
              <w:rPr>
                <w:sz w:val="20"/>
                <w:szCs w:val="20"/>
              </w:rPr>
              <w:t>Activity 3.2.6: Monitor implementation of the financial mechanism including environmental performance and compliance with agreed environmental and social safeguards.</w:t>
            </w:r>
          </w:p>
          <w:p w14:paraId="2BE8A674" w14:textId="77777777" w:rsidR="000F3008" w:rsidRPr="004622EC" w:rsidRDefault="000F3008" w:rsidP="004622EC">
            <w:pPr>
              <w:tabs>
                <w:tab w:val="num" w:pos="360"/>
              </w:tabs>
              <w:spacing w:before="60"/>
              <w:rPr>
                <w:sz w:val="20"/>
                <w:szCs w:val="20"/>
              </w:rPr>
            </w:pPr>
          </w:p>
          <w:p w14:paraId="17466D36" w14:textId="77777777" w:rsidR="000F3008" w:rsidRPr="004622EC" w:rsidRDefault="000F3008" w:rsidP="004622EC">
            <w:pPr>
              <w:tabs>
                <w:tab w:val="num" w:pos="360"/>
              </w:tabs>
              <w:spacing w:before="60"/>
              <w:rPr>
                <w:sz w:val="20"/>
                <w:szCs w:val="20"/>
              </w:rPr>
            </w:pPr>
            <w:r w:rsidRPr="004622EC">
              <w:rPr>
                <w:sz w:val="20"/>
                <w:szCs w:val="20"/>
              </w:rPr>
              <w:t>Output 3.3 Capacity of local financial institutions to support small-scale renewables enhanced</w:t>
            </w:r>
          </w:p>
          <w:p w14:paraId="03D86585" w14:textId="77777777" w:rsidR="000F3008" w:rsidRPr="004622EC" w:rsidRDefault="000F3008" w:rsidP="004622EC">
            <w:pPr>
              <w:tabs>
                <w:tab w:val="num" w:pos="360"/>
              </w:tabs>
              <w:spacing w:before="60"/>
              <w:rPr>
                <w:sz w:val="20"/>
                <w:szCs w:val="20"/>
              </w:rPr>
            </w:pPr>
            <w:r w:rsidRPr="004622EC">
              <w:rPr>
                <w:sz w:val="20"/>
                <w:szCs w:val="20"/>
              </w:rPr>
              <w:t>Activity 3.3.1: Consult with stakeholders, including with local financial institutions and banks, and beneficiaries to determine priorities for training.</w:t>
            </w:r>
          </w:p>
          <w:p w14:paraId="1FBB5BF0" w14:textId="77777777" w:rsidR="000F3008" w:rsidRPr="004622EC" w:rsidRDefault="000F3008" w:rsidP="004622EC">
            <w:pPr>
              <w:tabs>
                <w:tab w:val="num" w:pos="360"/>
              </w:tabs>
              <w:spacing w:before="60"/>
              <w:rPr>
                <w:sz w:val="20"/>
                <w:szCs w:val="20"/>
              </w:rPr>
            </w:pPr>
            <w:r w:rsidRPr="004622EC">
              <w:rPr>
                <w:sz w:val="20"/>
                <w:szCs w:val="20"/>
              </w:rPr>
              <w:t>Activity 3.3.2. Deliver training for 3 local financial institutions. Training will include technical and financial aspects of small-scale renewables and environmental and social safeguards.</w:t>
            </w:r>
          </w:p>
          <w:p w14:paraId="71C2B7A3" w14:textId="77777777" w:rsidR="000F3008" w:rsidRPr="004622EC" w:rsidRDefault="000F3008" w:rsidP="004622EC">
            <w:pPr>
              <w:tabs>
                <w:tab w:val="num" w:pos="360"/>
              </w:tabs>
              <w:spacing w:before="60"/>
              <w:rPr>
                <w:sz w:val="20"/>
                <w:szCs w:val="20"/>
              </w:rPr>
            </w:pPr>
            <w:r w:rsidRPr="004622EC">
              <w:rPr>
                <w:sz w:val="20"/>
                <w:szCs w:val="20"/>
              </w:rPr>
              <w:t xml:space="preserve">Output 3.4 Investments mobilised for small-scale renewable energy projects </w:t>
            </w:r>
          </w:p>
        </w:tc>
      </w:tr>
      <w:tr w:rsidR="000F3008" w:rsidRPr="00FD551A" w14:paraId="4E3800F7" w14:textId="77777777" w:rsidTr="003E6878">
        <w:tblPrEx>
          <w:shd w:val="clear" w:color="auto" w:fill="E0E0E0"/>
        </w:tblPrEx>
        <w:tc>
          <w:tcPr>
            <w:tcW w:w="10908" w:type="dxa"/>
            <w:gridSpan w:val="3"/>
          </w:tcPr>
          <w:p w14:paraId="2133AA61" w14:textId="77777777" w:rsidR="000F3008" w:rsidRPr="00FD551A" w:rsidRDefault="000F3008" w:rsidP="00FD551A">
            <w:pPr>
              <w:pStyle w:val="Default"/>
              <w:rPr>
                <w:rFonts w:ascii="Calibri" w:hAnsi="Calibri"/>
                <w:i/>
                <w:sz w:val="20"/>
                <w:szCs w:val="20"/>
                <w:u w:val="single"/>
                <w:lang w:val="en-GB"/>
              </w:rPr>
            </w:pPr>
            <w:r w:rsidRPr="00FD551A">
              <w:rPr>
                <w:rFonts w:ascii="Calibri" w:hAnsi="Calibri"/>
                <w:i/>
                <w:sz w:val="20"/>
                <w:szCs w:val="20"/>
                <w:u w:val="single"/>
                <w:lang w:val="en-GB"/>
              </w:rPr>
              <w:t>Operational functions:</w:t>
            </w:r>
          </w:p>
          <w:p w14:paraId="561C1651" w14:textId="77777777" w:rsidR="000F3008" w:rsidRPr="00FD551A" w:rsidRDefault="000F3008" w:rsidP="00FD551A">
            <w:pPr>
              <w:pStyle w:val="Default"/>
              <w:rPr>
                <w:rFonts w:ascii="Calibri" w:hAnsi="Calibri"/>
                <w:b/>
                <w:bCs/>
                <w:color w:val="auto"/>
                <w:sz w:val="20"/>
                <w:szCs w:val="20"/>
                <w:lang w:val="en-GB" w:eastAsia="de-DE"/>
              </w:rPr>
            </w:pPr>
            <w:r w:rsidRPr="00FD551A">
              <w:rPr>
                <w:rFonts w:ascii="Calibri" w:hAnsi="Calibri"/>
                <w:b/>
                <w:sz w:val="20"/>
                <w:szCs w:val="20"/>
              </w:rPr>
              <w:t xml:space="preserve">1 Contribution to Inception Phase, </w:t>
            </w:r>
            <w:r w:rsidRPr="00FD551A">
              <w:rPr>
                <w:rFonts w:ascii="Calibri" w:hAnsi="Calibri"/>
                <w:b/>
                <w:bCs/>
                <w:color w:val="auto"/>
                <w:sz w:val="20"/>
                <w:szCs w:val="20"/>
                <w:lang w:val="en-GB" w:eastAsia="de-DE"/>
              </w:rPr>
              <w:t>Periodic Review of Project Implementation and Advice on Improvement</w:t>
            </w:r>
          </w:p>
          <w:p w14:paraId="0E90FB6B" w14:textId="77777777" w:rsidR="000F3008" w:rsidRPr="004622EC" w:rsidRDefault="000F3008" w:rsidP="0020322F">
            <w:pPr>
              <w:numPr>
                <w:ilvl w:val="0"/>
                <w:numId w:val="35"/>
              </w:numPr>
              <w:rPr>
                <w:bCs/>
                <w:sz w:val="20"/>
                <w:szCs w:val="20"/>
                <w:lang w:eastAsia="de-DE"/>
              </w:rPr>
            </w:pPr>
            <w:r w:rsidRPr="004622EC">
              <w:rPr>
                <w:bCs/>
                <w:sz w:val="20"/>
                <w:szCs w:val="20"/>
                <w:lang w:eastAsia="de-DE"/>
              </w:rPr>
              <w:t>Contribute to the project inception phase, develop inception report and attend inception workshop;</w:t>
            </w:r>
          </w:p>
          <w:p w14:paraId="6B09F11D" w14:textId="77777777" w:rsidR="000F3008" w:rsidRPr="004622EC" w:rsidRDefault="000F3008" w:rsidP="0020322F">
            <w:pPr>
              <w:numPr>
                <w:ilvl w:val="0"/>
                <w:numId w:val="35"/>
              </w:numPr>
              <w:rPr>
                <w:bCs/>
                <w:sz w:val="20"/>
                <w:szCs w:val="20"/>
                <w:lang w:eastAsia="de-DE"/>
              </w:rPr>
            </w:pPr>
            <w:r w:rsidRPr="004622EC">
              <w:rPr>
                <w:bCs/>
                <w:sz w:val="20"/>
                <w:szCs w:val="20"/>
                <w:lang w:eastAsia="de-DE"/>
              </w:rPr>
              <w:t>Coordinate with the PM and team in order to monitor progress, assist in planning, and identify key technical problems (if any) and means for solving them;</w:t>
            </w:r>
          </w:p>
          <w:p w14:paraId="7773DD0B" w14:textId="77777777" w:rsidR="000F3008" w:rsidRPr="00FD551A" w:rsidRDefault="000F3008" w:rsidP="0020322F">
            <w:pPr>
              <w:pStyle w:val="Default"/>
              <w:numPr>
                <w:ilvl w:val="0"/>
                <w:numId w:val="35"/>
              </w:numPr>
              <w:rPr>
                <w:rFonts w:ascii="Calibri" w:hAnsi="Calibri"/>
                <w:b/>
                <w:bCs/>
                <w:i/>
                <w:color w:val="auto"/>
                <w:sz w:val="20"/>
                <w:szCs w:val="20"/>
                <w:lang w:val="en-GB" w:eastAsia="de-DE"/>
              </w:rPr>
            </w:pPr>
            <w:r w:rsidRPr="00FD551A">
              <w:rPr>
                <w:rFonts w:ascii="Calibri" w:hAnsi="Calibri"/>
                <w:bCs/>
                <w:color w:val="auto"/>
                <w:sz w:val="20"/>
                <w:szCs w:val="20"/>
                <w:lang w:val="en-GB" w:eastAsia="de-DE"/>
              </w:rPr>
              <w:t xml:space="preserve">Participate, when feasible, in Project Steering Committee Meetings and other relevant project meetings; </w:t>
            </w:r>
          </w:p>
          <w:p w14:paraId="32F3E469" w14:textId="77777777" w:rsidR="000F3008" w:rsidRPr="004622EC" w:rsidRDefault="000F3008" w:rsidP="0020322F">
            <w:pPr>
              <w:numPr>
                <w:ilvl w:val="0"/>
                <w:numId w:val="35"/>
              </w:numPr>
              <w:spacing w:before="100" w:beforeAutospacing="1" w:after="100" w:afterAutospacing="1"/>
              <w:rPr>
                <w:sz w:val="20"/>
                <w:szCs w:val="20"/>
              </w:rPr>
            </w:pPr>
            <w:r w:rsidRPr="004622EC">
              <w:rPr>
                <w:sz w:val="20"/>
                <w:szCs w:val="20"/>
              </w:rPr>
              <w:t>Assist in capturing the key lessons and developing a replication plan for other regions and communities in Kazakhstan. As part of the replication strategy, assist in developing replication materials for wider dissemination and application of project results and lessons learned;</w:t>
            </w:r>
          </w:p>
          <w:p w14:paraId="518E5BE5" w14:textId="77777777" w:rsidR="000F3008" w:rsidRPr="004622EC" w:rsidRDefault="000F3008" w:rsidP="0020322F">
            <w:pPr>
              <w:numPr>
                <w:ilvl w:val="0"/>
                <w:numId w:val="35"/>
              </w:numPr>
              <w:spacing w:before="60"/>
              <w:rPr>
                <w:sz w:val="20"/>
                <w:szCs w:val="20"/>
              </w:rPr>
            </w:pPr>
            <w:r w:rsidRPr="004622EC">
              <w:rPr>
                <w:sz w:val="20"/>
                <w:szCs w:val="20"/>
              </w:rPr>
              <w:t>In cooperation with the project team and UNDP CO, develop a suitable project exit strategy, and present it for approval to the PSC Meeting.</w:t>
            </w:r>
          </w:p>
          <w:p w14:paraId="5D685288" w14:textId="77777777" w:rsidR="000F3008" w:rsidRPr="00FD551A" w:rsidRDefault="000F3008" w:rsidP="004622EC">
            <w:pPr>
              <w:pStyle w:val="Default"/>
              <w:spacing w:before="60"/>
              <w:rPr>
                <w:rFonts w:ascii="Calibri" w:hAnsi="Calibri"/>
                <w:b/>
                <w:sz w:val="20"/>
                <w:szCs w:val="20"/>
              </w:rPr>
            </w:pPr>
            <w:r w:rsidRPr="00FD551A">
              <w:rPr>
                <w:rFonts w:ascii="Calibri" w:hAnsi="Calibri"/>
                <w:b/>
                <w:sz w:val="20"/>
                <w:szCs w:val="20"/>
              </w:rPr>
              <w:t>2. Assistance in Planning, Staff Recruitment, Monitoring and Evaluation</w:t>
            </w:r>
          </w:p>
          <w:p w14:paraId="06330C4B" w14:textId="77777777" w:rsidR="000F3008" w:rsidRPr="004622EC" w:rsidRDefault="000F3008" w:rsidP="0020322F">
            <w:pPr>
              <w:numPr>
                <w:ilvl w:val="0"/>
                <w:numId w:val="35"/>
              </w:numPr>
              <w:rPr>
                <w:sz w:val="20"/>
                <w:szCs w:val="20"/>
              </w:rPr>
            </w:pPr>
            <w:r w:rsidRPr="004622EC">
              <w:rPr>
                <w:sz w:val="20"/>
                <w:szCs w:val="20"/>
              </w:rPr>
              <w:t>Provide support and advice for preparation or revision of key planning and evaluation documents such as the project Annual Plan of Actions(APAs), Annual Work Plan (AWPs), Project Implementation Reviews (PIRs), progress reports, monitoring and review reports etc.;</w:t>
            </w:r>
          </w:p>
          <w:p w14:paraId="6F6B4766" w14:textId="77777777" w:rsidR="000F3008" w:rsidRPr="004622EC" w:rsidRDefault="000F3008" w:rsidP="0020322F">
            <w:pPr>
              <w:numPr>
                <w:ilvl w:val="0"/>
                <w:numId w:val="35"/>
              </w:numPr>
              <w:rPr>
                <w:b/>
                <w:bCs/>
                <w:i/>
                <w:sz w:val="20"/>
                <w:szCs w:val="20"/>
                <w:lang w:eastAsia="de-DE"/>
              </w:rPr>
            </w:pPr>
            <w:r w:rsidRPr="004622EC">
              <w:rPr>
                <w:sz w:val="20"/>
                <w:szCs w:val="20"/>
              </w:rPr>
              <w:t>Assist in the development of relevant Terms of References and mobilization of qualified national and international experts and organizations needed to provide specific consultancy services;</w:t>
            </w:r>
          </w:p>
          <w:p w14:paraId="019F1011" w14:textId="77777777" w:rsidR="00445AE7" w:rsidRPr="00445AE7" w:rsidRDefault="000F3008" w:rsidP="0020322F">
            <w:pPr>
              <w:numPr>
                <w:ilvl w:val="0"/>
                <w:numId w:val="35"/>
              </w:numPr>
              <w:tabs>
                <w:tab w:val="num" w:pos="360"/>
              </w:tabs>
              <w:rPr>
                <w:i/>
                <w:sz w:val="20"/>
                <w:szCs w:val="20"/>
              </w:rPr>
            </w:pPr>
            <w:r w:rsidRPr="004622EC">
              <w:rPr>
                <w:sz w:val="20"/>
                <w:szCs w:val="20"/>
              </w:rPr>
              <w:t>Support Project Manager in the preparation and implementation of the Mid-Term and Terminal Evaluations (TORs, selection of appropriate candidates, accompaniment of field missions if and when required, discussion with evaluators, etc.).</w:t>
            </w:r>
          </w:p>
        </w:tc>
      </w:tr>
      <w:tr w:rsidR="000F3008" w:rsidRPr="00FD551A" w14:paraId="26171AE4" w14:textId="77777777" w:rsidTr="003E6878">
        <w:tblPrEx>
          <w:shd w:val="clear" w:color="auto" w:fill="E0E0E0"/>
        </w:tblPrEx>
        <w:tc>
          <w:tcPr>
            <w:tcW w:w="10908" w:type="dxa"/>
            <w:gridSpan w:val="3"/>
            <w:shd w:val="clear" w:color="auto" w:fill="E0E0E0"/>
          </w:tcPr>
          <w:p w14:paraId="5589E4B0" w14:textId="77777777" w:rsidR="000F3008" w:rsidRPr="004622EC" w:rsidRDefault="000F3008" w:rsidP="00445AE7">
            <w:pPr>
              <w:keepNext/>
              <w:keepLines/>
              <w:rPr>
                <w:b/>
                <w:bCs/>
                <w:sz w:val="20"/>
                <w:szCs w:val="20"/>
              </w:rPr>
            </w:pPr>
            <w:r w:rsidRPr="004622EC">
              <w:rPr>
                <w:b/>
                <w:bCs/>
                <w:sz w:val="20"/>
                <w:szCs w:val="20"/>
              </w:rPr>
              <w:t>IV. Recruitment Qualifications</w:t>
            </w:r>
          </w:p>
        </w:tc>
      </w:tr>
      <w:tr w:rsidR="000F3008" w:rsidRPr="00FD551A" w14:paraId="0793CBFA" w14:textId="77777777" w:rsidTr="003E6878">
        <w:tblPrEx>
          <w:shd w:val="clear" w:color="auto" w:fill="E0E0E0"/>
        </w:tblPrEx>
        <w:trPr>
          <w:trHeight w:val="230"/>
        </w:trPr>
        <w:tc>
          <w:tcPr>
            <w:tcW w:w="2988" w:type="dxa"/>
            <w:tcBorders>
              <w:bottom w:val="single" w:sz="4" w:space="0" w:color="auto"/>
            </w:tcBorders>
            <w:vAlign w:val="center"/>
          </w:tcPr>
          <w:p w14:paraId="5F6F6655" w14:textId="77777777" w:rsidR="000F3008" w:rsidRPr="004622EC" w:rsidRDefault="000F3008" w:rsidP="00445AE7">
            <w:pPr>
              <w:keepNext/>
              <w:keepLines/>
              <w:rPr>
                <w:sz w:val="20"/>
                <w:szCs w:val="20"/>
              </w:rPr>
            </w:pPr>
            <w:r w:rsidRPr="004622EC">
              <w:rPr>
                <w:sz w:val="20"/>
                <w:szCs w:val="20"/>
              </w:rPr>
              <w:t>Education:</w:t>
            </w:r>
          </w:p>
        </w:tc>
        <w:tc>
          <w:tcPr>
            <w:tcW w:w="7920" w:type="dxa"/>
            <w:gridSpan w:val="2"/>
            <w:tcBorders>
              <w:bottom w:val="single" w:sz="4" w:space="0" w:color="auto"/>
            </w:tcBorders>
            <w:vAlign w:val="center"/>
          </w:tcPr>
          <w:p w14:paraId="4FB5ABFC" w14:textId="77777777" w:rsidR="000F3008" w:rsidRPr="004622EC" w:rsidRDefault="000F3008" w:rsidP="00445AE7">
            <w:pPr>
              <w:keepNext/>
              <w:keepLines/>
              <w:tabs>
                <w:tab w:val="num" w:pos="540"/>
              </w:tabs>
              <w:ind w:left="72"/>
              <w:rPr>
                <w:sz w:val="20"/>
                <w:szCs w:val="20"/>
              </w:rPr>
            </w:pPr>
            <w:r w:rsidRPr="004622EC">
              <w:rPr>
                <w:sz w:val="20"/>
                <w:szCs w:val="20"/>
              </w:rPr>
              <w:t>Advanced degree (master's level, equivalent or higher) in the field of energy, environment or energy engineering.</w:t>
            </w:r>
          </w:p>
        </w:tc>
      </w:tr>
      <w:tr w:rsidR="000F3008" w:rsidRPr="00FD551A" w14:paraId="07B4186D" w14:textId="77777777" w:rsidTr="003E6878">
        <w:tblPrEx>
          <w:shd w:val="clear" w:color="auto" w:fill="E0E0E0"/>
        </w:tblPrEx>
        <w:trPr>
          <w:trHeight w:val="230"/>
        </w:trPr>
        <w:tc>
          <w:tcPr>
            <w:tcW w:w="2988" w:type="dxa"/>
            <w:tcBorders>
              <w:bottom w:val="single" w:sz="4" w:space="0" w:color="auto"/>
            </w:tcBorders>
            <w:vAlign w:val="center"/>
          </w:tcPr>
          <w:p w14:paraId="4C04D8BD" w14:textId="77777777" w:rsidR="000F3008" w:rsidRPr="004622EC" w:rsidRDefault="000F3008" w:rsidP="004622EC">
            <w:pPr>
              <w:rPr>
                <w:sz w:val="20"/>
                <w:szCs w:val="20"/>
              </w:rPr>
            </w:pPr>
            <w:r w:rsidRPr="004622EC">
              <w:rPr>
                <w:sz w:val="20"/>
                <w:szCs w:val="20"/>
              </w:rPr>
              <w:t>Experience:</w:t>
            </w:r>
          </w:p>
        </w:tc>
        <w:tc>
          <w:tcPr>
            <w:tcW w:w="7920" w:type="dxa"/>
            <w:gridSpan w:val="2"/>
            <w:tcBorders>
              <w:bottom w:val="single" w:sz="4" w:space="0" w:color="auto"/>
            </w:tcBorders>
            <w:vAlign w:val="center"/>
          </w:tcPr>
          <w:p w14:paraId="70FB96DC" w14:textId="77777777" w:rsidR="000F3008" w:rsidRPr="004622EC" w:rsidRDefault="000F3008" w:rsidP="004622EC">
            <w:pPr>
              <w:tabs>
                <w:tab w:val="left" w:pos="72"/>
                <w:tab w:val="left" w:pos="252"/>
              </w:tabs>
              <w:ind w:left="74"/>
              <w:rPr>
                <w:sz w:val="20"/>
                <w:szCs w:val="20"/>
              </w:rPr>
            </w:pPr>
            <w:r w:rsidRPr="004622EC">
              <w:rPr>
                <w:sz w:val="20"/>
                <w:szCs w:val="20"/>
              </w:rPr>
              <w:t>At least 10 years of practical experience in:</w:t>
            </w:r>
          </w:p>
          <w:p w14:paraId="7ED76BB5" w14:textId="77777777" w:rsidR="00974AA4" w:rsidRDefault="00B84DF0" w:rsidP="0020322F">
            <w:pPr>
              <w:numPr>
                <w:ilvl w:val="0"/>
                <w:numId w:val="36"/>
              </w:numPr>
              <w:tabs>
                <w:tab w:val="left" w:pos="131"/>
                <w:tab w:val="left" w:pos="252"/>
              </w:tabs>
              <w:ind w:left="273" w:hanging="142"/>
              <w:rPr>
                <w:sz w:val="20"/>
                <w:szCs w:val="20"/>
              </w:rPr>
            </w:pPr>
            <w:r>
              <w:rPr>
                <w:sz w:val="20"/>
                <w:szCs w:val="20"/>
              </w:rPr>
              <w:t>P</w:t>
            </w:r>
            <w:r w:rsidR="00974AA4">
              <w:rPr>
                <w:sz w:val="20"/>
                <w:szCs w:val="20"/>
              </w:rPr>
              <w:t>rovision of</w:t>
            </w:r>
            <w:r w:rsidR="000F3008" w:rsidRPr="004622EC">
              <w:rPr>
                <w:sz w:val="20"/>
                <w:szCs w:val="20"/>
              </w:rPr>
              <w:t xml:space="preserve"> advisory services </w:t>
            </w:r>
            <w:r w:rsidR="00974AA4">
              <w:rPr>
                <w:sz w:val="20"/>
                <w:szCs w:val="20"/>
              </w:rPr>
              <w:t xml:space="preserve">in the field of the </w:t>
            </w:r>
            <w:r w:rsidRPr="004622EC">
              <w:rPr>
                <w:sz w:val="20"/>
                <w:szCs w:val="20"/>
              </w:rPr>
              <w:t xml:space="preserve">small-scale RES policy and finance </w:t>
            </w:r>
          </w:p>
          <w:p w14:paraId="294BED46" w14:textId="77777777" w:rsidR="000F3008" w:rsidRPr="004622EC" w:rsidRDefault="00B84DF0" w:rsidP="0020322F">
            <w:pPr>
              <w:numPr>
                <w:ilvl w:val="0"/>
                <w:numId w:val="36"/>
              </w:numPr>
              <w:tabs>
                <w:tab w:val="left" w:pos="131"/>
                <w:tab w:val="left" w:pos="252"/>
              </w:tabs>
              <w:ind w:left="273" w:hanging="142"/>
              <w:rPr>
                <w:sz w:val="20"/>
                <w:szCs w:val="20"/>
              </w:rPr>
            </w:pPr>
            <w:r>
              <w:rPr>
                <w:sz w:val="20"/>
                <w:szCs w:val="20"/>
              </w:rPr>
              <w:t>P</w:t>
            </w:r>
            <w:r w:rsidR="000F3008" w:rsidRPr="004622EC">
              <w:rPr>
                <w:sz w:val="20"/>
                <w:szCs w:val="20"/>
              </w:rPr>
              <w:t xml:space="preserve">roject </w:t>
            </w:r>
            <w:r w:rsidR="00974AA4">
              <w:rPr>
                <w:sz w:val="20"/>
                <w:szCs w:val="20"/>
              </w:rPr>
              <w:t xml:space="preserve">management and </w:t>
            </w:r>
            <w:r w:rsidR="000F3008" w:rsidRPr="004622EC">
              <w:rPr>
                <w:sz w:val="20"/>
                <w:szCs w:val="20"/>
              </w:rPr>
              <w:t xml:space="preserve">implementation </w:t>
            </w:r>
            <w:r w:rsidR="00974AA4">
              <w:rPr>
                <w:sz w:val="20"/>
                <w:szCs w:val="20"/>
              </w:rPr>
              <w:t xml:space="preserve">including provision of </w:t>
            </w:r>
            <w:r w:rsidR="000F3008" w:rsidRPr="004622EC">
              <w:rPr>
                <w:sz w:val="20"/>
                <w:szCs w:val="20"/>
              </w:rPr>
              <w:t xml:space="preserve">the overall technical </w:t>
            </w:r>
            <w:r>
              <w:rPr>
                <w:sz w:val="20"/>
                <w:szCs w:val="20"/>
              </w:rPr>
              <w:t>guidance</w:t>
            </w:r>
            <w:r w:rsidRPr="004622EC">
              <w:rPr>
                <w:sz w:val="20"/>
                <w:szCs w:val="20"/>
              </w:rPr>
              <w:t xml:space="preserve"> </w:t>
            </w:r>
            <w:r>
              <w:rPr>
                <w:sz w:val="20"/>
                <w:szCs w:val="20"/>
              </w:rPr>
              <w:t xml:space="preserve">to </w:t>
            </w:r>
            <w:r w:rsidR="000F3008" w:rsidRPr="004622EC">
              <w:rPr>
                <w:sz w:val="20"/>
                <w:szCs w:val="20"/>
              </w:rPr>
              <w:t>the project;</w:t>
            </w:r>
          </w:p>
          <w:p w14:paraId="60DA6D45" w14:textId="77777777" w:rsidR="000F3008" w:rsidRPr="004622EC" w:rsidRDefault="00B84DF0" w:rsidP="0020322F">
            <w:pPr>
              <w:numPr>
                <w:ilvl w:val="0"/>
                <w:numId w:val="36"/>
              </w:numPr>
              <w:tabs>
                <w:tab w:val="left" w:pos="131"/>
                <w:tab w:val="left" w:pos="252"/>
              </w:tabs>
              <w:ind w:left="273" w:hanging="142"/>
              <w:rPr>
                <w:sz w:val="20"/>
                <w:szCs w:val="20"/>
              </w:rPr>
            </w:pPr>
            <w:r>
              <w:rPr>
                <w:sz w:val="20"/>
                <w:szCs w:val="20"/>
              </w:rPr>
              <w:t>P</w:t>
            </w:r>
            <w:r w:rsidR="000F3008" w:rsidRPr="004622EC">
              <w:rPr>
                <w:sz w:val="20"/>
                <w:szCs w:val="20"/>
              </w:rPr>
              <w:t xml:space="preserve">rovision of technical guidance on implementation and completion of </w:t>
            </w:r>
            <w:r w:rsidR="00974AA4">
              <w:rPr>
                <w:sz w:val="20"/>
                <w:szCs w:val="20"/>
              </w:rPr>
              <w:t xml:space="preserve">the </w:t>
            </w:r>
            <w:r w:rsidR="000F3008" w:rsidRPr="004622EC">
              <w:rPr>
                <w:sz w:val="20"/>
                <w:szCs w:val="20"/>
              </w:rPr>
              <w:t>key project components/activities, inputs on key technical decisions at strategic moments in the project implementation;</w:t>
            </w:r>
          </w:p>
          <w:p w14:paraId="369EDDEA" w14:textId="77777777" w:rsidR="000F3008" w:rsidRPr="004622EC" w:rsidRDefault="00B84DF0" w:rsidP="0020322F">
            <w:pPr>
              <w:numPr>
                <w:ilvl w:val="0"/>
                <w:numId w:val="36"/>
              </w:numPr>
              <w:tabs>
                <w:tab w:val="left" w:pos="131"/>
                <w:tab w:val="left" w:pos="252"/>
              </w:tabs>
              <w:ind w:left="273" w:hanging="142"/>
              <w:rPr>
                <w:sz w:val="20"/>
                <w:szCs w:val="20"/>
              </w:rPr>
            </w:pPr>
            <w:r>
              <w:rPr>
                <w:sz w:val="20"/>
                <w:szCs w:val="20"/>
              </w:rPr>
              <w:t>M</w:t>
            </w:r>
            <w:r w:rsidR="00974AA4">
              <w:rPr>
                <w:sz w:val="20"/>
                <w:szCs w:val="20"/>
              </w:rPr>
              <w:t xml:space="preserve">onitoring and evaluation, </w:t>
            </w:r>
            <w:r w:rsidR="000F3008" w:rsidRPr="004622EC">
              <w:rPr>
                <w:sz w:val="20"/>
                <w:szCs w:val="20"/>
              </w:rPr>
              <w:t xml:space="preserve">results </w:t>
            </w:r>
            <w:r w:rsidR="00974AA4">
              <w:rPr>
                <w:sz w:val="20"/>
                <w:szCs w:val="20"/>
              </w:rPr>
              <w:t xml:space="preserve">reporting </w:t>
            </w:r>
            <w:r w:rsidR="000F3008" w:rsidRPr="004622EC">
              <w:rPr>
                <w:sz w:val="20"/>
                <w:szCs w:val="20"/>
              </w:rPr>
              <w:t>and development of corrective actions</w:t>
            </w:r>
            <w:r>
              <w:rPr>
                <w:sz w:val="20"/>
                <w:szCs w:val="20"/>
              </w:rPr>
              <w:t xml:space="preserve"> and </w:t>
            </w:r>
            <w:r w:rsidR="000F3008" w:rsidRPr="004622EC">
              <w:rPr>
                <w:sz w:val="20"/>
                <w:szCs w:val="20"/>
              </w:rPr>
              <w:t>management response as per results of evaluations.</w:t>
            </w:r>
          </w:p>
        </w:tc>
      </w:tr>
      <w:tr w:rsidR="000F3008" w:rsidRPr="00FD551A" w14:paraId="75F41C9F" w14:textId="77777777" w:rsidTr="003E6878">
        <w:tblPrEx>
          <w:shd w:val="clear" w:color="auto" w:fill="E0E0E0"/>
        </w:tblPrEx>
        <w:trPr>
          <w:trHeight w:val="230"/>
        </w:trPr>
        <w:tc>
          <w:tcPr>
            <w:tcW w:w="2988" w:type="dxa"/>
            <w:vAlign w:val="center"/>
          </w:tcPr>
          <w:p w14:paraId="2319CCD7" w14:textId="77777777" w:rsidR="000F3008" w:rsidRPr="004622EC" w:rsidRDefault="000F3008" w:rsidP="004622EC">
            <w:pPr>
              <w:rPr>
                <w:sz w:val="20"/>
                <w:szCs w:val="20"/>
              </w:rPr>
            </w:pPr>
            <w:r w:rsidRPr="004622EC">
              <w:rPr>
                <w:sz w:val="20"/>
                <w:szCs w:val="20"/>
              </w:rPr>
              <w:t>Language Requirements:</w:t>
            </w:r>
          </w:p>
        </w:tc>
        <w:tc>
          <w:tcPr>
            <w:tcW w:w="7920" w:type="dxa"/>
            <w:gridSpan w:val="2"/>
            <w:vAlign w:val="center"/>
          </w:tcPr>
          <w:p w14:paraId="2FD41345" w14:textId="77777777" w:rsidR="000F3008" w:rsidRPr="00043685" w:rsidRDefault="0036451C" w:rsidP="004622EC">
            <w:pPr>
              <w:tabs>
                <w:tab w:val="left" w:pos="357"/>
              </w:tabs>
              <w:overflowPunct w:val="0"/>
              <w:autoSpaceDE w:val="0"/>
              <w:autoSpaceDN w:val="0"/>
              <w:adjustRightInd w:val="0"/>
              <w:ind w:left="72"/>
              <w:textAlignment w:val="baseline"/>
              <w:rPr>
                <w:color w:val="000000"/>
                <w:sz w:val="20"/>
                <w:szCs w:val="20"/>
              </w:rPr>
            </w:pPr>
            <w:r w:rsidRPr="00043685">
              <w:rPr>
                <w:color w:val="000000"/>
                <w:sz w:val="20"/>
                <w:szCs w:val="20"/>
              </w:rPr>
              <w:t xml:space="preserve">Excellent written and spoken Russian language, English and </w:t>
            </w:r>
            <w:r w:rsidRPr="00043685">
              <w:rPr>
                <w:sz w:val="20"/>
                <w:szCs w:val="20"/>
              </w:rPr>
              <w:t>Kazakh are essential</w:t>
            </w:r>
            <w:r w:rsidRPr="00043685">
              <w:rPr>
                <w:color w:val="000000"/>
                <w:sz w:val="20"/>
                <w:szCs w:val="20"/>
              </w:rPr>
              <w:t>. Excellent analytical and presentation skills</w:t>
            </w:r>
            <w:r w:rsidR="000F3008" w:rsidRPr="00043685">
              <w:rPr>
                <w:color w:val="000000"/>
                <w:sz w:val="20"/>
                <w:szCs w:val="20"/>
              </w:rPr>
              <w:t>.</w:t>
            </w:r>
          </w:p>
        </w:tc>
      </w:tr>
      <w:tr w:rsidR="000F3008" w:rsidRPr="00FD551A" w14:paraId="6315953D" w14:textId="77777777" w:rsidTr="004622EC">
        <w:tblPrEx>
          <w:shd w:val="clear" w:color="auto" w:fill="E0E0E0"/>
        </w:tblPrEx>
        <w:trPr>
          <w:trHeight w:val="575"/>
        </w:trPr>
        <w:tc>
          <w:tcPr>
            <w:tcW w:w="2988" w:type="dxa"/>
            <w:tcBorders>
              <w:bottom w:val="single" w:sz="4" w:space="0" w:color="auto"/>
            </w:tcBorders>
            <w:vAlign w:val="center"/>
          </w:tcPr>
          <w:p w14:paraId="30FB08CF" w14:textId="77777777" w:rsidR="000F3008" w:rsidRPr="004622EC" w:rsidRDefault="000F3008" w:rsidP="004622EC">
            <w:pPr>
              <w:rPr>
                <w:sz w:val="20"/>
                <w:szCs w:val="20"/>
              </w:rPr>
            </w:pPr>
            <w:r w:rsidRPr="004622EC">
              <w:rPr>
                <w:sz w:val="20"/>
                <w:szCs w:val="20"/>
              </w:rPr>
              <w:t>Others:</w:t>
            </w:r>
          </w:p>
        </w:tc>
        <w:tc>
          <w:tcPr>
            <w:tcW w:w="7920" w:type="dxa"/>
            <w:gridSpan w:val="2"/>
            <w:tcBorders>
              <w:bottom w:val="single" w:sz="4" w:space="0" w:color="auto"/>
            </w:tcBorders>
            <w:vAlign w:val="center"/>
          </w:tcPr>
          <w:p w14:paraId="298DA938" w14:textId="77777777" w:rsidR="000F3008" w:rsidRPr="004622EC" w:rsidRDefault="000F3008" w:rsidP="004622EC">
            <w:pPr>
              <w:tabs>
                <w:tab w:val="num" w:pos="540"/>
              </w:tabs>
              <w:ind w:left="72"/>
              <w:rPr>
                <w:sz w:val="20"/>
                <w:szCs w:val="20"/>
              </w:rPr>
            </w:pPr>
            <w:r w:rsidRPr="004622EC">
              <w:rPr>
                <w:sz w:val="20"/>
                <w:szCs w:val="20"/>
              </w:rPr>
              <w:t>Good understanding of local policies and practices in on and off-grid energy sector.</w:t>
            </w:r>
          </w:p>
          <w:p w14:paraId="3AA18FC7" w14:textId="77777777" w:rsidR="000F3008" w:rsidRPr="004622EC" w:rsidRDefault="000F3008" w:rsidP="004622EC">
            <w:pPr>
              <w:tabs>
                <w:tab w:val="num" w:pos="540"/>
              </w:tabs>
              <w:ind w:left="72"/>
              <w:rPr>
                <w:sz w:val="20"/>
                <w:szCs w:val="20"/>
              </w:rPr>
            </w:pPr>
            <w:r w:rsidRPr="004622EC">
              <w:rPr>
                <w:sz w:val="20"/>
                <w:szCs w:val="20"/>
              </w:rPr>
              <w:t>Outstanding time-management, organizational and interpersonal skills.</w:t>
            </w:r>
          </w:p>
        </w:tc>
      </w:tr>
      <w:bookmarkEnd w:id="130"/>
    </w:tbl>
    <w:p w14:paraId="4E0B3E18" w14:textId="77777777" w:rsidR="000F3008" w:rsidRDefault="000F3008" w:rsidP="00FD551A">
      <w:pPr>
        <w:rPr>
          <w:rFonts w:cs="Times"/>
          <w:b/>
          <w:bCs/>
          <w:sz w:val="20"/>
          <w:szCs w:val="20"/>
        </w:rPr>
      </w:pPr>
    </w:p>
    <w:p w14:paraId="2059FF01" w14:textId="77777777" w:rsidR="000F3008" w:rsidRPr="003269A4" w:rsidRDefault="003269A4" w:rsidP="00043685">
      <w:pPr>
        <w:keepNext/>
        <w:keepLines/>
        <w:spacing w:before="120" w:after="120"/>
        <w:rPr>
          <w:b/>
        </w:rPr>
      </w:pPr>
      <w:r w:rsidRPr="003269A4">
        <w:rPr>
          <w:b/>
        </w:rPr>
        <w:t>5</w:t>
      </w:r>
      <w:r w:rsidR="000F3008" w:rsidRPr="003269A4">
        <w:rPr>
          <w:b/>
        </w:rPr>
        <w:t xml:space="preserve">. </w:t>
      </w:r>
      <w:r w:rsidRPr="003269A4">
        <w:rPr>
          <w:b/>
        </w:rPr>
        <w:t xml:space="preserve">Terms of Reference for the </w:t>
      </w:r>
      <w:r w:rsidR="000F3008" w:rsidRPr="003269A4">
        <w:rPr>
          <w:b/>
        </w:rPr>
        <w:t>Administrative and Financial Assistant</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3"/>
        <w:gridCol w:w="8595"/>
      </w:tblGrid>
      <w:tr w:rsidR="000F3008" w:rsidRPr="00043685" w14:paraId="7252DABF" w14:textId="77777777" w:rsidTr="003E6878">
        <w:tc>
          <w:tcPr>
            <w:tcW w:w="10908" w:type="dxa"/>
            <w:gridSpan w:val="2"/>
            <w:shd w:val="clear" w:color="auto" w:fill="E0E0E0"/>
          </w:tcPr>
          <w:p w14:paraId="37988C80" w14:textId="77777777" w:rsidR="000F3008" w:rsidRPr="00043685" w:rsidRDefault="000F3008" w:rsidP="00043685">
            <w:pPr>
              <w:keepNext/>
              <w:keepLines/>
              <w:rPr>
                <w:b/>
                <w:bCs/>
                <w:sz w:val="20"/>
                <w:szCs w:val="20"/>
              </w:rPr>
            </w:pPr>
            <w:r w:rsidRPr="00043685">
              <w:rPr>
                <w:b/>
                <w:bCs/>
                <w:sz w:val="20"/>
                <w:szCs w:val="20"/>
              </w:rPr>
              <w:t>I. Position Information</w:t>
            </w:r>
          </w:p>
        </w:tc>
      </w:tr>
      <w:tr w:rsidR="000F3008" w:rsidRPr="00FD551A" w14:paraId="71D1822A" w14:textId="77777777" w:rsidTr="005E7FF6">
        <w:tc>
          <w:tcPr>
            <w:tcW w:w="2313" w:type="dxa"/>
          </w:tcPr>
          <w:p w14:paraId="6F9EBFD4" w14:textId="77777777" w:rsidR="000F3008" w:rsidRPr="00043685" w:rsidRDefault="000F3008" w:rsidP="00043685">
            <w:pPr>
              <w:keepNext/>
              <w:keepLines/>
              <w:rPr>
                <w:sz w:val="20"/>
                <w:szCs w:val="20"/>
              </w:rPr>
            </w:pPr>
            <w:r w:rsidRPr="00043685">
              <w:rPr>
                <w:sz w:val="20"/>
                <w:szCs w:val="20"/>
              </w:rPr>
              <w:t xml:space="preserve">Position Title: </w:t>
            </w:r>
          </w:p>
          <w:p w14:paraId="38321E54" w14:textId="77777777" w:rsidR="000F3008" w:rsidRPr="00043685" w:rsidRDefault="000F3008" w:rsidP="00043685">
            <w:pPr>
              <w:keepNext/>
              <w:keepLines/>
              <w:rPr>
                <w:sz w:val="20"/>
                <w:szCs w:val="20"/>
              </w:rPr>
            </w:pPr>
            <w:r w:rsidRPr="00043685">
              <w:rPr>
                <w:sz w:val="20"/>
                <w:szCs w:val="20"/>
              </w:rPr>
              <w:t>SC range:</w:t>
            </w:r>
          </w:p>
          <w:p w14:paraId="75C24F29" w14:textId="77777777" w:rsidR="000F3008" w:rsidRPr="00043685" w:rsidRDefault="000F3008" w:rsidP="00043685">
            <w:pPr>
              <w:keepNext/>
              <w:keepLines/>
              <w:rPr>
                <w:sz w:val="20"/>
                <w:szCs w:val="20"/>
              </w:rPr>
            </w:pPr>
            <w:r w:rsidRPr="00043685">
              <w:rPr>
                <w:sz w:val="20"/>
                <w:szCs w:val="20"/>
              </w:rPr>
              <w:t xml:space="preserve">Project Title: </w:t>
            </w:r>
          </w:p>
          <w:p w14:paraId="3A63BF25" w14:textId="77777777" w:rsidR="000F3008" w:rsidRPr="00043685" w:rsidRDefault="000F3008" w:rsidP="00043685">
            <w:pPr>
              <w:keepNext/>
              <w:keepLines/>
              <w:rPr>
                <w:sz w:val="20"/>
                <w:szCs w:val="20"/>
              </w:rPr>
            </w:pPr>
            <w:r w:rsidRPr="00043685">
              <w:rPr>
                <w:sz w:val="20"/>
                <w:szCs w:val="20"/>
              </w:rPr>
              <w:t>Duration of the service:</w:t>
            </w:r>
          </w:p>
          <w:p w14:paraId="1FA8D3F9" w14:textId="77777777" w:rsidR="000F3008" w:rsidRPr="00043685" w:rsidRDefault="000F3008" w:rsidP="00043685">
            <w:pPr>
              <w:keepNext/>
              <w:keepLines/>
              <w:rPr>
                <w:sz w:val="20"/>
                <w:szCs w:val="20"/>
              </w:rPr>
            </w:pPr>
            <w:r w:rsidRPr="00043685">
              <w:rPr>
                <w:sz w:val="20"/>
                <w:szCs w:val="20"/>
              </w:rPr>
              <w:t>Work status</w:t>
            </w:r>
          </w:p>
          <w:p w14:paraId="2AD8AFA8" w14:textId="77777777" w:rsidR="000F3008" w:rsidRPr="00043685" w:rsidRDefault="000F3008" w:rsidP="00043685">
            <w:pPr>
              <w:keepNext/>
              <w:keepLines/>
              <w:rPr>
                <w:sz w:val="20"/>
                <w:szCs w:val="20"/>
              </w:rPr>
            </w:pPr>
            <w:r w:rsidRPr="00043685">
              <w:rPr>
                <w:sz w:val="20"/>
                <w:szCs w:val="20"/>
              </w:rPr>
              <w:t>Reports To:</w:t>
            </w:r>
          </w:p>
        </w:tc>
        <w:tc>
          <w:tcPr>
            <w:tcW w:w="8595" w:type="dxa"/>
          </w:tcPr>
          <w:p w14:paraId="55D77C59" w14:textId="77777777" w:rsidR="000F3008" w:rsidRPr="00043685" w:rsidRDefault="000F3008" w:rsidP="00043685">
            <w:pPr>
              <w:keepNext/>
              <w:keepLines/>
              <w:rPr>
                <w:sz w:val="20"/>
                <w:szCs w:val="20"/>
              </w:rPr>
            </w:pPr>
            <w:r w:rsidRPr="00043685">
              <w:rPr>
                <w:sz w:val="20"/>
                <w:szCs w:val="20"/>
              </w:rPr>
              <w:t>Administrative and Financial Assistant</w:t>
            </w:r>
          </w:p>
          <w:p w14:paraId="46CA44A3" w14:textId="77777777" w:rsidR="000F3008" w:rsidRPr="00043685" w:rsidRDefault="000F3008" w:rsidP="00043685">
            <w:pPr>
              <w:keepNext/>
              <w:keepLines/>
              <w:rPr>
                <w:sz w:val="20"/>
                <w:szCs w:val="20"/>
              </w:rPr>
            </w:pPr>
            <w:r w:rsidRPr="00043685">
              <w:rPr>
                <w:sz w:val="20"/>
                <w:szCs w:val="20"/>
              </w:rPr>
              <w:t>S</w:t>
            </w:r>
            <w:r w:rsidR="0036451C" w:rsidRPr="00043685">
              <w:rPr>
                <w:sz w:val="20"/>
                <w:szCs w:val="20"/>
              </w:rPr>
              <w:t>B</w:t>
            </w:r>
            <w:r w:rsidRPr="00043685">
              <w:rPr>
                <w:sz w:val="20"/>
                <w:szCs w:val="20"/>
              </w:rPr>
              <w:t>-</w:t>
            </w:r>
            <w:r w:rsidR="0036451C" w:rsidRPr="00043685">
              <w:rPr>
                <w:sz w:val="20"/>
                <w:szCs w:val="20"/>
              </w:rPr>
              <w:t>2</w:t>
            </w:r>
            <w:r w:rsidRPr="00043685">
              <w:rPr>
                <w:sz w:val="20"/>
                <w:szCs w:val="20"/>
              </w:rPr>
              <w:t xml:space="preserve"> </w:t>
            </w:r>
          </w:p>
          <w:p w14:paraId="58B8070B" w14:textId="77777777" w:rsidR="000F3008" w:rsidRPr="00043685" w:rsidRDefault="000F3008" w:rsidP="00043685">
            <w:pPr>
              <w:keepNext/>
              <w:keepLines/>
              <w:rPr>
                <w:sz w:val="20"/>
                <w:szCs w:val="20"/>
              </w:rPr>
            </w:pPr>
            <w:r w:rsidRPr="00043685">
              <w:rPr>
                <w:sz w:val="20"/>
                <w:szCs w:val="20"/>
              </w:rPr>
              <w:t>Derisking Renewable Energy Investment in Kazakhstan/ Renewable Energy Unit</w:t>
            </w:r>
          </w:p>
          <w:p w14:paraId="26F30511" w14:textId="77777777" w:rsidR="000F3008" w:rsidRPr="00043685" w:rsidRDefault="000F3008" w:rsidP="00043685">
            <w:pPr>
              <w:keepNext/>
              <w:keepLines/>
              <w:rPr>
                <w:sz w:val="20"/>
                <w:szCs w:val="20"/>
              </w:rPr>
            </w:pPr>
            <w:r w:rsidRPr="00043685">
              <w:rPr>
                <w:sz w:val="20"/>
                <w:szCs w:val="20"/>
              </w:rPr>
              <w:t>1 year (with possible extension subject to satisfactory performance)</w:t>
            </w:r>
          </w:p>
          <w:p w14:paraId="54162F5F" w14:textId="77777777" w:rsidR="000F3008" w:rsidRPr="00043685" w:rsidRDefault="000F3008" w:rsidP="00043685">
            <w:pPr>
              <w:keepNext/>
              <w:keepLines/>
              <w:rPr>
                <w:sz w:val="20"/>
                <w:szCs w:val="20"/>
              </w:rPr>
            </w:pPr>
            <w:r w:rsidRPr="00043685">
              <w:rPr>
                <w:sz w:val="20"/>
                <w:szCs w:val="20"/>
              </w:rPr>
              <w:t>Full-time</w:t>
            </w:r>
          </w:p>
          <w:p w14:paraId="72243350" w14:textId="77777777" w:rsidR="000F3008" w:rsidRPr="004622EC" w:rsidRDefault="000F3008" w:rsidP="00043685">
            <w:pPr>
              <w:keepNext/>
              <w:keepLines/>
              <w:rPr>
                <w:sz w:val="20"/>
                <w:szCs w:val="20"/>
              </w:rPr>
            </w:pPr>
            <w:r w:rsidRPr="00043685">
              <w:rPr>
                <w:sz w:val="20"/>
                <w:szCs w:val="20"/>
              </w:rPr>
              <w:t>Project Manager</w:t>
            </w:r>
            <w:r w:rsidRPr="004622EC">
              <w:rPr>
                <w:sz w:val="20"/>
                <w:szCs w:val="20"/>
              </w:rPr>
              <w:t xml:space="preserve"> </w:t>
            </w:r>
          </w:p>
        </w:tc>
      </w:tr>
      <w:tr w:rsidR="000F3008" w:rsidRPr="00FD551A" w14:paraId="5506E545" w14:textId="77777777" w:rsidTr="003E6878">
        <w:tblPrEx>
          <w:shd w:val="clear" w:color="auto" w:fill="E0E0E0"/>
        </w:tblPrEx>
        <w:tc>
          <w:tcPr>
            <w:tcW w:w="10908" w:type="dxa"/>
            <w:gridSpan w:val="2"/>
            <w:tcBorders>
              <w:bottom w:val="single" w:sz="4" w:space="0" w:color="auto"/>
            </w:tcBorders>
            <w:shd w:val="clear" w:color="auto" w:fill="E0E0E0"/>
          </w:tcPr>
          <w:p w14:paraId="0D7B7A13" w14:textId="77777777" w:rsidR="000F3008" w:rsidRPr="004622EC" w:rsidRDefault="000F3008" w:rsidP="004622EC">
            <w:pPr>
              <w:rPr>
                <w:b/>
                <w:sz w:val="20"/>
                <w:szCs w:val="20"/>
              </w:rPr>
            </w:pPr>
            <w:r w:rsidRPr="004622EC">
              <w:rPr>
                <w:b/>
                <w:sz w:val="20"/>
                <w:szCs w:val="20"/>
              </w:rPr>
              <w:t xml:space="preserve">II. Background </w:t>
            </w:r>
          </w:p>
        </w:tc>
      </w:tr>
      <w:tr w:rsidR="000F3008" w:rsidRPr="00FD551A" w14:paraId="1B13D1FA" w14:textId="77777777" w:rsidTr="003E6878">
        <w:tblPrEx>
          <w:shd w:val="clear" w:color="auto" w:fill="E0E0E0"/>
        </w:tblPrEx>
        <w:tc>
          <w:tcPr>
            <w:tcW w:w="10908" w:type="dxa"/>
            <w:gridSpan w:val="2"/>
          </w:tcPr>
          <w:p w14:paraId="04967504" w14:textId="77777777" w:rsidR="000F3008" w:rsidRPr="004622EC" w:rsidRDefault="000F3008" w:rsidP="004622EC">
            <w:pPr>
              <w:rPr>
                <w:color w:val="000000"/>
                <w:sz w:val="20"/>
                <w:szCs w:val="20"/>
              </w:rPr>
            </w:pPr>
            <w:r w:rsidRPr="004622EC">
              <w:rPr>
                <w:sz w:val="20"/>
                <w:szCs w:val="20"/>
              </w:rPr>
              <w:t>Under direct supervision of the Project Manager, Administrative and Financial Assistant is fully responsible for operational and programmatic management of the project according to the project document, UNDP and GEF corporate rules and procedures and for fulfilling but not limiting the following functions:</w:t>
            </w:r>
          </w:p>
        </w:tc>
      </w:tr>
      <w:tr w:rsidR="000F3008" w:rsidRPr="00FD551A" w14:paraId="0DF89E00" w14:textId="77777777" w:rsidTr="003E6878">
        <w:tblPrEx>
          <w:shd w:val="clear" w:color="auto" w:fill="E0E0E0"/>
        </w:tblPrEx>
        <w:tc>
          <w:tcPr>
            <w:tcW w:w="10908" w:type="dxa"/>
            <w:gridSpan w:val="2"/>
          </w:tcPr>
          <w:p w14:paraId="626B2E26" w14:textId="77777777" w:rsidR="000F3008" w:rsidRPr="004622EC" w:rsidRDefault="000F3008" w:rsidP="0020322F">
            <w:pPr>
              <w:numPr>
                <w:ilvl w:val="0"/>
                <w:numId w:val="25"/>
              </w:numPr>
              <w:rPr>
                <w:sz w:val="20"/>
                <w:szCs w:val="20"/>
              </w:rPr>
            </w:pPr>
            <w:r w:rsidRPr="004622EC">
              <w:rPr>
                <w:sz w:val="20"/>
                <w:szCs w:val="20"/>
              </w:rPr>
              <w:t>Bear responsibilities for logistics, procurement, finance and recruitment for the project, in accordance with corporate UNDP rules and regulations;</w:t>
            </w:r>
          </w:p>
          <w:p w14:paraId="44D648D6" w14:textId="77777777" w:rsidR="000F3008" w:rsidRPr="004622EC" w:rsidRDefault="000F3008" w:rsidP="0020322F">
            <w:pPr>
              <w:numPr>
                <w:ilvl w:val="0"/>
                <w:numId w:val="25"/>
              </w:numPr>
              <w:rPr>
                <w:sz w:val="20"/>
                <w:szCs w:val="20"/>
              </w:rPr>
            </w:pPr>
            <w:r w:rsidRPr="004622EC">
              <w:rPr>
                <w:sz w:val="20"/>
                <w:szCs w:val="20"/>
              </w:rPr>
              <w:t>Prepare all financial and administrative documents related to the project implementation;</w:t>
            </w:r>
          </w:p>
          <w:p w14:paraId="6BB51C32" w14:textId="77777777" w:rsidR="000F3008" w:rsidRPr="004622EC" w:rsidRDefault="000F3008" w:rsidP="0020322F">
            <w:pPr>
              <w:numPr>
                <w:ilvl w:val="0"/>
                <w:numId w:val="25"/>
              </w:numPr>
              <w:rPr>
                <w:sz w:val="20"/>
                <w:szCs w:val="20"/>
              </w:rPr>
            </w:pPr>
            <w:r w:rsidRPr="004622EC">
              <w:rPr>
                <w:sz w:val="20"/>
                <w:szCs w:val="20"/>
              </w:rPr>
              <w:t>Develop quarterly and annual budget plans for recruitment of personnel; maintain financial records and monitoring systems to record and reconcile expenditures, balances, payments and other data for day-to-day transaction and reports;</w:t>
            </w:r>
          </w:p>
          <w:p w14:paraId="1E079DEE" w14:textId="77777777" w:rsidR="000F3008" w:rsidRPr="004622EC" w:rsidRDefault="000F3008" w:rsidP="0020322F">
            <w:pPr>
              <w:numPr>
                <w:ilvl w:val="0"/>
                <w:numId w:val="25"/>
              </w:numPr>
              <w:rPr>
                <w:sz w:val="20"/>
                <w:szCs w:val="20"/>
              </w:rPr>
            </w:pPr>
            <w:r w:rsidRPr="004622EC">
              <w:rPr>
                <w:sz w:val="20"/>
                <w:szCs w:val="20"/>
              </w:rPr>
              <w:t>Advise and assist Project staff, experts and consultants on all respects of allowances, salary advances, travel claims and other financial and administrative matters, and calculate and authorize payments due for claims and services;</w:t>
            </w:r>
          </w:p>
          <w:p w14:paraId="25427F5E" w14:textId="77777777" w:rsidR="000F3008" w:rsidRPr="004622EC" w:rsidRDefault="000F3008" w:rsidP="0020322F">
            <w:pPr>
              <w:numPr>
                <w:ilvl w:val="0"/>
                <w:numId w:val="25"/>
              </w:numPr>
              <w:rPr>
                <w:sz w:val="20"/>
                <w:szCs w:val="20"/>
              </w:rPr>
            </w:pPr>
            <w:r w:rsidRPr="004622EC">
              <w:rPr>
                <w:sz w:val="20"/>
                <w:szCs w:val="20"/>
              </w:rPr>
              <w:t>Prepare detailed cost estimates and participates in budget analysis and projections as required to handle all financial operations of the project office and reconcile all accounts in required time frame;</w:t>
            </w:r>
          </w:p>
          <w:p w14:paraId="031CECB4" w14:textId="77777777" w:rsidR="000F3008" w:rsidRPr="004622EC" w:rsidRDefault="000F3008" w:rsidP="0020322F">
            <w:pPr>
              <w:numPr>
                <w:ilvl w:val="0"/>
                <w:numId w:val="25"/>
              </w:numPr>
              <w:rPr>
                <w:sz w:val="20"/>
                <w:szCs w:val="20"/>
              </w:rPr>
            </w:pPr>
            <w:r w:rsidRPr="004622EC">
              <w:rPr>
                <w:sz w:val="20"/>
                <w:szCs w:val="20"/>
              </w:rPr>
              <w:t>Maintain, update and transmit inventory records of non-expendable equipment in accordance with UNDP rules;</w:t>
            </w:r>
          </w:p>
          <w:p w14:paraId="07B167AC" w14:textId="77777777" w:rsidR="000F3008" w:rsidRPr="004622EC" w:rsidRDefault="000F3008" w:rsidP="0020322F">
            <w:pPr>
              <w:numPr>
                <w:ilvl w:val="0"/>
                <w:numId w:val="25"/>
              </w:numPr>
              <w:rPr>
                <w:sz w:val="20"/>
                <w:szCs w:val="20"/>
              </w:rPr>
            </w:pPr>
            <w:r w:rsidRPr="004622EC">
              <w:rPr>
                <w:sz w:val="20"/>
                <w:szCs w:val="20"/>
              </w:rPr>
              <w:t>Perform cash custodian’s duties being primarily responsible for project’s cash disbursements and maintain project’s petty cash book and payrolls related to the regional offices;</w:t>
            </w:r>
          </w:p>
          <w:p w14:paraId="3BE2E064" w14:textId="77777777" w:rsidR="000F3008" w:rsidRPr="004622EC" w:rsidRDefault="000F3008" w:rsidP="0020322F">
            <w:pPr>
              <w:numPr>
                <w:ilvl w:val="0"/>
                <w:numId w:val="25"/>
              </w:numPr>
              <w:rPr>
                <w:sz w:val="20"/>
                <w:szCs w:val="20"/>
              </w:rPr>
            </w:pPr>
            <w:r w:rsidRPr="004622EC">
              <w:rPr>
                <w:sz w:val="20"/>
                <w:szCs w:val="20"/>
              </w:rPr>
              <w:t>Ensure leave monitoring of project staff, check the accuracy and proper completion of monthly leave reports;</w:t>
            </w:r>
          </w:p>
          <w:p w14:paraId="09C741ED" w14:textId="77777777" w:rsidR="000F3008" w:rsidRPr="004622EC" w:rsidRDefault="000F3008" w:rsidP="0020322F">
            <w:pPr>
              <w:numPr>
                <w:ilvl w:val="0"/>
                <w:numId w:val="25"/>
              </w:numPr>
              <w:rPr>
                <w:sz w:val="20"/>
                <w:szCs w:val="20"/>
              </w:rPr>
            </w:pPr>
            <w:r w:rsidRPr="004622EC">
              <w:rPr>
                <w:sz w:val="20"/>
                <w:szCs w:val="20"/>
              </w:rPr>
              <w:t>Analyze the potential problems concerning administrative-financial issues and take respective measures to provide adequate project’s resources in time for implementation of the project activities;</w:t>
            </w:r>
          </w:p>
          <w:p w14:paraId="3C38D0FA" w14:textId="77777777" w:rsidR="000F3008" w:rsidRPr="004622EC" w:rsidRDefault="000F3008" w:rsidP="0020322F">
            <w:pPr>
              <w:numPr>
                <w:ilvl w:val="0"/>
                <w:numId w:val="25"/>
              </w:numPr>
              <w:rPr>
                <w:sz w:val="20"/>
                <w:szCs w:val="20"/>
              </w:rPr>
            </w:pPr>
            <w:r w:rsidRPr="004622EC">
              <w:rPr>
                <w:sz w:val="20"/>
                <w:szCs w:val="20"/>
              </w:rPr>
              <w:t>Define the cost-effective measures for optimal use of resources of the project;</w:t>
            </w:r>
          </w:p>
          <w:p w14:paraId="6AB5E348" w14:textId="77777777" w:rsidR="000F3008" w:rsidRPr="004622EC" w:rsidRDefault="000F3008" w:rsidP="0020322F">
            <w:pPr>
              <w:numPr>
                <w:ilvl w:val="0"/>
                <w:numId w:val="25"/>
              </w:numPr>
              <w:rPr>
                <w:sz w:val="20"/>
                <w:szCs w:val="20"/>
              </w:rPr>
            </w:pPr>
            <w:r w:rsidRPr="004622EC">
              <w:rPr>
                <w:sz w:val="20"/>
                <w:szCs w:val="20"/>
              </w:rPr>
              <w:t>Ensure full compliance of administrative and financial processes and financial records with UNDP and GEF related rules, regulations, policies and strategies;</w:t>
            </w:r>
          </w:p>
          <w:p w14:paraId="5EDD208A" w14:textId="77777777" w:rsidR="000F3008" w:rsidRPr="004622EC" w:rsidRDefault="000F3008" w:rsidP="0020322F">
            <w:pPr>
              <w:numPr>
                <w:ilvl w:val="0"/>
                <w:numId w:val="25"/>
              </w:numPr>
              <w:rPr>
                <w:sz w:val="20"/>
                <w:szCs w:val="20"/>
              </w:rPr>
            </w:pPr>
            <w:r w:rsidRPr="004622EC">
              <w:rPr>
                <w:sz w:val="20"/>
                <w:szCs w:val="20"/>
              </w:rPr>
              <w:t>Encourage awareness of and promotion of gender equality among project staff and partners;</w:t>
            </w:r>
          </w:p>
          <w:p w14:paraId="643630BD" w14:textId="77777777" w:rsidR="000F3008" w:rsidRPr="004622EC" w:rsidRDefault="000F3008" w:rsidP="0020322F">
            <w:pPr>
              <w:numPr>
                <w:ilvl w:val="0"/>
                <w:numId w:val="25"/>
              </w:numPr>
              <w:rPr>
                <w:sz w:val="20"/>
                <w:szCs w:val="20"/>
              </w:rPr>
            </w:pPr>
            <w:r w:rsidRPr="004622EC">
              <w:rPr>
                <w:sz w:val="20"/>
                <w:szCs w:val="20"/>
              </w:rPr>
              <w:t>Perform other duties related to personnel, administrative and financial issues of project as required</w:t>
            </w:r>
          </w:p>
        </w:tc>
      </w:tr>
      <w:tr w:rsidR="000F3008" w:rsidRPr="00FD551A" w14:paraId="3A923330" w14:textId="77777777" w:rsidTr="003E6878">
        <w:tblPrEx>
          <w:shd w:val="clear" w:color="auto" w:fill="E0E0E0"/>
        </w:tblPrEx>
        <w:tc>
          <w:tcPr>
            <w:tcW w:w="10908" w:type="dxa"/>
            <w:gridSpan w:val="2"/>
            <w:shd w:val="clear" w:color="auto" w:fill="E0E0E0"/>
          </w:tcPr>
          <w:p w14:paraId="15D22997" w14:textId="77777777" w:rsidR="000F3008" w:rsidRPr="004622EC" w:rsidRDefault="000F3008" w:rsidP="004622EC">
            <w:pPr>
              <w:rPr>
                <w:b/>
                <w:bCs/>
                <w:sz w:val="20"/>
                <w:szCs w:val="20"/>
              </w:rPr>
            </w:pPr>
            <w:r w:rsidRPr="004622EC">
              <w:rPr>
                <w:b/>
                <w:bCs/>
                <w:sz w:val="20"/>
                <w:szCs w:val="20"/>
              </w:rPr>
              <w:t>IV. Competencies</w:t>
            </w:r>
          </w:p>
        </w:tc>
      </w:tr>
      <w:tr w:rsidR="000F3008" w:rsidRPr="00FD551A" w14:paraId="746153D5" w14:textId="77777777" w:rsidTr="005E7FF6">
        <w:tblPrEx>
          <w:shd w:val="clear" w:color="auto" w:fill="E0E0E0"/>
        </w:tblPrEx>
        <w:trPr>
          <w:trHeight w:val="638"/>
        </w:trPr>
        <w:tc>
          <w:tcPr>
            <w:tcW w:w="2313" w:type="dxa"/>
            <w:tcBorders>
              <w:bottom w:val="single" w:sz="4" w:space="0" w:color="auto"/>
            </w:tcBorders>
            <w:vAlign w:val="center"/>
          </w:tcPr>
          <w:p w14:paraId="15C28E29" w14:textId="77777777" w:rsidR="000F3008" w:rsidRPr="004622EC" w:rsidRDefault="000F3008" w:rsidP="004622EC">
            <w:pPr>
              <w:rPr>
                <w:sz w:val="20"/>
                <w:szCs w:val="20"/>
              </w:rPr>
            </w:pPr>
            <w:r w:rsidRPr="004622EC">
              <w:rPr>
                <w:sz w:val="20"/>
                <w:szCs w:val="20"/>
              </w:rPr>
              <w:t>Corporate Competencies:</w:t>
            </w:r>
          </w:p>
        </w:tc>
        <w:tc>
          <w:tcPr>
            <w:tcW w:w="8595" w:type="dxa"/>
            <w:tcBorders>
              <w:bottom w:val="single" w:sz="4" w:space="0" w:color="auto"/>
            </w:tcBorders>
            <w:vAlign w:val="center"/>
          </w:tcPr>
          <w:p w14:paraId="63D46693" w14:textId="77777777" w:rsidR="000F3008" w:rsidRPr="004622EC" w:rsidRDefault="000F3008" w:rsidP="0020322F">
            <w:pPr>
              <w:numPr>
                <w:ilvl w:val="0"/>
                <w:numId w:val="34"/>
              </w:numPr>
              <w:spacing w:before="100" w:beforeAutospacing="1" w:after="100" w:afterAutospacing="1"/>
              <w:rPr>
                <w:color w:val="333333"/>
                <w:sz w:val="20"/>
                <w:szCs w:val="20"/>
              </w:rPr>
            </w:pPr>
            <w:r w:rsidRPr="004622EC">
              <w:rPr>
                <w:color w:val="333333"/>
                <w:sz w:val="20"/>
                <w:szCs w:val="20"/>
              </w:rPr>
              <w:t xml:space="preserve">Demonstrates commitment to UNDP’s mission, vision and values; </w:t>
            </w:r>
          </w:p>
          <w:p w14:paraId="667011A2" w14:textId="77777777" w:rsidR="000F3008" w:rsidRPr="004622EC" w:rsidRDefault="000F3008" w:rsidP="0020322F">
            <w:pPr>
              <w:numPr>
                <w:ilvl w:val="0"/>
                <w:numId w:val="34"/>
              </w:numPr>
              <w:spacing w:before="100" w:beforeAutospacing="1" w:after="100" w:afterAutospacing="1"/>
              <w:rPr>
                <w:color w:val="333333"/>
                <w:sz w:val="20"/>
                <w:szCs w:val="20"/>
              </w:rPr>
            </w:pPr>
            <w:r w:rsidRPr="004622EC">
              <w:rPr>
                <w:color w:val="333333"/>
                <w:sz w:val="20"/>
                <w:szCs w:val="20"/>
              </w:rPr>
              <w:t>Displays cultural, gender, religion, race, nationality and age sensitivity and adaptability</w:t>
            </w:r>
          </w:p>
        </w:tc>
      </w:tr>
      <w:tr w:rsidR="000F3008" w:rsidRPr="00FD551A" w14:paraId="78149FB3" w14:textId="77777777" w:rsidTr="005E7FF6">
        <w:tblPrEx>
          <w:shd w:val="clear" w:color="auto" w:fill="E0E0E0"/>
        </w:tblPrEx>
        <w:trPr>
          <w:trHeight w:val="251"/>
        </w:trPr>
        <w:tc>
          <w:tcPr>
            <w:tcW w:w="2313" w:type="dxa"/>
            <w:vAlign w:val="center"/>
          </w:tcPr>
          <w:p w14:paraId="54DA065E" w14:textId="77777777" w:rsidR="000F3008" w:rsidRPr="004622EC" w:rsidRDefault="000F3008" w:rsidP="004622EC">
            <w:pPr>
              <w:rPr>
                <w:sz w:val="20"/>
                <w:szCs w:val="20"/>
              </w:rPr>
            </w:pPr>
            <w:r w:rsidRPr="004622EC">
              <w:rPr>
                <w:sz w:val="20"/>
                <w:szCs w:val="20"/>
              </w:rPr>
              <w:t>Functional Competencies:</w:t>
            </w:r>
          </w:p>
        </w:tc>
        <w:tc>
          <w:tcPr>
            <w:tcW w:w="8595" w:type="dxa"/>
            <w:vAlign w:val="center"/>
          </w:tcPr>
          <w:p w14:paraId="4B3324E1"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Fundamental knowledge of processes, methods and procedures;</w:t>
            </w:r>
          </w:p>
          <w:p w14:paraId="041AB8B0"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 xml:space="preserve">Understands the main processes and methods of work regarding to the position; </w:t>
            </w:r>
          </w:p>
          <w:p w14:paraId="102BEF76"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 xml:space="preserve">Possesses basic knowledge of organizational policies and procedures relating to the position and applies them consistently in work tasks; </w:t>
            </w:r>
          </w:p>
          <w:p w14:paraId="008E4C33"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 xml:space="preserve">Demonstrates good knowledge of information technology and applies it in work assignments; </w:t>
            </w:r>
          </w:p>
          <w:p w14:paraId="6E0DFB32"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Presentation of information on best practices in organizational change;</w:t>
            </w:r>
          </w:p>
          <w:p w14:paraId="296A8F9F"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Demonstrates ability to identify problems and proposes solutions</w:t>
            </w:r>
          </w:p>
        </w:tc>
      </w:tr>
      <w:tr w:rsidR="000F3008" w:rsidRPr="00FD551A" w14:paraId="26A3102C" w14:textId="77777777" w:rsidTr="005E7FF6">
        <w:tblPrEx>
          <w:shd w:val="clear" w:color="auto" w:fill="E0E0E0"/>
        </w:tblPrEx>
        <w:trPr>
          <w:trHeight w:val="2654"/>
        </w:trPr>
        <w:tc>
          <w:tcPr>
            <w:tcW w:w="2313" w:type="dxa"/>
            <w:vAlign w:val="center"/>
          </w:tcPr>
          <w:p w14:paraId="4A3F872B" w14:textId="77777777" w:rsidR="000F3008" w:rsidRPr="004622EC" w:rsidRDefault="000F3008" w:rsidP="004622EC">
            <w:pPr>
              <w:rPr>
                <w:b/>
                <w:sz w:val="20"/>
                <w:szCs w:val="20"/>
              </w:rPr>
            </w:pPr>
            <w:r w:rsidRPr="004622EC">
              <w:rPr>
                <w:rStyle w:val="aff"/>
                <w:color w:val="333333"/>
                <w:sz w:val="20"/>
                <w:szCs w:val="20"/>
              </w:rPr>
              <w:t>Core Competencies:</w:t>
            </w:r>
          </w:p>
        </w:tc>
        <w:tc>
          <w:tcPr>
            <w:tcW w:w="8595" w:type="dxa"/>
            <w:vAlign w:val="center"/>
          </w:tcPr>
          <w:p w14:paraId="02316141"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Demonstrating/safeguarding ethics and integrity;</w:t>
            </w:r>
          </w:p>
          <w:p w14:paraId="3B6CABEB"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Demonstrate corporate knowledge and sound judgment;</w:t>
            </w:r>
          </w:p>
          <w:p w14:paraId="530C1DC7"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Self-development, initiative-taking;</w:t>
            </w:r>
          </w:p>
          <w:p w14:paraId="12DF501C"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Acting as a team player and facilitating team work;</w:t>
            </w:r>
          </w:p>
          <w:p w14:paraId="1C10FC78"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Facilitating and encouraging open communication in the team, communicating effectively;</w:t>
            </w:r>
          </w:p>
          <w:p w14:paraId="52B24735"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Creating synergies through self-control;</w:t>
            </w:r>
          </w:p>
          <w:p w14:paraId="1C629E43"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Managing conflict;</w:t>
            </w:r>
          </w:p>
          <w:p w14:paraId="0E5E3A4C"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Learning and sharing knowledge and encourage the learning of others. Promoting learning and knowledge management/sharing is the responsibility of each staff member;</w:t>
            </w:r>
          </w:p>
          <w:p w14:paraId="4FEF33CD"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Informed and transparent decision-making.</w:t>
            </w:r>
          </w:p>
        </w:tc>
      </w:tr>
      <w:tr w:rsidR="000F3008" w:rsidRPr="00FD551A" w14:paraId="7AB50606" w14:textId="77777777" w:rsidTr="003E6878">
        <w:tblPrEx>
          <w:shd w:val="clear" w:color="auto" w:fill="E0E0E0"/>
        </w:tblPrEx>
        <w:tc>
          <w:tcPr>
            <w:tcW w:w="10908" w:type="dxa"/>
            <w:gridSpan w:val="2"/>
            <w:shd w:val="clear" w:color="auto" w:fill="E0E0E0"/>
          </w:tcPr>
          <w:p w14:paraId="58B03383" w14:textId="77777777" w:rsidR="000F3008" w:rsidRPr="004622EC" w:rsidRDefault="000F3008" w:rsidP="004622EC">
            <w:pPr>
              <w:rPr>
                <w:b/>
                <w:bCs/>
                <w:sz w:val="20"/>
                <w:szCs w:val="20"/>
              </w:rPr>
            </w:pPr>
            <w:r w:rsidRPr="004622EC">
              <w:rPr>
                <w:b/>
                <w:bCs/>
                <w:sz w:val="20"/>
                <w:szCs w:val="20"/>
              </w:rPr>
              <w:t xml:space="preserve">V. Qualifications Requirements </w:t>
            </w:r>
          </w:p>
        </w:tc>
      </w:tr>
      <w:tr w:rsidR="000F3008" w:rsidRPr="00FD551A" w14:paraId="6C9B0138" w14:textId="77777777" w:rsidTr="005E7FF6">
        <w:tblPrEx>
          <w:shd w:val="clear" w:color="auto" w:fill="E0E0E0"/>
        </w:tblPrEx>
        <w:trPr>
          <w:trHeight w:val="230"/>
        </w:trPr>
        <w:tc>
          <w:tcPr>
            <w:tcW w:w="2313" w:type="dxa"/>
            <w:tcBorders>
              <w:bottom w:val="single" w:sz="4" w:space="0" w:color="auto"/>
            </w:tcBorders>
          </w:tcPr>
          <w:p w14:paraId="0DB5016E" w14:textId="77777777" w:rsidR="000F3008" w:rsidRPr="004622EC" w:rsidRDefault="000F3008" w:rsidP="004622EC">
            <w:pPr>
              <w:rPr>
                <w:sz w:val="20"/>
                <w:szCs w:val="20"/>
              </w:rPr>
            </w:pPr>
            <w:r w:rsidRPr="004622EC">
              <w:rPr>
                <w:sz w:val="20"/>
                <w:szCs w:val="20"/>
              </w:rPr>
              <w:t>Education:</w:t>
            </w:r>
          </w:p>
        </w:tc>
        <w:tc>
          <w:tcPr>
            <w:tcW w:w="8595" w:type="dxa"/>
            <w:tcBorders>
              <w:bottom w:val="single" w:sz="4" w:space="0" w:color="auto"/>
            </w:tcBorders>
          </w:tcPr>
          <w:p w14:paraId="74048624" w14:textId="77777777" w:rsidR="000F3008" w:rsidRPr="004622EC" w:rsidRDefault="000F3008" w:rsidP="004622EC">
            <w:pPr>
              <w:rPr>
                <w:sz w:val="20"/>
                <w:szCs w:val="20"/>
              </w:rPr>
            </w:pPr>
            <w:r w:rsidRPr="004622EC">
              <w:rPr>
                <w:sz w:val="20"/>
                <w:szCs w:val="20"/>
              </w:rPr>
              <w:t>Bachelor degree in any of the following areas: Finance, Economics, Management, Environmental sciences, International Relations, or any related field.</w:t>
            </w:r>
          </w:p>
        </w:tc>
      </w:tr>
      <w:tr w:rsidR="000F3008" w:rsidRPr="00FD551A" w14:paraId="22550ECB" w14:textId="77777777" w:rsidTr="005E7FF6">
        <w:tblPrEx>
          <w:shd w:val="clear" w:color="auto" w:fill="E0E0E0"/>
        </w:tblPrEx>
        <w:trPr>
          <w:trHeight w:val="230"/>
        </w:trPr>
        <w:tc>
          <w:tcPr>
            <w:tcW w:w="2313" w:type="dxa"/>
            <w:tcBorders>
              <w:bottom w:val="single" w:sz="4" w:space="0" w:color="auto"/>
            </w:tcBorders>
          </w:tcPr>
          <w:p w14:paraId="118AC226" w14:textId="77777777" w:rsidR="000F3008" w:rsidRPr="004622EC" w:rsidRDefault="000F3008" w:rsidP="004622EC">
            <w:pPr>
              <w:rPr>
                <w:sz w:val="20"/>
                <w:szCs w:val="20"/>
              </w:rPr>
            </w:pPr>
            <w:r w:rsidRPr="004622EC">
              <w:rPr>
                <w:sz w:val="20"/>
                <w:szCs w:val="20"/>
              </w:rPr>
              <w:t>Experience:</w:t>
            </w:r>
          </w:p>
        </w:tc>
        <w:tc>
          <w:tcPr>
            <w:tcW w:w="8595" w:type="dxa"/>
            <w:tcBorders>
              <w:bottom w:val="single" w:sz="4" w:space="0" w:color="auto"/>
            </w:tcBorders>
          </w:tcPr>
          <w:p w14:paraId="1346E893" w14:textId="77777777" w:rsidR="000F3008" w:rsidRPr="004622EC" w:rsidRDefault="000F3008" w:rsidP="004622EC">
            <w:pPr>
              <w:rPr>
                <w:sz w:val="20"/>
                <w:szCs w:val="20"/>
              </w:rPr>
            </w:pPr>
            <w:r w:rsidRPr="004622EC">
              <w:rPr>
                <w:sz w:val="20"/>
                <w:szCs w:val="20"/>
              </w:rPr>
              <w:t>At least 2-3-years relevant experience. Working experience in international organizations is an advantage.</w:t>
            </w:r>
          </w:p>
        </w:tc>
      </w:tr>
      <w:tr w:rsidR="000F3008" w:rsidRPr="00FD551A" w14:paraId="63EEE23C" w14:textId="77777777" w:rsidTr="005E7FF6">
        <w:tblPrEx>
          <w:shd w:val="clear" w:color="auto" w:fill="E0E0E0"/>
        </w:tblPrEx>
        <w:trPr>
          <w:trHeight w:val="230"/>
        </w:trPr>
        <w:tc>
          <w:tcPr>
            <w:tcW w:w="2313" w:type="dxa"/>
          </w:tcPr>
          <w:p w14:paraId="34254ED9" w14:textId="77777777" w:rsidR="000F3008" w:rsidRPr="004622EC" w:rsidRDefault="000F3008" w:rsidP="004622EC">
            <w:pPr>
              <w:rPr>
                <w:sz w:val="20"/>
                <w:szCs w:val="20"/>
              </w:rPr>
            </w:pPr>
            <w:r w:rsidRPr="004622EC">
              <w:rPr>
                <w:sz w:val="20"/>
                <w:szCs w:val="20"/>
              </w:rPr>
              <w:t>Language Requirements:</w:t>
            </w:r>
          </w:p>
        </w:tc>
        <w:tc>
          <w:tcPr>
            <w:tcW w:w="8595" w:type="dxa"/>
          </w:tcPr>
          <w:p w14:paraId="164EB127" w14:textId="77777777" w:rsidR="000F3008" w:rsidRPr="004622EC" w:rsidRDefault="000F3008" w:rsidP="004622EC">
            <w:pPr>
              <w:rPr>
                <w:sz w:val="20"/>
                <w:szCs w:val="20"/>
              </w:rPr>
            </w:pPr>
            <w:r w:rsidRPr="004622EC">
              <w:rPr>
                <w:sz w:val="20"/>
                <w:szCs w:val="20"/>
              </w:rPr>
              <w:t>Excellent command of spoken and written English, Kazakh and Russian are essential</w:t>
            </w:r>
          </w:p>
        </w:tc>
      </w:tr>
      <w:tr w:rsidR="000F3008" w:rsidRPr="00FD551A" w14:paraId="08BF13D8" w14:textId="77777777" w:rsidTr="005E7FF6">
        <w:tblPrEx>
          <w:shd w:val="clear" w:color="auto" w:fill="E0E0E0"/>
        </w:tblPrEx>
        <w:trPr>
          <w:trHeight w:val="230"/>
        </w:trPr>
        <w:tc>
          <w:tcPr>
            <w:tcW w:w="2313" w:type="dxa"/>
            <w:tcBorders>
              <w:bottom w:val="single" w:sz="4" w:space="0" w:color="auto"/>
            </w:tcBorders>
          </w:tcPr>
          <w:p w14:paraId="5E69F30F" w14:textId="77777777" w:rsidR="000F3008" w:rsidRPr="004622EC" w:rsidRDefault="000F3008" w:rsidP="004622EC">
            <w:pPr>
              <w:rPr>
                <w:sz w:val="20"/>
                <w:szCs w:val="20"/>
              </w:rPr>
            </w:pPr>
            <w:r w:rsidRPr="004622EC">
              <w:rPr>
                <w:sz w:val="20"/>
                <w:szCs w:val="20"/>
              </w:rPr>
              <w:t>Others:</w:t>
            </w:r>
          </w:p>
        </w:tc>
        <w:tc>
          <w:tcPr>
            <w:tcW w:w="8595" w:type="dxa"/>
            <w:tcBorders>
              <w:bottom w:val="single" w:sz="4" w:space="0" w:color="auto"/>
            </w:tcBorders>
          </w:tcPr>
          <w:p w14:paraId="219E696F" w14:textId="77777777" w:rsidR="000F3008" w:rsidRPr="004622EC" w:rsidRDefault="000F3008" w:rsidP="004622EC">
            <w:pPr>
              <w:rPr>
                <w:sz w:val="20"/>
                <w:szCs w:val="20"/>
              </w:rPr>
            </w:pPr>
            <w:r w:rsidRPr="004622EC">
              <w:rPr>
                <w:sz w:val="20"/>
                <w:szCs w:val="20"/>
              </w:rPr>
              <w:t>Strong financial and administrative skills, result and client-orientation, ability to work in a team;</w:t>
            </w:r>
          </w:p>
          <w:p w14:paraId="553F78C7" w14:textId="77777777" w:rsidR="000F3008" w:rsidRPr="004622EC" w:rsidRDefault="000F3008" w:rsidP="004622EC">
            <w:pPr>
              <w:rPr>
                <w:sz w:val="20"/>
                <w:szCs w:val="20"/>
              </w:rPr>
            </w:pPr>
            <w:r w:rsidRPr="004622EC">
              <w:rPr>
                <w:sz w:val="20"/>
                <w:szCs w:val="20"/>
              </w:rPr>
              <w:t>Ability to work under pressure and with tight deadlines, ethics and honesty;</w:t>
            </w:r>
          </w:p>
          <w:p w14:paraId="7F093FA2" w14:textId="77777777" w:rsidR="000F3008" w:rsidRPr="004622EC" w:rsidRDefault="000F3008" w:rsidP="004622EC">
            <w:pPr>
              <w:rPr>
                <w:sz w:val="20"/>
                <w:szCs w:val="20"/>
              </w:rPr>
            </w:pPr>
            <w:r w:rsidRPr="004622EC">
              <w:rPr>
                <w:sz w:val="20"/>
                <w:szCs w:val="20"/>
              </w:rPr>
              <w:t>Ability to use information and communication technology as a tool and resource;</w:t>
            </w:r>
          </w:p>
          <w:p w14:paraId="20DB25C9" w14:textId="77777777" w:rsidR="000F3008" w:rsidRPr="004622EC" w:rsidRDefault="000F3008" w:rsidP="004622EC">
            <w:pPr>
              <w:rPr>
                <w:sz w:val="20"/>
                <w:szCs w:val="20"/>
              </w:rPr>
            </w:pPr>
            <w:r w:rsidRPr="004622EC">
              <w:rPr>
                <w:sz w:val="20"/>
                <w:szCs w:val="20"/>
              </w:rPr>
              <w:t>Experience in handling web-based management systems;</w:t>
            </w:r>
          </w:p>
          <w:p w14:paraId="12455448" w14:textId="77777777" w:rsidR="000F3008" w:rsidRPr="004622EC" w:rsidRDefault="000F3008" w:rsidP="004622EC">
            <w:pPr>
              <w:rPr>
                <w:sz w:val="20"/>
                <w:szCs w:val="20"/>
              </w:rPr>
            </w:pPr>
            <w:r w:rsidRPr="004622EC">
              <w:rPr>
                <w:sz w:val="20"/>
                <w:szCs w:val="20"/>
              </w:rPr>
              <w:t>Ability to handle multiple tasks simultaneously and ability to prioritize</w:t>
            </w:r>
          </w:p>
        </w:tc>
      </w:tr>
    </w:tbl>
    <w:p w14:paraId="2568F619" w14:textId="77777777" w:rsidR="000F3008" w:rsidRPr="004622EC" w:rsidRDefault="000F3008" w:rsidP="00FD551A">
      <w:pPr>
        <w:rPr>
          <w:rFonts w:cs="Times"/>
          <w:b/>
          <w:bCs/>
          <w:sz w:val="20"/>
          <w:szCs w:val="20"/>
        </w:rPr>
      </w:pPr>
    </w:p>
    <w:p w14:paraId="46B5F280" w14:textId="77777777" w:rsidR="000F3008" w:rsidRPr="003269A4" w:rsidRDefault="003269A4" w:rsidP="004622EC">
      <w:pPr>
        <w:spacing w:before="120" w:after="120"/>
        <w:rPr>
          <w:b/>
        </w:rPr>
      </w:pPr>
      <w:r w:rsidRPr="003269A4">
        <w:rPr>
          <w:b/>
        </w:rPr>
        <w:t>6</w:t>
      </w:r>
      <w:r w:rsidR="000F3008" w:rsidRPr="003269A4">
        <w:rPr>
          <w:b/>
        </w:rPr>
        <w:t xml:space="preserve">. </w:t>
      </w:r>
      <w:r w:rsidRPr="003269A4">
        <w:rPr>
          <w:b/>
        </w:rPr>
        <w:t xml:space="preserve">Terms of Reference for the </w:t>
      </w:r>
      <w:r w:rsidR="000F3008" w:rsidRPr="003269A4">
        <w:rPr>
          <w:b/>
        </w:rPr>
        <w:t>Small-scale renewable energy analyst/Assistant to small-scale renewable energy</w:t>
      </w:r>
      <w:r w:rsidR="002D41F0" w:rsidRPr="003269A4">
        <w:rPr>
          <w:b/>
        </w:rPr>
        <w:t xml:space="preserve"> </w:t>
      </w:r>
      <w:r w:rsidR="000F3008" w:rsidRPr="003269A4">
        <w:rPr>
          <w:b/>
        </w:rPr>
        <w:t xml:space="preserve">Task </w:t>
      </w:r>
      <w:r w:rsidR="002D41F0" w:rsidRPr="003269A4">
        <w:rPr>
          <w:b/>
        </w:rPr>
        <w:t>M</w:t>
      </w:r>
      <w:r w:rsidR="000F3008" w:rsidRPr="003269A4">
        <w:rPr>
          <w:b/>
        </w:rPr>
        <w:t xml:space="preserve">anager </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8100"/>
      </w:tblGrid>
      <w:tr w:rsidR="000F3008" w:rsidRPr="00FD551A" w14:paraId="1DD940A0" w14:textId="77777777" w:rsidTr="003E6878">
        <w:tc>
          <w:tcPr>
            <w:tcW w:w="10908" w:type="dxa"/>
            <w:gridSpan w:val="2"/>
            <w:shd w:val="clear" w:color="auto" w:fill="E0E0E0"/>
          </w:tcPr>
          <w:p w14:paraId="4D24F509" w14:textId="77777777" w:rsidR="000F3008" w:rsidRPr="004622EC" w:rsidRDefault="000F3008" w:rsidP="004622EC">
            <w:pPr>
              <w:rPr>
                <w:b/>
                <w:bCs/>
                <w:sz w:val="20"/>
                <w:szCs w:val="20"/>
              </w:rPr>
            </w:pPr>
            <w:r w:rsidRPr="004622EC">
              <w:rPr>
                <w:b/>
                <w:bCs/>
                <w:sz w:val="20"/>
                <w:szCs w:val="20"/>
              </w:rPr>
              <w:t>I. Position Information</w:t>
            </w:r>
          </w:p>
        </w:tc>
      </w:tr>
      <w:tr w:rsidR="000F3008" w:rsidRPr="00FD551A" w14:paraId="10CC0789" w14:textId="77777777" w:rsidTr="003E6878">
        <w:tc>
          <w:tcPr>
            <w:tcW w:w="2808" w:type="dxa"/>
          </w:tcPr>
          <w:p w14:paraId="3290F23F" w14:textId="77777777" w:rsidR="000F3008" w:rsidRPr="004622EC" w:rsidRDefault="000F3008" w:rsidP="004622EC">
            <w:pPr>
              <w:rPr>
                <w:sz w:val="20"/>
                <w:szCs w:val="20"/>
              </w:rPr>
            </w:pPr>
            <w:r w:rsidRPr="004622EC">
              <w:rPr>
                <w:sz w:val="20"/>
                <w:szCs w:val="20"/>
              </w:rPr>
              <w:t xml:space="preserve">Position Title: </w:t>
            </w:r>
          </w:p>
          <w:p w14:paraId="7DAA3698" w14:textId="77777777" w:rsidR="000F3008" w:rsidRPr="004622EC" w:rsidRDefault="000F3008" w:rsidP="004622EC">
            <w:pPr>
              <w:rPr>
                <w:sz w:val="20"/>
                <w:szCs w:val="20"/>
              </w:rPr>
            </w:pPr>
            <w:r w:rsidRPr="004622EC">
              <w:rPr>
                <w:sz w:val="20"/>
                <w:szCs w:val="20"/>
              </w:rPr>
              <w:t>SC range:</w:t>
            </w:r>
          </w:p>
          <w:p w14:paraId="05FD7203" w14:textId="77777777" w:rsidR="000F3008" w:rsidRPr="004622EC" w:rsidRDefault="000F3008" w:rsidP="004622EC">
            <w:pPr>
              <w:rPr>
                <w:sz w:val="20"/>
                <w:szCs w:val="20"/>
              </w:rPr>
            </w:pPr>
            <w:r w:rsidRPr="004622EC">
              <w:rPr>
                <w:sz w:val="20"/>
                <w:szCs w:val="20"/>
              </w:rPr>
              <w:t xml:space="preserve">Project Title: </w:t>
            </w:r>
          </w:p>
          <w:p w14:paraId="670B9C41" w14:textId="77777777" w:rsidR="000F3008" w:rsidRPr="004622EC" w:rsidRDefault="000F3008" w:rsidP="004622EC">
            <w:pPr>
              <w:rPr>
                <w:sz w:val="20"/>
                <w:szCs w:val="20"/>
              </w:rPr>
            </w:pPr>
            <w:r w:rsidRPr="004622EC">
              <w:rPr>
                <w:sz w:val="20"/>
                <w:szCs w:val="20"/>
              </w:rPr>
              <w:t>Duration of the service:</w:t>
            </w:r>
          </w:p>
          <w:p w14:paraId="4376482C" w14:textId="77777777" w:rsidR="000F3008" w:rsidRPr="004622EC" w:rsidRDefault="000F3008" w:rsidP="004622EC">
            <w:pPr>
              <w:rPr>
                <w:sz w:val="20"/>
                <w:szCs w:val="20"/>
              </w:rPr>
            </w:pPr>
            <w:r w:rsidRPr="004622EC">
              <w:rPr>
                <w:sz w:val="20"/>
                <w:szCs w:val="20"/>
              </w:rPr>
              <w:t>Work status</w:t>
            </w:r>
          </w:p>
          <w:p w14:paraId="2BBBA2AB" w14:textId="77777777" w:rsidR="000F3008" w:rsidRPr="004622EC" w:rsidRDefault="000F3008" w:rsidP="004622EC">
            <w:pPr>
              <w:rPr>
                <w:sz w:val="20"/>
                <w:szCs w:val="20"/>
              </w:rPr>
            </w:pPr>
            <w:r w:rsidRPr="004622EC">
              <w:rPr>
                <w:sz w:val="20"/>
                <w:szCs w:val="20"/>
              </w:rPr>
              <w:t>Reports To:</w:t>
            </w:r>
          </w:p>
        </w:tc>
        <w:tc>
          <w:tcPr>
            <w:tcW w:w="8100" w:type="dxa"/>
          </w:tcPr>
          <w:p w14:paraId="585C3610" w14:textId="77777777" w:rsidR="000F3008" w:rsidRPr="00043685" w:rsidRDefault="000F3008" w:rsidP="004622EC">
            <w:pPr>
              <w:rPr>
                <w:sz w:val="20"/>
                <w:szCs w:val="20"/>
              </w:rPr>
            </w:pPr>
            <w:r w:rsidRPr="00043685">
              <w:rPr>
                <w:b/>
                <w:sz w:val="20"/>
                <w:szCs w:val="20"/>
              </w:rPr>
              <w:t>Small-scale renewable energy analyst</w:t>
            </w:r>
            <w:r w:rsidRPr="00043685" w:rsidDel="002818FA">
              <w:rPr>
                <w:sz w:val="20"/>
                <w:szCs w:val="20"/>
              </w:rPr>
              <w:t xml:space="preserve"> </w:t>
            </w:r>
          </w:p>
          <w:p w14:paraId="6492E9A3" w14:textId="77777777" w:rsidR="000F3008" w:rsidRPr="00043685" w:rsidRDefault="0036451C" w:rsidP="004622EC">
            <w:pPr>
              <w:rPr>
                <w:sz w:val="20"/>
                <w:szCs w:val="20"/>
              </w:rPr>
            </w:pPr>
            <w:r w:rsidRPr="00043685">
              <w:rPr>
                <w:sz w:val="20"/>
                <w:szCs w:val="20"/>
              </w:rPr>
              <w:t>SB</w:t>
            </w:r>
            <w:r w:rsidR="000F3008" w:rsidRPr="00043685">
              <w:rPr>
                <w:sz w:val="20"/>
                <w:szCs w:val="20"/>
              </w:rPr>
              <w:t>-</w:t>
            </w:r>
            <w:r w:rsidRPr="00043685">
              <w:rPr>
                <w:sz w:val="20"/>
                <w:szCs w:val="20"/>
              </w:rPr>
              <w:t>2</w:t>
            </w:r>
            <w:r w:rsidR="000F3008" w:rsidRPr="00043685">
              <w:rPr>
                <w:sz w:val="20"/>
                <w:szCs w:val="20"/>
              </w:rPr>
              <w:t xml:space="preserve"> </w:t>
            </w:r>
          </w:p>
          <w:p w14:paraId="731A0CA5" w14:textId="77777777" w:rsidR="000F3008" w:rsidRPr="00043685" w:rsidRDefault="000F3008" w:rsidP="004622EC">
            <w:pPr>
              <w:rPr>
                <w:sz w:val="20"/>
                <w:szCs w:val="20"/>
              </w:rPr>
            </w:pPr>
            <w:r w:rsidRPr="00043685">
              <w:rPr>
                <w:sz w:val="20"/>
                <w:szCs w:val="20"/>
              </w:rPr>
              <w:t>Derisking Renewable Energy Investment in Kazakhstan</w:t>
            </w:r>
          </w:p>
          <w:p w14:paraId="49640E80" w14:textId="77777777" w:rsidR="000F3008" w:rsidRPr="00043685" w:rsidRDefault="000F3008" w:rsidP="004622EC">
            <w:pPr>
              <w:rPr>
                <w:sz w:val="20"/>
                <w:szCs w:val="20"/>
              </w:rPr>
            </w:pPr>
            <w:r w:rsidRPr="00043685">
              <w:rPr>
                <w:sz w:val="20"/>
                <w:szCs w:val="20"/>
              </w:rPr>
              <w:t>1 year (with possible extension subject to satisfactory performance)</w:t>
            </w:r>
          </w:p>
          <w:p w14:paraId="1E8D2862" w14:textId="77777777" w:rsidR="000F3008" w:rsidRPr="00043685" w:rsidRDefault="000F3008" w:rsidP="004622EC">
            <w:pPr>
              <w:rPr>
                <w:sz w:val="20"/>
                <w:szCs w:val="20"/>
              </w:rPr>
            </w:pPr>
            <w:r w:rsidRPr="00043685">
              <w:rPr>
                <w:sz w:val="20"/>
                <w:szCs w:val="20"/>
              </w:rPr>
              <w:t>Full-time</w:t>
            </w:r>
          </w:p>
          <w:p w14:paraId="2852EFF3" w14:textId="77777777" w:rsidR="000F3008" w:rsidRPr="00043685" w:rsidRDefault="000F3008" w:rsidP="004622EC">
            <w:pPr>
              <w:rPr>
                <w:sz w:val="20"/>
                <w:szCs w:val="20"/>
              </w:rPr>
            </w:pPr>
            <w:r w:rsidRPr="00043685">
              <w:rPr>
                <w:sz w:val="20"/>
                <w:szCs w:val="20"/>
              </w:rPr>
              <w:t xml:space="preserve">Small-scale renewable energy Task Manager </w:t>
            </w:r>
          </w:p>
        </w:tc>
      </w:tr>
      <w:tr w:rsidR="000F3008" w:rsidRPr="00FD551A" w14:paraId="6F4FD02B" w14:textId="77777777" w:rsidTr="003E6878">
        <w:tblPrEx>
          <w:shd w:val="clear" w:color="auto" w:fill="E0E0E0"/>
        </w:tblPrEx>
        <w:tc>
          <w:tcPr>
            <w:tcW w:w="10908" w:type="dxa"/>
            <w:gridSpan w:val="2"/>
            <w:tcBorders>
              <w:bottom w:val="single" w:sz="4" w:space="0" w:color="auto"/>
            </w:tcBorders>
            <w:shd w:val="clear" w:color="auto" w:fill="E0E0E0"/>
          </w:tcPr>
          <w:p w14:paraId="7E49C677" w14:textId="77777777" w:rsidR="000F3008" w:rsidRPr="004622EC" w:rsidRDefault="000F3008" w:rsidP="004622EC">
            <w:pPr>
              <w:rPr>
                <w:b/>
                <w:sz w:val="20"/>
                <w:szCs w:val="20"/>
              </w:rPr>
            </w:pPr>
            <w:r w:rsidRPr="004622EC">
              <w:rPr>
                <w:b/>
                <w:sz w:val="20"/>
                <w:szCs w:val="20"/>
              </w:rPr>
              <w:t xml:space="preserve">II. Background </w:t>
            </w:r>
          </w:p>
        </w:tc>
      </w:tr>
      <w:tr w:rsidR="000F3008" w:rsidRPr="00FD551A" w14:paraId="54542362" w14:textId="77777777" w:rsidTr="003E6878">
        <w:tblPrEx>
          <w:shd w:val="clear" w:color="auto" w:fill="E0E0E0"/>
        </w:tblPrEx>
        <w:tc>
          <w:tcPr>
            <w:tcW w:w="10908" w:type="dxa"/>
            <w:gridSpan w:val="2"/>
          </w:tcPr>
          <w:p w14:paraId="63F1F515" w14:textId="77777777" w:rsidR="000F3008" w:rsidRPr="004622EC" w:rsidRDefault="000F3008" w:rsidP="004622EC">
            <w:pPr>
              <w:rPr>
                <w:color w:val="000000"/>
                <w:sz w:val="20"/>
                <w:szCs w:val="20"/>
              </w:rPr>
            </w:pPr>
            <w:r w:rsidRPr="004622EC">
              <w:rPr>
                <w:sz w:val="20"/>
                <w:szCs w:val="20"/>
              </w:rPr>
              <w:t>Under direct supervision of the Task Manager for small-scale renewable energy, Analyst is responsible for assistance with operational and programmatic management of the Project and facilitating delivery of the Component 2 and 3 according to the project document, UNDP and GEF corporate rules and procedures and for fulfilling but not limiting the following functions:</w:t>
            </w:r>
          </w:p>
        </w:tc>
      </w:tr>
      <w:tr w:rsidR="000F3008" w:rsidRPr="00FD551A" w14:paraId="4E1AA5D2" w14:textId="77777777" w:rsidTr="003E6878">
        <w:tblPrEx>
          <w:shd w:val="clear" w:color="auto" w:fill="E0E0E0"/>
        </w:tblPrEx>
        <w:tc>
          <w:tcPr>
            <w:tcW w:w="10908" w:type="dxa"/>
            <w:gridSpan w:val="2"/>
          </w:tcPr>
          <w:p w14:paraId="3ADE5100" w14:textId="77777777" w:rsidR="000F3008" w:rsidRPr="004622EC" w:rsidRDefault="000F3008" w:rsidP="0020322F">
            <w:pPr>
              <w:numPr>
                <w:ilvl w:val="0"/>
                <w:numId w:val="25"/>
              </w:numPr>
              <w:spacing w:before="100" w:beforeAutospacing="1" w:after="100" w:afterAutospacing="1"/>
              <w:rPr>
                <w:rFonts w:eastAsia="Times New Roman"/>
                <w:sz w:val="20"/>
                <w:szCs w:val="20"/>
              </w:rPr>
            </w:pPr>
            <w:r w:rsidRPr="004622EC">
              <w:rPr>
                <w:rFonts w:eastAsia="Times New Roman"/>
                <w:sz w:val="20"/>
                <w:szCs w:val="20"/>
              </w:rPr>
              <w:t xml:space="preserve">Monitor and support partner activities in the field of small-scale development and inform small-scale </w:t>
            </w:r>
            <w:r w:rsidR="00C953AA" w:rsidRPr="002B343A">
              <w:rPr>
                <w:rFonts w:eastAsia="Times New Roman"/>
                <w:sz w:val="20"/>
                <w:szCs w:val="20"/>
              </w:rPr>
              <w:t>Task Manager</w:t>
            </w:r>
            <w:r w:rsidRPr="004622EC">
              <w:rPr>
                <w:rFonts w:eastAsia="Times New Roman"/>
                <w:sz w:val="20"/>
                <w:szCs w:val="20"/>
              </w:rPr>
              <w:t xml:space="preserve"> on relevant developments;</w:t>
            </w:r>
          </w:p>
          <w:p w14:paraId="7DD64423" w14:textId="77777777" w:rsidR="000F3008" w:rsidRPr="004622EC" w:rsidRDefault="00C953AA" w:rsidP="0020322F">
            <w:pPr>
              <w:numPr>
                <w:ilvl w:val="0"/>
                <w:numId w:val="25"/>
              </w:numPr>
              <w:spacing w:before="100" w:beforeAutospacing="1" w:after="100" w:afterAutospacing="1"/>
              <w:rPr>
                <w:rFonts w:eastAsia="Times New Roman"/>
                <w:sz w:val="20"/>
                <w:szCs w:val="20"/>
              </w:rPr>
            </w:pPr>
            <w:r w:rsidRPr="002B343A">
              <w:rPr>
                <w:rFonts w:eastAsia="Times New Roman"/>
                <w:sz w:val="20"/>
                <w:szCs w:val="20"/>
              </w:rPr>
              <w:t>Undertake analysis</w:t>
            </w:r>
            <w:r w:rsidR="000F3008" w:rsidRPr="004622EC">
              <w:rPr>
                <w:rFonts w:eastAsia="Times New Roman"/>
                <w:sz w:val="20"/>
                <w:szCs w:val="20"/>
              </w:rPr>
              <w:t xml:space="preserve"> and research of the market with regard to development of small-scale renewable energy and prepare reports and briefings. </w:t>
            </w:r>
          </w:p>
          <w:p w14:paraId="2000FC6F" w14:textId="77777777" w:rsidR="000F3008" w:rsidRPr="004622EC" w:rsidRDefault="000F3008" w:rsidP="0020322F">
            <w:pPr>
              <w:numPr>
                <w:ilvl w:val="0"/>
                <w:numId w:val="25"/>
              </w:numPr>
              <w:spacing w:before="100" w:beforeAutospacing="1" w:after="100" w:afterAutospacing="1"/>
              <w:rPr>
                <w:rFonts w:eastAsia="Times New Roman"/>
                <w:sz w:val="20"/>
                <w:szCs w:val="20"/>
              </w:rPr>
            </w:pPr>
            <w:r w:rsidRPr="004622EC">
              <w:rPr>
                <w:rFonts w:eastAsia="Times New Roman"/>
                <w:sz w:val="20"/>
                <w:szCs w:val="20"/>
              </w:rPr>
              <w:t>Support and ensure quality control of preparation of briefs, background papers, analysis of reports and other substantive information on small-scale developments;</w:t>
            </w:r>
          </w:p>
          <w:p w14:paraId="60E102C4" w14:textId="77777777" w:rsidR="000F3008" w:rsidRPr="004622EC" w:rsidRDefault="000F3008" w:rsidP="0020322F">
            <w:pPr>
              <w:numPr>
                <w:ilvl w:val="0"/>
                <w:numId w:val="25"/>
              </w:numPr>
              <w:spacing w:before="100" w:beforeAutospacing="1" w:after="100" w:afterAutospacing="1"/>
              <w:rPr>
                <w:sz w:val="20"/>
                <w:szCs w:val="20"/>
              </w:rPr>
            </w:pPr>
            <w:r w:rsidRPr="004622EC">
              <w:rPr>
                <w:rFonts w:eastAsia="Times New Roman"/>
                <w:sz w:val="20"/>
                <w:szCs w:val="20"/>
              </w:rPr>
              <w:t xml:space="preserve">Coordinate inputs in briefing notes from all relevant </w:t>
            </w:r>
            <w:r w:rsidR="00C953AA" w:rsidRPr="002B343A">
              <w:rPr>
                <w:rFonts w:eastAsia="Times New Roman"/>
                <w:sz w:val="20"/>
                <w:szCs w:val="20"/>
              </w:rPr>
              <w:t>partners and</w:t>
            </w:r>
            <w:r w:rsidRPr="004622EC">
              <w:rPr>
                <w:rFonts w:eastAsia="Times New Roman"/>
                <w:sz w:val="20"/>
                <w:szCs w:val="20"/>
              </w:rPr>
              <w:t xml:space="preserve"> prepare notes from the formal meetings</w:t>
            </w:r>
            <w:r w:rsidRPr="004622EC" w:rsidDel="00885FFB">
              <w:rPr>
                <w:sz w:val="20"/>
                <w:szCs w:val="20"/>
              </w:rPr>
              <w:t xml:space="preserve"> </w:t>
            </w:r>
          </w:p>
          <w:p w14:paraId="33340E3E" w14:textId="77777777" w:rsidR="000F3008" w:rsidRPr="004622EC" w:rsidRDefault="000F3008" w:rsidP="0020322F">
            <w:pPr>
              <w:numPr>
                <w:ilvl w:val="0"/>
                <w:numId w:val="25"/>
              </w:numPr>
              <w:spacing w:before="100" w:beforeAutospacing="1" w:after="100" w:afterAutospacing="1"/>
              <w:rPr>
                <w:sz w:val="20"/>
                <w:szCs w:val="20"/>
              </w:rPr>
            </w:pPr>
            <w:r w:rsidRPr="004622EC">
              <w:rPr>
                <w:rFonts w:eastAsia="Times New Roman"/>
                <w:sz w:val="20"/>
                <w:szCs w:val="20"/>
              </w:rPr>
              <w:t>Create and maintain appropriate spreadsheets and documentation to track/support implementation of Component 2 and 3 of the Project, ensuring that proper records are maintained;</w:t>
            </w:r>
            <w:r w:rsidRPr="004622EC" w:rsidDel="00885FFB">
              <w:rPr>
                <w:sz w:val="20"/>
                <w:szCs w:val="20"/>
              </w:rPr>
              <w:t xml:space="preserve"> </w:t>
            </w:r>
          </w:p>
          <w:p w14:paraId="6F132FB8" w14:textId="77777777" w:rsidR="000F3008" w:rsidRPr="004622EC" w:rsidRDefault="000F3008" w:rsidP="0020322F">
            <w:pPr>
              <w:numPr>
                <w:ilvl w:val="0"/>
                <w:numId w:val="25"/>
              </w:numPr>
              <w:spacing w:before="100" w:beforeAutospacing="1" w:after="100" w:afterAutospacing="1"/>
              <w:rPr>
                <w:sz w:val="20"/>
                <w:szCs w:val="20"/>
              </w:rPr>
            </w:pPr>
            <w:r w:rsidRPr="004622EC">
              <w:rPr>
                <w:rFonts w:eastAsia="Times New Roman"/>
                <w:sz w:val="20"/>
                <w:szCs w:val="20"/>
              </w:rPr>
              <w:t>Identify and synthesize best practices and lessons learned directly linked to outcomes of Component 2 and 3.</w:t>
            </w:r>
            <w:r w:rsidRPr="004622EC" w:rsidDel="00885FFB">
              <w:rPr>
                <w:sz w:val="20"/>
                <w:szCs w:val="20"/>
              </w:rPr>
              <w:t xml:space="preserve"> </w:t>
            </w:r>
          </w:p>
        </w:tc>
      </w:tr>
      <w:tr w:rsidR="000F3008" w:rsidRPr="00FD551A" w14:paraId="29788AA0" w14:textId="77777777" w:rsidTr="003E6878">
        <w:tblPrEx>
          <w:shd w:val="clear" w:color="auto" w:fill="E0E0E0"/>
        </w:tblPrEx>
        <w:tc>
          <w:tcPr>
            <w:tcW w:w="10908" w:type="dxa"/>
            <w:gridSpan w:val="2"/>
            <w:shd w:val="clear" w:color="auto" w:fill="E0E0E0"/>
          </w:tcPr>
          <w:p w14:paraId="6F584C6B" w14:textId="77777777" w:rsidR="000F3008" w:rsidRPr="004622EC" w:rsidRDefault="000F3008" w:rsidP="004622EC">
            <w:pPr>
              <w:rPr>
                <w:b/>
                <w:bCs/>
                <w:sz w:val="20"/>
                <w:szCs w:val="20"/>
              </w:rPr>
            </w:pPr>
            <w:r w:rsidRPr="004622EC">
              <w:rPr>
                <w:b/>
                <w:bCs/>
                <w:sz w:val="20"/>
                <w:szCs w:val="20"/>
              </w:rPr>
              <w:t>IV. Competencies</w:t>
            </w:r>
          </w:p>
        </w:tc>
      </w:tr>
      <w:tr w:rsidR="000F3008" w:rsidRPr="00FD551A" w14:paraId="5CED5F6F" w14:textId="77777777" w:rsidTr="003E6878">
        <w:tblPrEx>
          <w:shd w:val="clear" w:color="auto" w:fill="E0E0E0"/>
        </w:tblPrEx>
        <w:trPr>
          <w:trHeight w:val="800"/>
        </w:trPr>
        <w:tc>
          <w:tcPr>
            <w:tcW w:w="2808" w:type="dxa"/>
            <w:tcBorders>
              <w:bottom w:val="single" w:sz="4" w:space="0" w:color="auto"/>
            </w:tcBorders>
            <w:vAlign w:val="center"/>
          </w:tcPr>
          <w:p w14:paraId="106AE961" w14:textId="77777777" w:rsidR="000F3008" w:rsidRPr="004622EC" w:rsidRDefault="000F3008" w:rsidP="004622EC">
            <w:pPr>
              <w:rPr>
                <w:sz w:val="20"/>
                <w:szCs w:val="20"/>
              </w:rPr>
            </w:pPr>
            <w:r w:rsidRPr="004622EC">
              <w:rPr>
                <w:sz w:val="20"/>
                <w:szCs w:val="20"/>
              </w:rPr>
              <w:t>Corporate Competencies:</w:t>
            </w:r>
          </w:p>
        </w:tc>
        <w:tc>
          <w:tcPr>
            <w:tcW w:w="8100" w:type="dxa"/>
            <w:tcBorders>
              <w:bottom w:val="single" w:sz="4" w:space="0" w:color="auto"/>
            </w:tcBorders>
            <w:vAlign w:val="center"/>
          </w:tcPr>
          <w:p w14:paraId="7087EC20" w14:textId="77777777" w:rsidR="000F3008" w:rsidRPr="004622EC" w:rsidRDefault="000F3008" w:rsidP="0020322F">
            <w:pPr>
              <w:numPr>
                <w:ilvl w:val="0"/>
                <w:numId w:val="34"/>
              </w:numPr>
              <w:spacing w:before="100" w:beforeAutospacing="1" w:after="100" w:afterAutospacing="1"/>
              <w:rPr>
                <w:color w:val="333333"/>
                <w:sz w:val="20"/>
                <w:szCs w:val="20"/>
              </w:rPr>
            </w:pPr>
            <w:r w:rsidRPr="004622EC">
              <w:rPr>
                <w:color w:val="333333"/>
                <w:sz w:val="20"/>
                <w:szCs w:val="20"/>
              </w:rPr>
              <w:t xml:space="preserve">Demonstrates commitment to UNDP’s mission, vision and values; </w:t>
            </w:r>
          </w:p>
          <w:p w14:paraId="297A892D" w14:textId="77777777" w:rsidR="000F3008" w:rsidRPr="004622EC" w:rsidRDefault="000F3008" w:rsidP="0020322F">
            <w:pPr>
              <w:numPr>
                <w:ilvl w:val="0"/>
                <w:numId w:val="34"/>
              </w:numPr>
              <w:spacing w:before="100" w:beforeAutospacing="1" w:after="100" w:afterAutospacing="1"/>
              <w:rPr>
                <w:color w:val="333333"/>
                <w:sz w:val="20"/>
                <w:szCs w:val="20"/>
              </w:rPr>
            </w:pPr>
            <w:r w:rsidRPr="004622EC">
              <w:rPr>
                <w:color w:val="333333"/>
                <w:sz w:val="20"/>
                <w:szCs w:val="20"/>
              </w:rPr>
              <w:t>Displays cultural, gender, religion, race, nationality and age sensitivity and adaptability</w:t>
            </w:r>
          </w:p>
        </w:tc>
      </w:tr>
      <w:tr w:rsidR="000F3008" w:rsidRPr="00FD551A" w14:paraId="42BEAD68" w14:textId="77777777" w:rsidTr="003E6878">
        <w:tblPrEx>
          <w:shd w:val="clear" w:color="auto" w:fill="E0E0E0"/>
        </w:tblPrEx>
        <w:trPr>
          <w:trHeight w:val="251"/>
        </w:trPr>
        <w:tc>
          <w:tcPr>
            <w:tcW w:w="2808" w:type="dxa"/>
            <w:vAlign w:val="center"/>
          </w:tcPr>
          <w:p w14:paraId="1973083B" w14:textId="77777777" w:rsidR="000F3008" w:rsidRPr="004622EC" w:rsidRDefault="000F3008" w:rsidP="004622EC">
            <w:pPr>
              <w:rPr>
                <w:sz w:val="20"/>
                <w:szCs w:val="20"/>
              </w:rPr>
            </w:pPr>
            <w:r w:rsidRPr="004622EC">
              <w:rPr>
                <w:sz w:val="20"/>
                <w:szCs w:val="20"/>
              </w:rPr>
              <w:t>Functional Competencies:</w:t>
            </w:r>
          </w:p>
        </w:tc>
        <w:tc>
          <w:tcPr>
            <w:tcW w:w="8100" w:type="dxa"/>
            <w:vAlign w:val="center"/>
          </w:tcPr>
          <w:p w14:paraId="6D0F9047" w14:textId="77777777" w:rsidR="000F3008" w:rsidRPr="004622EC" w:rsidRDefault="000F3008" w:rsidP="00FD551A">
            <w:pPr>
              <w:spacing w:before="100" w:beforeAutospacing="1" w:after="100" w:afterAutospacing="1"/>
              <w:rPr>
                <w:sz w:val="20"/>
                <w:szCs w:val="20"/>
              </w:rPr>
            </w:pPr>
            <w:r w:rsidRPr="004622EC">
              <w:rPr>
                <w:sz w:val="20"/>
                <w:szCs w:val="20"/>
              </w:rPr>
              <w:t>Results-Based Programme Development and Management:</w:t>
            </w:r>
          </w:p>
          <w:p w14:paraId="091EF3A0" w14:textId="77777777" w:rsidR="000F3008" w:rsidRPr="004622EC" w:rsidRDefault="000F3008" w:rsidP="0020322F">
            <w:pPr>
              <w:numPr>
                <w:ilvl w:val="0"/>
                <w:numId w:val="34"/>
              </w:numPr>
              <w:spacing w:before="100" w:beforeAutospacing="1" w:after="100" w:afterAutospacing="1"/>
              <w:rPr>
                <w:sz w:val="20"/>
                <w:szCs w:val="20"/>
              </w:rPr>
            </w:pPr>
            <w:r w:rsidRPr="004622EC">
              <w:rPr>
                <w:sz w:val="20"/>
                <w:szCs w:val="20"/>
              </w:rPr>
              <w:t xml:space="preserve">Contributes to </w:t>
            </w:r>
            <w:r w:rsidR="0019706F">
              <w:rPr>
                <w:sz w:val="20"/>
                <w:szCs w:val="20"/>
              </w:rPr>
              <w:t xml:space="preserve">delivery of the </w:t>
            </w:r>
            <w:r w:rsidRPr="004622EC">
              <w:rPr>
                <w:sz w:val="20"/>
                <w:szCs w:val="20"/>
              </w:rPr>
              <w:t>results through primary research and analysis</w:t>
            </w:r>
          </w:p>
          <w:p w14:paraId="0374F01C" w14:textId="77777777" w:rsidR="000F3008" w:rsidRPr="004622EC" w:rsidRDefault="000F3008" w:rsidP="0020322F">
            <w:pPr>
              <w:numPr>
                <w:ilvl w:val="0"/>
                <w:numId w:val="34"/>
              </w:numPr>
              <w:spacing w:before="100" w:beforeAutospacing="1" w:after="100" w:afterAutospacing="1"/>
              <w:rPr>
                <w:sz w:val="20"/>
                <w:szCs w:val="20"/>
              </w:rPr>
            </w:pPr>
            <w:r w:rsidRPr="004622EC">
              <w:rPr>
                <w:rFonts w:eastAsia="Times New Roman"/>
                <w:sz w:val="20"/>
                <w:szCs w:val="20"/>
              </w:rPr>
              <w:t>Assesses project performance to identify success factors and incorporates best practices into project work;</w:t>
            </w:r>
          </w:p>
          <w:p w14:paraId="382C1161" w14:textId="77777777" w:rsidR="000F3008" w:rsidRPr="004622EC" w:rsidRDefault="000F3008" w:rsidP="0020322F">
            <w:pPr>
              <w:numPr>
                <w:ilvl w:val="0"/>
                <w:numId w:val="34"/>
              </w:numPr>
              <w:spacing w:before="100" w:beforeAutospacing="1" w:after="100" w:afterAutospacing="1"/>
              <w:rPr>
                <w:sz w:val="20"/>
                <w:szCs w:val="20"/>
              </w:rPr>
            </w:pPr>
            <w:r w:rsidRPr="004622EC">
              <w:rPr>
                <w:rFonts w:eastAsia="Times New Roman"/>
                <w:sz w:val="20"/>
                <w:szCs w:val="20"/>
              </w:rPr>
              <w:t>Researches linkages across programme activities to identify critical points of integration;</w:t>
            </w:r>
          </w:p>
          <w:p w14:paraId="0DA37A5A" w14:textId="77777777" w:rsidR="000F3008" w:rsidRPr="004622EC" w:rsidRDefault="000F3008" w:rsidP="0020322F">
            <w:pPr>
              <w:numPr>
                <w:ilvl w:val="0"/>
                <w:numId w:val="34"/>
              </w:numPr>
              <w:spacing w:before="100" w:beforeAutospacing="1" w:after="100" w:afterAutospacing="1"/>
              <w:rPr>
                <w:sz w:val="20"/>
                <w:szCs w:val="20"/>
              </w:rPr>
            </w:pPr>
            <w:r w:rsidRPr="004622EC">
              <w:rPr>
                <w:rFonts w:eastAsia="Times New Roman"/>
                <w:sz w:val="20"/>
                <w:szCs w:val="20"/>
              </w:rPr>
              <w:t>Monitors specific stages of project implementation.</w:t>
            </w:r>
          </w:p>
          <w:p w14:paraId="53998671" w14:textId="77777777" w:rsidR="000F3008" w:rsidRPr="004622EC" w:rsidRDefault="000F3008" w:rsidP="00FD551A">
            <w:pPr>
              <w:spacing w:before="100" w:beforeAutospacing="1" w:after="100" w:afterAutospacing="1"/>
              <w:rPr>
                <w:sz w:val="20"/>
                <w:szCs w:val="20"/>
              </w:rPr>
            </w:pPr>
            <w:r w:rsidRPr="004622EC">
              <w:rPr>
                <w:sz w:val="20"/>
                <w:szCs w:val="20"/>
              </w:rPr>
              <w:t xml:space="preserve">Facilitating </w:t>
            </w:r>
            <w:r w:rsidR="00C953AA" w:rsidRPr="002B343A">
              <w:rPr>
                <w:sz w:val="20"/>
                <w:szCs w:val="20"/>
              </w:rPr>
              <w:t>dialogue</w:t>
            </w:r>
            <w:r w:rsidRPr="004622EC">
              <w:rPr>
                <w:sz w:val="20"/>
                <w:szCs w:val="20"/>
              </w:rPr>
              <w:t xml:space="preserve"> on small-scale renewable energy:</w:t>
            </w:r>
          </w:p>
          <w:p w14:paraId="43C77C49" w14:textId="77777777" w:rsidR="000F3008" w:rsidRPr="004622EC" w:rsidRDefault="000F3008" w:rsidP="0020322F">
            <w:pPr>
              <w:numPr>
                <w:ilvl w:val="0"/>
                <w:numId w:val="34"/>
              </w:numPr>
              <w:spacing w:before="100" w:beforeAutospacing="1" w:after="100" w:afterAutospacing="1"/>
              <w:rPr>
                <w:sz w:val="20"/>
                <w:szCs w:val="20"/>
              </w:rPr>
            </w:pPr>
            <w:r w:rsidRPr="004622EC">
              <w:rPr>
                <w:sz w:val="20"/>
                <w:szCs w:val="20"/>
              </w:rPr>
              <w:t>Maintaining a network of contacts</w:t>
            </w:r>
          </w:p>
          <w:p w14:paraId="56F7D130" w14:textId="77777777" w:rsidR="000F3008" w:rsidRPr="004622EC" w:rsidRDefault="000F3008" w:rsidP="0020322F">
            <w:pPr>
              <w:numPr>
                <w:ilvl w:val="0"/>
                <w:numId w:val="34"/>
              </w:numPr>
              <w:spacing w:before="100" w:beforeAutospacing="1" w:after="100" w:afterAutospacing="1"/>
              <w:rPr>
                <w:sz w:val="20"/>
                <w:szCs w:val="20"/>
              </w:rPr>
            </w:pPr>
            <w:r w:rsidRPr="004622EC">
              <w:rPr>
                <w:rFonts w:eastAsia="Times New Roman"/>
                <w:sz w:val="20"/>
                <w:szCs w:val="20"/>
              </w:rPr>
              <w:t>Analyzes and selects materials for strengthening strategic alliances with partners and stakeholders.</w:t>
            </w:r>
          </w:p>
          <w:p w14:paraId="7C210204" w14:textId="77777777" w:rsidR="000F3008" w:rsidRPr="004622EC" w:rsidRDefault="000F3008" w:rsidP="002D41F0">
            <w:pPr>
              <w:spacing w:before="100" w:beforeAutospacing="1" w:after="100" w:afterAutospacing="1"/>
              <w:rPr>
                <w:sz w:val="20"/>
                <w:szCs w:val="20"/>
              </w:rPr>
            </w:pPr>
            <w:r w:rsidRPr="004622EC">
              <w:rPr>
                <w:sz w:val="20"/>
                <w:szCs w:val="20"/>
              </w:rPr>
              <w:t>Promoting Organizational Learning and Knowledge Sharing: Basic research and analysis</w:t>
            </w:r>
          </w:p>
          <w:p w14:paraId="19573CA8" w14:textId="77777777" w:rsidR="000F3008" w:rsidRPr="004622EC" w:rsidRDefault="000F3008" w:rsidP="004622EC">
            <w:pPr>
              <w:spacing w:before="100" w:beforeAutospacing="1" w:after="100" w:afterAutospacing="1"/>
              <w:rPr>
                <w:color w:val="333333"/>
                <w:sz w:val="20"/>
                <w:szCs w:val="20"/>
              </w:rPr>
            </w:pPr>
            <w:r w:rsidRPr="004622EC">
              <w:rPr>
                <w:sz w:val="20"/>
                <w:szCs w:val="20"/>
              </w:rPr>
              <w:t xml:space="preserve">Job Knowledge/Technical Expertise: Fundamental knowledge of renewable energy sector </w:t>
            </w:r>
          </w:p>
        </w:tc>
      </w:tr>
      <w:tr w:rsidR="000F3008" w:rsidRPr="00FD551A" w14:paraId="79D617F2" w14:textId="77777777" w:rsidTr="003E6878">
        <w:tblPrEx>
          <w:shd w:val="clear" w:color="auto" w:fill="E0E0E0"/>
        </w:tblPrEx>
        <w:trPr>
          <w:trHeight w:val="251"/>
        </w:trPr>
        <w:tc>
          <w:tcPr>
            <w:tcW w:w="2808" w:type="dxa"/>
            <w:vAlign w:val="center"/>
          </w:tcPr>
          <w:p w14:paraId="280F4759" w14:textId="77777777" w:rsidR="000F3008" w:rsidRPr="004622EC" w:rsidRDefault="000F3008" w:rsidP="004622EC">
            <w:pPr>
              <w:rPr>
                <w:b/>
                <w:sz w:val="20"/>
                <w:szCs w:val="20"/>
              </w:rPr>
            </w:pPr>
            <w:r w:rsidRPr="004622EC">
              <w:rPr>
                <w:rStyle w:val="aff"/>
                <w:color w:val="333333"/>
                <w:sz w:val="20"/>
                <w:szCs w:val="20"/>
              </w:rPr>
              <w:t>Core Competencies:</w:t>
            </w:r>
          </w:p>
        </w:tc>
        <w:tc>
          <w:tcPr>
            <w:tcW w:w="8100" w:type="dxa"/>
            <w:vAlign w:val="center"/>
          </w:tcPr>
          <w:p w14:paraId="6D30EFA1"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Demonstrating/safeguarding ethics and integrity;</w:t>
            </w:r>
          </w:p>
          <w:p w14:paraId="0965EC93"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Demonstrate corporate knowledge and sound judgment;</w:t>
            </w:r>
          </w:p>
          <w:p w14:paraId="26318B43"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Self-development, initiative-taking;</w:t>
            </w:r>
          </w:p>
          <w:p w14:paraId="55B8443C"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Acting as a team player and facilitating team work;</w:t>
            </w:r>
          </w:p>
          <w:p w14:paraId="191E82CC"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Facilitating and encouraging open communication in the team, communicating effectively;</w:t>
            </w:r>
          </w:p>
          <w:p w14:paraId="428C8D26"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Creating synergies through self-control;</w:t>
            </w:r>
          </w:p>
          <w:p w14:paraId="250FB7C2"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Managing conflict;</w:t>
            </w:r>
          </w:p>
          <w:p w14:paraId="670955DB"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Learning and sharing knowledge and encourage the learning of others. Promoting learning and knowledge management/sharing is the responsibility of each staff member;</w:t>
            </w:r>
          </w:p>
          <w:p w14:paraId="6C2F9E3A"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Informed and transparent decision-making.</w:t>
            </w:r>
          </w:p>
        </w:tc>
      </w:tr>
      <w:tr w:rsidR="000F3008" w:rsidRPr="00FD551A" w14:paraId="29CF39ED" w14:textId="77777777" w:rsidTr="003E6878">
        <w:tblPrEx>
          <w:shd w:val="clear" w:color="auto" w:fill="E0E0E0"/>
        </w:tblPrEx>
        <w:tc>
          <w:tcPr>
            <w:tcW w:w="10908" w:type="dxa"/>
            <w:gridSpan w:val="2"/>
            <w:shd w:val="clear" w:color="auto" w:fill="E0E0E0"/>
          </w:tcPr>
          <w:p w14:paraId="256188F1" w14:textId="77777777" w:rsidR="000F3008" w:rsidRPr="004622EC" w:rsidRDefault="000F3008" w:rsidP="004622EC">
            <w:pPr>
              <w:rPr>
                <w:b/>
                <w:bCs/>
                <w:sz w:val="20"/>
                <w:szCs w:val="20"/>
              </w:rPr>
            </w:pPr>
            <w:r w:rsidRPr="004622EC">
              <w:rPr>
                <w:b/>
                <w:bCs/>
                <w:sz w:val="20"/>
                <w:szCs w:val="20"/>
              </w:rPr>
              <w:t xml:space="preserve">V. Qualifications Requirements </w:t>
            </w:r>
          </w:p>
        </w:tc>
      </w:tr>
      <w:tr w:rsidR="000F3008" w:rsidRPr="00FD551A" w14:paraId="081F932C" w14:textId="77777777" w:rsidTr="004622EC">
        <w:tblPrEx>
          <w:shd w:val="clear" w:color="auto" w:fill="E0E0E0"/>
        </w:tblPrEx>
        <w:trPr>
          <w:trHeight w:val="584"/>
        </w:trPr>
        <w:tc>
          <w:tcPr>
            <w:tcW w:w="2808" w:type="dxa"/>
            <w:tcBorders>
              <w:bottom w:val="single" w:sz="4" w:space="0" w:color="auto"/>
            </w:tcBorders>
          </w:tcPr>
          <w:p w14:paraId="0DEE11AB" w14:textId="77777777" w:rsidR="000F3008" w:rsidRPr="004622EC" w:rsidRDefault="000F3008" w:rsidP="004622EC">
            <w:pPr>
              <w:rPr>
                <w:sz w:val="20"/>
                <w:szCs w:val="20"/>
              </w:rPr>
            </w:pPr>
            <w:r w:rsidRPr="004622EC">
              <w:rPr>
                <w:sz w:val="20"/>
                <w:szCs w:val="20"/>
              </w:rPr>
              <w:t>Education:</w:t>
            </w:r>
          </w:p>
        </w:tc>
        <w:tc>
          <w:tcPr>
            <w:tcW w:w="8100" w:type="dxa"/>
            <w:tcBorders>
              <w:bottom w:val="single" w:sz="4" w:space="0" w:color="auto"/>
            </w:tcBorders>
          </w:tcPr>
          <w:p w14:paraId="01287510" w14:textId="77777777" w:rsidR="000F3008" w:rsidRPr="004622EC" w:rsidRDefault="000F3008" w:rsidP="004622EC">
            <w:pPr>
              <w:rPr>
                <w:sz w:val="20"/>
                <w:szCs w:val="20"/>
              </w:rPr>
            </w:pPr>
            <w:r w:rsidRPr="004622EC">
              <w:rPr>
                <w:sz w:val="20"/>
                <w:szCs w:val="20"/>
              </w:rPr>
              <w:t>Bachelor degree in any of the following areas: Energy studies, Engineering,, Environmental sciences, or any related field.</w:t>
            </w:r>
          </w:p>
        </w:tc>
      </w:tr>
      <w:tr w:rsidR="000F3008" w:rsidRPr="00FD551A" w14:paraId="1ABA87E5" w14:textId="77777777" w:rsidTr="003E6878">
        <w:tblPrEx>
          <w:shd w:val="clear" w:color="auto" w:fill="E0E0E0"/>
        </w:tblPrEx>
        <w:trPr>
          <w:trHeight w:val="230"/>
        </w:trPr>
        <w:tc>
          <w:tcPr>
            <w:tcW w:w="2808" w:type="dxa"/>
            <w:tcBorders>
              <w:bottom w:val="single" w:sz="4" w:space="0" w:color="auto"/>
            </w:tcBorders>
          </w:tcPr>
          <w:p w14:paraId="3E5DC6D8" w14:textId="77777777" w:rsidR="000F3008" w:rsidRPr="004622EC" w:rsidRDefault="000F3008" w:rsidP="004622EC">
            <w:pPr>
              <w:rPr>
                <w:sz w:val="20"/>
                <w:szCs w:val="20"/>
              </w:rPr>
            </w:pPr>
            <w:r w:rsidRPr="004622EC">
              <w:rPr>
                <w:sz w:val="20"/>
                <w:szCs w:val="20"/>
              </w:rPr>
              <w:t>Experience:</w:t>
            </w:r>
          </w:p>
        </w:tc>
        <w:tc>
          <w:tcPr>
            <w:tcW w:w="8100" w:type="dxa"/>
            <w:tcBorders>
              <w:bottom w:val="single" w:sz="4" w:space="0" w:color="auto"/>
            </w:tcBorders>
          </w:tcPr>
          <w:p w14:paraId="2EA212DE" w14:textId="77777777" w:rsidR="000F3008" w:rsidRPr="004622EC" w:rsidRDefault="000F3008" w:rsidP="004622EC">
            <w:pPr>
              <w:rPr>
                <w:sz w:val="20"/>
                <w:szCs w:val="20"/>
              </w:rPr>
            </w:pPr>
            <w:r w:rsidRPr="004622EC">
              <w:rPr>
                <w:sz w:val="20"/>
                <w:szCs w:val="20"/>
              </w:rPr>
              <w:t>At least 2-3-years relevant experience. Working experience in international organizations is an advantage.</w:t>
            </w:r>
          </w:p>
        </w:tc>
      </w:tr>
      <w:tr w:rsidR="000F3008" w:rsidRPr="00FD551A" w14:paraId="4FCEE5D7" w14:textId="77777777" w:rsidTr="003E6878">
        <w:tblPrEx>
          <w:shd w:val="clear" w:color="auto" w:fill="E0E0E0"/>
        </w:tblPrEx>
        <w:trPr>
          <w:trHeight w:val="230"/>
        </w:trPr>
        <w:tc>
          <w:tcPr>
            <w:tcW w:w="2808" w:type="dxa"/>
          </w:tcPr>
          <w:p w14:paraId="00FC2D58" w14:textId="77777777" w:rsidR="000F3008" w:rsidRPr="004622EC" w:rsidRDefault="000F3008" w:rsidP="004622EC">
            <w:pPr>
              <w:rPr>
                <w:sz w:val="20"/>
                <w:szCs w:val="20"/>
              </w:rPr>
            </w:pPr>
            <w:r w:rsidRPr="004622EC">
              <w:rPr>
                <w:sz w:val="20"/>
                <w:szCs w:val="20"/>
              </w:rPr>
              <w:t>Language Requirements:</w:t>
            </w:r>
          </w:p>
        </w:tc>
        <w:tc>
          <w:tcPr>
            <w:tcW w:w="8100" w:type="dxa"/>
          </w:tcPr>
          <w:p w14:paraId="65643194" w14:textId="77777777" w:rsidR="000F3008" w:rsidRPr="004622EC" w:rsidRDefault="000F3008" w:rsidP="004622EC">
            <w:pPr>
              <w:rPr>
                <w:sz w:val="20"/>
                <w:szCs w:val="20"/>
              </w:rPr>
            </w:pPr>
            <w:r w:rsidRPr="004622EC">
              <w:rPr>
                <w:sz w:val="20"/>
                <w:szCs w:val="20"/>
              </w:rPr>
              <w:t>Excellent command of spoken and written English and Russian are essential</w:t>
            </w:r>
          </w:p>
        </w:tc>
      </w:tr>
      <w:tr w:rsidR="000F3008" w:rsidRPr="00FD551A" w14:paraId="4453C57C" w14:textId="77777777" w:rsidTr="003E6878">
        <w:tblPrEx>
          <w:shd w:val="clear" w:color="auto" w:fill="E0E0E0"/>
        </w:tblPrEx>
        <w:trPr>
          <w:trHeight w:val="1258"/>
        </w:trPr>
        <w:tc>
          <w:tcPr>
            <w:tcW w:w="2808" w:type="dxa"/>
            <w:tcBorders>
              <w:bottom w:val="single" w:sz="4" w:space="0" w:color="auto"/>
            </w:tcBorders>
          </w:tcPr>
          <w:p w14:paraId="4F543DB3" w14:textId="77777777" w:rsidR="000F3008" w:rsidRPr="004622EC" w:rsidRDefault="000F3008" w:rsidP="004622EC">
            <w:pPr>
              <w:rPr>
                <w:sz w:val="20"/>
                <w:szCs w:val="20"/>
              </w:rPr>
            </w:pPr>
            <w:r w:rsidRPr="004622EC">
              <w:rPr>
                <w:sz w:val="20"/>
                <w:szCs w:val="20"/>
              </w:rPr>
              <w:t>Others:</w:t>
            </w:r>
          </w:p>
        </w:tc>
        <w:tc>
          <w:tcPr>
            <w:tcW w:w="8100" w:type="dxa"/>
            <w:tcBorders>
              <w:bottom w:val="single" w:sz="4" w:space="0" w:color="auto"/>
            </w:tcBorders>
          </w:tcPr>
          <w:p w14:paraId="6DCFD8A3"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Familiarity with small PV</w:t>
            </w:r>
            <w:r w:rsidR="0019706F">
              <w:rPr>
                <w:color w:val="333333"/>
                <w:sz w:val="20"/>
                <w:szCs w:val="20"/>
              </w:rPr>
              <w:t xml:space="preserve"> and </w:t>
            </w:r>
            <w:r w:rsidR="00C953AA" w:rsidRPr="002B343A">
              <w:rPr>
                <w:color w:val="333333"/>
                <w:sz w:val="20"/>
                <w:szCs w:val="20"/>
              </w:rPr>
              <w:t>wind</w:t>
            </w:r>
            <w:r w:rsidRPr="004622EC">
              <w:rPr>
                <w:color w:val="333333"/>
                <w:sz w:val="20"/>
                <w:szCs w:val="20"/>
              </w:rPr>
              <w:t xml:space="preserve"> </w:t>
            </w:r>
            <w:r w:rsidR="0019706F">
              <w:rPr>
                <w:color w:val="333333"/>
                <w:sz w:val="20"/>
                <w:szCs w:val="20"/>
              </w:rPr>
              <w:t xml:space="preserve">technologies </w:t>
            </w:r>
            <w:r w:rsidRPr="004622EC">
              <w:rPr>
                <w:color w:val="333333"/>
                <w:sz w:val="20"/>
                <w:szCs w:val="20"/>
              </w:rPr>
              <w:t xml:space="preserve">and engineering economics </w:t>
            </w:r>
          </w:p>
          <w:p w14:paraId="59B6D289"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Excellent written and verbal communication skills</w:t>
            </w:r>
          </w:p>
          <w:p w14:paraId="55B7AC35" w14:textId="77777777" w:rsidR="000F3008" w:rsidRPr="004622EC" w:rsidRDefault="000F3008"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Strong organizational skills, ability to track and juggle multiple tasks</w:t>
            </w:r>
          </w:p>
          <w:p w14:paraId="02565050" w14:textId="77777777" w:rsidR="000F3008" w:rsidRPr="004622EC" w:rsidRDefault="000F3008" w:rsidP="0020322F">
            <w:pPr>
              <w:numPr>
                <w:ilvl w:val="0"/>
                <w:numId w:val="33"/>
              </w:numPr>
              <w:tabs>
                <w:tab w:val="clear" w:pos="720"/>
                <w:tab w:val="num" w:pos="360"/>
              </w:tabs>
              <w:spacing w:before="100" w:beforeAutospacing="1" w:after="100" w:afterAutospacing="1"/>
              <w:ind w:left="360"/>
              <w:rPr>
                <w:sz w:val="20"/>
                <w:szCs w:val="20"/>
              </w:rPr>
            </w:pPr>
            <w:r w:rsidRPr="004622EC">
              <w:rPr>
                <w:color w:val="333333"/>
                <w:sz w:val="20"/>
                <w:szCs w:val="20"/>
              </w:rPr>
              <w:t>Good consultation and collaboration skills</w:t>
            </w:r>
          </w:p>
        </w:tc>
      </w:tr>
    </w:tbl>
    <w:p w14:paraId="5CCBF745" w14:textId="77777777" w:rsidR="003C1081" w:rsidRDefault="003C1081" w:rsidP="003C1081">
      <w:pPr>
        <w:rPr>
          <w:rFonts w:cs="Times"/>
          <w:b/>
          <w:bCs/>
        </w:rPr>
      </w:pPr>
    </w:p>
    <w:p w14:paraId="17D9FF04" w14:textId="77777777" w:rsidR="003B3296" w:rsidRPr="003269A4" w:rsidRDefault="003B3296" w:rsidP="003B3296">
      <w:pPr>
        <w:spacing w:before="120" w:after="120"/>
        <w:rPr>
          <w:b/>
        </w:rPr>
      </w:pPr>
      <w:r>
        <w:rPr>
          <w:b/>
        </w:rPr>
        <w:t>7</w:t>
      </w:r>
      <w:r w:rsidRPr="003269A4">
        <w:rPr>
          <w:b/>
        </w:rPr>
        <w:t xml:space="preserve">. Terms of Reference for </w:t>
      </w:r>
      <w:r w:rsidR="0001215E">
        <w:rPr>
          <w:b/>
        </w:rPr>
        <w:t>a Consultant to Develop a D</w:t>
      </w:r>
      <w:r>
        <w:rPr>
          <w:b/>
        </w:rPr>
        <w:t xml:space="preserve">etailed </w:t>
      </w:r>
      <w:r w:rsidR="0001215E">
        <w:rPr>
          <w:b/>
        </w:rPr>
        <w:t>R</w:t>
      </w:r>
      <w:r>
        <w:rPr>
          <w:b/>
        </w:rPr>
        <w:t xml:space="preserve">eport on </w:t>
      </w:r>
      <w:r w:rsidR="0001215E">
        <w:rPr>
          <w:b/>
        </w:rPr>
        <w:t>F</w:t>
      </w:r>
      <w:r>
        <w:rPr>
          <w:b/>
        </w:rPr>
        <w:t xml:space="preserve">inancial </w:t>
      </w:r>
      <w:r w:rsidR="0001215E">
        <w:rPr>
          <w:b/>
        </w:rPr>
        <w:t>I</w:t>
      </w:r>
      <w:r>
        <w:rPr>
          <w:b/>
        </w:rPr>
        <w:t>nstruments</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8100"/>
      </w:tblGrid>
      <w:tr w:rsidR="003B3296" w:rsidRPr="00FD551A" w14:paraId="55548826" w14:textId="77777777" w:rsidTr="006D07CB">
        <w:tc>
          <w:tcPr>
            <w:tcW w:w="10908" w:type="dxa"/>
            <w:gridSpan w:val="2"/>
            <w:shd w:val="clear" w:color="auto" w:fill="E0E0E0"/>
          </w:tcPr>
          <w:p w14:paraId="2118F3FA" w14:textId="77777777" w:rsidR="003B3296" w:rsidRPr="004622EC" w:rsidRDefault="003B3296" w:rsidP="00C12255">
            <w:pPr>
              <w:rPr>
                <w:b/>
                <w:bCs/>
                <w:sz w:val="20"/>
                <w:szCs w:val="20"/>
              </w:rPr>
            </w:pPr>
            <w:r w:rsidRPr="004622EC">
              <w:rPr>
                <w:b/>
                <w:bCs/>
                <w:sz w:val="20"/>
                <w:szCs w:val="20"/>
              </w:rPr>
              <w:t>I. Position Information</w:t>
            </w:r>
          </w:p>
        </w:tc>
      </w:tr>
      <w:tr w:rsidR="003B3296" w:rsidRPr="00FD551A" w14:paraId="1219C7B7" w14:textId="77777777" w:rsidTr="006D07CB">
        <w:tc>
          <w:tcPr>
            <w:tcW w:w="2808" w:type="dxa"/>
          </w:tcPr>
          <w:p w14:paraId="26F7FAD7" w14:textId="77777777" w:rsidR="003B3296" w:rsidRPr="004622EC" w:rsidRDefault="003B3296" w:rsidP="00C12255">
            <w:pPr>
              <w:rPr>
                <w:sz w:val="20"/>
                <w:szCs w:val="20"/>
              </w:rPr>
            </w:pPr>
            <w:r w:rsidRPr="004622EC">
              <w:rPr>
                <w:sz w:val="20"/>
                <w:szCs w:val="20"/>
              </w:rPr>
              <w:t xml:space="preserve">Position Title: </w:t>
            </w:r>
          </w:p>
          <w:p w14:paraId="125EC633" w14:textId="77777777" w:rsidR="003B3296" w:rsidRPr="004622EC" w:rsidRDefault="003B3296" w:rsidP="00C12255">
            <w:pPr>
              <w:rPr>
                <w:sz w:val="20"/>
                <w:szCs w:val="20"/>
              </w:rPr>
            </w:pPr>
            <w:r w:rsidRPr="004622EC">
              <w:rPr>
                <w:sz w:val="20"/>
                <w:szCs w:val="20"/>
              </w:rPr>
              <w:t xml:space="preserve">Project Title: </w:t>
            </w:r>
          </w:p>
          <w:p w14:paraId="58E65FED" w14:textId="77777777" w:rsidR="003B3296" w:rsidRPr="004622EC" w:rsidRDefault="003B3296" w:rsidP="00C12255">
            <w:pPr>
              <w:rPr>
                <w:sz w:val="20"/>
                <w:szCs w:val="20"/>
              </w:rPr>
            </w:pPr>
            <w:r w:rsidRPr="004622EC">
              <w:rPr>
                <w:sz w:val="20"/>
                <w:szCs w:val="20"/>
              </w:rPr>
              <w:t>Duration of the service:</w:t>
            </w:r>
          </w:p>
          <w:p w14:paraId="18FAF94B" w14:textId="77777777" w:rsidR="003B3296" w:rsidRPr="004622EC" w:rsidRDefault="003B3296" w:rsidP="00C12255">
            <w:pPr>
              <w:rPr>
                <w:sz w:val="20"/>
                <w:szCs w:val="20"/>
              </w:rPr>
            </w:pPr>
            <w:r w:rsidRPr="004622EC">
              <w:rPr>
                <w:sz w:val="20"/>
                <w:szCs w:val="20"/>
              </w:rPr>
              <w:t>Work status</w:t>
            </w:r>
          </w:p>
          <w:p w14:paraId="6F3A5ED3" w14:textId="77777777" w:rsidR="003B3296" w:rsidRPr="004622EC" w:rsidRDefault="003B3296" w:rsidP="00C12255">
            <w:pPr>
              <w:rPr>
                <w:sz w:val="20"/>
                <w:szCs w:val="20"/>
              </w:rPr>
            </w:pPr>
            <w:r w:rsidRPr="004622EC">
              <w:rPr>
                <w:sz w:val="20"/>
                <w:szCs w:val="20"/>
              </w:rPr>
              <w:t>Reports To:</w:t>
            </w:r>
          </w:p>
        </w:tc>
        <w:tc>
          <w:tcPr>
            <w:tcW w:w="8100" w:type="dxa"/>
          </w:tcPr>
          <w:p w14:paraId="2D54C7C7" w14:textId="77777777" w:rsidR="003B3296" w:rsidRPr="00043685" w:rsidRDefault="00C12255" w:rsidP="00C12255">
            <w:pPr>
              <w:rPr>
                <w:sz w:val="20"/>
                <w:szCs w:val="20"/>
              </w:rPr>
            </w:pPr>
            <w:r w:rsidRPr="00C12255">
              <w:rPr>
                <w:sz w:val="20"/>
                <w:szCs w:val="20"/>
              </w:rPr>
              <w:t>Consultant to Develop a Detailed Report on Financial Instruments</w:t>
            </w:r>
          </w:p>
          <w:p w14:paraId="2880F257" w14:textId="77777777" w:rsidR="003B3296" w:rsidRPr="00043685" w:rsidRDefault="003B3296" w:rsidP="00C12255">
            <w:pPr>
              <w:rPr>
                <w:sz w:val="20"/>
                <w:szCs w:val="20"/>
              </w:rPr>
            </w:pPr>
            <w:r w:rsidRPr="00043685">
              <w:rPr>
                <w:sz w:val="20"/>
                <w:szCs w:val="20"/>
              </w:rPr>
              <w:t>Derisking Renewable Energy Investment in Kazakhstan</w:t>
            </w:r>
          </w:p>
          <w:p w14:paraId="75DDAD4C" w14:textId="77777777" w:rsidR="003B3296" w:rsidRPr="00043685" w:rsidRDefault="003B3296" w:rsidP="00C12255">
            <w:pPr>
              <w:rPr>
                <w:sz w:val="20"/>
                <w:szCs w:val="20"/>
              </w:rPr>
            </w:pPr>
            <w:r w:rsidRPr="00043685">
              <w:rPr>
                <w:sz w:val="20"/>
                <w:szCs w:val="20"/>
              </w:rPr>
              <w:t>1 year (with possible extension subject to satisfactory performance)</w:t>
            </w:r>
          </w:p>
          <w:p w14:paraId="544E3791" w14:textId="77777777" w:rsidR="003B3296" w:rsidRPr="00043685" w:rsidRDefault="00C12255" w:rsidP="00C12255">
            <w:pPr>
              <w:rPr>
                <w:sz w:val="20"/>
                <w:szCs w:val="20"/>
              </w:rPr>
            </w:pPr>
            <w:r>
              <w:rPr>
                <w:sz w:val="20"/>
                <w:szCs w:val="20"/>
              </w:rPr>
              <w:t>Part</w:t>
            </w:r>
            <w:r w:rsidR="003B3296" w:rsidRPr="00043685">
              <w:rPr>
                <w:sz w:val="20"/>
                <w:szCs w:val="20"/>
              </w:rPr>
              <w:t>-time</w:t>
            </w:r>
          </w:p>
          <w:p w14:paraId="57B6925C" w14:textId="77777777" w:rsidR="003B3296" w:rsidRPr="00043685" w:rsidRDefault="00C12255" w:rsidP="00C12255">
            <w:pPr>
              <w:rPr>
                <w:sz w:val="20"/>
                <w:szCs w:val="20"/>
              </w:rPr>
            </w:pPr>
            <w:r>
              <w:rPr>
                <w:sz w:val="20"/>
                <w:szCs w:val="20"/>
              </w:rPr>
              <w:t>Project</w:t>
            </w:r>
            <w:r w:rsidR="003B3296" w:rsidRPr="00043685">
              <w:rPr>
                <w:sz w:val="20"/>
                <w:szCs w:val="20"/>
              </w:rPr>
              <w:t xml:space="preserve"> Manager </w:t>
            </w:r>
          </w:p>
        </w:tc>
      </w:tr>
      <w:tr w:rsidR="003B3296" w:rsidRPr="00FD551A" w14:paraId="23FD10E3" w14:textId="77777777" w:rsidTr="006D07CB">
        <w:tblPrEx>
          <w:shd w:val="clear" w:color="auto" w:fill="E0E0E0"/>
        </w:tblPrEx>
        <w:tc>
          <w:tcPr>
            <w:tcW w:w="10908" w:type="dxa"/>
            <w:gridSpan w:val="2"/>
            <w:tcBorders>
              <w:bottom w:val="single" w:sz="4" w:space="0" w:color="auto"/>
            </w:tcBorders>
            <w:shd w:val="clear" w:color="auto" w:fill="E0E0E0"/>
          </w:tcPr>
          <w:p w14:paraId="020F675D" w14:textId="77777777" w:rsidR="003B3296" w:rsidRPr="004622EC" w:rsidRDefault="003B3296" w:rsidP="00C12255">
            <w:pPr>
              <w:rPr>
                <w:b/>
                <w:sz w:val="20"/>
                <w:szCs w:val="20"/>
              </w:rPr>
            </w:pPr>
            <w:r w:rsidRPr="004622EC">
              <w:rPr>
                <w:b/>
                <w:sz w:val="20"/>
                <w:szCs w:val="20"/>
              </w:rPr>
              <w:t xml:space="preserve">II. Background </w:t>
            </w:r>
          </w:p>
        </w:tc>
      </w:tr>
      <w:tr w:rsidR="003B3296" w:rsidRPr="00FD551A" w14:paraId="142A70C0" w14:textId="77777777" w:rsidTr="006D07CB">
        <w:tblPrEx>
          <w:shd w:val="clear" w:color="auto" w:fill="E0E0E0"/>
        </w:tblPrEx>
        <w:tc>
          <w:tcPr>
            <w:tcW w:w="10908" w:type="dxa"/>
            <w:gridSpan w:val="2"/>
          </w:tcPr>
          <w:p w14:paraId="3E7D8D7D" w14:textId="77777777" w:rsidR="00C12255" w:rsidRPr="00C12255" w:rsidRDefault="00C12255" w:rsidP="00C12255">
            <w:pPr>
              <w:rPr>
                <w:sz w:val="20"/>
                <w:szCs w:val="20"/>
              </w:rPr>
            </w:pPr>
            <w:r w:rsidRPr="00C12255">
              <w:rPr>
                <w:sz w:val="20"/>
                <w:szCs w:val="20"/>
              </w:rPr>
              <w:t xml:space="preserve">UNDP’s rationale in using financial instruments in its climate change and energy projects is to maximize development impact. A key objective for UNDP when using financial instruments is to ensure the most cost-effective financial instrument selection. </w:t>
            </w:r>
          </w:p>
          <w:p w14:paraId="71A9C7A7" w14:textId="77777777" w:rsidR="00C12255" w:rsidRPr="00C12255" w:rsidRDefault="00C12255" w:rsidP="00C12255">
            <w:pPr>
              <w:rPr>
                <w:sz w:val="20"/>
                <w:szCs w:val="20"/>
              </w:rPr>
            </w:pPr>
            <w:r w:rsidRPr="00C12255">
              <w:rPr>
                <w:sz w:val="20"/>
                <w:szCs w:val="20"/>
              </w:rPr>
              <w:t xml:space="preserve">UNDP’s comparative advantage is in policy derisking instruments, providing technical assistance and capacity building. UNDP can partner with national and or development banks to provide financial instruments, either in the form of financial derisking instruments (non-grant instruments, such as guarantees) and/or direct financial incentives (grant instruments, such as subsidies and rebates). Please see </w:t>
            </w:r>
            <w:hyperlink r:id="rId49" w:history="1">
              <w:r w:rsidRPr="00C12255">
                <w:rPr>
                  <w:sz w:val="20"/>
                  <w:szCs w:val="20"/>
                </w:rPr>
                <w:t>www.undp.org/DREI</w:t>
              </w:r>
            </w:hyperlink>
            <w:r w:rsidRPr="00C12255">
              <w:rPr>
                <w:sz w:val="20"/>
                <w:szCs w:val="20"/>
              </w:rPr>
              <w:t xml:space="preserve"> for further information on combining these different instruments. </w:t>
            </w:r>
          </w:p>
          <w:p w14:paraId="195D4A4E" w14:textId="77777777" w:rsidR="00C12255" w:rsidRPr="00C12255" w:rsidRDefault="00C12255" w:rsidP="00C12255">
            <w:pPr>
              <w:rPr>
                <w:sz w:val="20"/>
                <w:szCs w:val="20"/>
              </w:rPr>
            </w:pPr>
            <w:r w:rsidRPr="00C12255">
              <w:rPr>
                <w:sz w:val="20"/>
                <w:szCs w:val="20"/>
              </w:rPr>
              <w:t xml:space="preserve">UNDP is currently putting in place a new UNDP corporate regime for the use of financial instruments, with updated policies and guidance, and increased monitoring of compliance. This includes a dedicated quality assurance function in UNDP-GEF HQ, providing guidance that draws on good practice in financial instrument design and implementation. </w:t>
            </w:r>
          </w:p>
          <w:p w14:paraId="2AF856E6" w14:textId="77777777" w:rsidR="003B3296" w:rsidRPr="004622EC" w:rsidRDefault="00C12255" w:rsidP="00C12255">
            <w:pPr>
              <w:rPr>
                <w:sz w:val="20"/>
                <w:szCs w:val="20"/>
              </w:rPr>
            </w:pPr>
            <w:r w:rsidRPr="00C12255">
              <w:rPr>
                <w:sz w:val="20"/>
                <w:szCs w:val="20"/>
              </w:rPr>
              <w:t xml:space="preserve">An important element of this guidance is the front-loading of the design of financial instruments, in order that clear design recommendations and specifications are identified </w:t>
            </w:r>
            <w:r>
              <w:rPr>
                <w:sz w:val="20"/>
                <w:szCs w:val="20"/>
              </w:rPr>
              <w:t>early</w:t>
            </w:r>
            <w:r w:rsidRPr="00C12255">
              <w:rPr>
                <w:sz w:val="20"/>
                <w:szCs w:val="20"/>
              </w:rPr>
              <w:t xml:space="preserve">.  This in turn enables the financial instrument to be commissioned earlier in project implementation. </w:t>
            </w:r>
          </w:p>
        </w:tc>
      </w:tr>
      <w:tr w:rsidR="00C12255" w:rsidRPr="00FD551A" w14:paraId="5DF886E4" w14:textId="77777777" w:rsidTr="006D07CB">
        <w:tblPrEx>
          <w:shd w:val="clear" w:color="auto" w:fill="E0E0E0"/>
        </w:tblPrEx>
        <w:tc>
          <w:tcPr>
            <w:tcW w:w="10908" w:type="dxa"/>
            <w:gridSpan w:val="2"/>
            <w:tcBorders>
              <w:bottom w:val="single" w:sz="4" w:space="0" w:color="auto"/>
            </w:tcBorders>
            <w:shd w:val="clear" w:color="auto" w:fill="E0E0E0"/>
          </w:tcPr>
          <w:p w14:paraId="3B343C42" w14:textId="77777777" w:rsidR="00C12255" w:rsidRPr="004E41AB" w:rsidRDefault="00572FEB" w:rsidP="00572FEB">
            <w:pPr>
              <w:rPr>
                <w:b/>
                <w:bCs/>
                <w:sz w:val="20"/>
                <w:szCs w:val="20"/>
              </w:rPr>
            </w:pPr>
            <w:r>
              <w:rPr>
                <w:b/>
                <w:bCs/>
                <w:sz w:val="20"/>
                <w:szCs w:val="20"/>
              </w:rPr>
              <w:t>III. Objective and f</w:t>
            </w:r>
            <w:r w:rsidR="004E41AB">
              <w:rPr>
                <w:b/>
                <w:bCs/>
                <w:sz w:val="20"/>
                <w:szCs w:val="20"/>
              </w:rPr>
              <w:t>unctions</w:t>
            </w:r>
          </w:p>
        </w:tc>
      </w:tr>
      <w:tr w:rsidR="00C12255" w:rsidRPr="00FD551A" w14:paraId="2E7E07A2" w14:textId="77777777" w:rsidTr="006D07CB">
        <w:tblPrEx>
          <w:shd w:val="clear" w:color="auto" w:fill="E0E0E0"/>
        </w:tblPrEx>
        <w:tc>
          <w:tcPr>
            <w:tcW w:w="10908" w:type="dxa"/>
            <w:gridSpan w:val="2"/>
            <w:shd w:val="clear" w:color="auto" w:fill="auto"/>
          </w:tcPr>
          <w:p w14:paraId="225BCDA5" w14:textId="77777777" w:rsidR="00572FEB" w:rsidRPr="00572FEB" w:rsidRDefault="00572FEB" w:rsidP="00572FEB">
            <w:pPr>
              <w:rPr>
                <w:sz w:val="20"/>
                <w:szCs w:val="20"/>
              </w:rPr>
            </w:pPr>
            <w:r w:rsidRPr="00572FEB">
              <w:rPr>
                <w:sz w:val="20"/>
                <w:szCs w:val="20"/>
              </w:rPr>
              <w:t xml:space="preserve">The objective of the consultancy will be to develop a detailed report on the design of the project’s financial instrument(s). This report will address each design issue in turn, setting out any findings, recommendations and considerations for a financial instrument. </w:t>
            </w:r>
          </w:p>
          <w:p w14:paraId="36ECED3D" w14:textId="77777777" w:rsidR="00572FEB" w:rsidRPr="00572FEB" w:rsidRDefault="00572FEB" w:rsidP="00572FEB">
            <w:pPr>
              <w:rPr>
                <w:sz w:val="20"/>
                <w:szCs w:val="20"/>
              </w:rPr>
            </w:pPr>
            <w:r w:rsidRPr="00572FEB">
              <w:rPr>
                <w:sz w:val="20"/>
                <w:szCs w:val="20"/>
              </w:rPr>
              <w:t xml:space="preserve">The UNDP-GEF financial instruments HQ team in New York can provide guidance and feedback on the outputs of the consultancy.  </w:t>
            </w:r>
          </w:p>
          <w:p w14:paraId="3A55FCC6" w14:textId="77777777" w:rsidR="00572FEB" w:rsidRPr="00572FEB" w:rsidRDefault="00572FEB" w:rsidP="00572FEB">
            <w:pPr>
              <w:rPr>
                <w:sz w:val="20"/>
                <w:szCs w:val="20"/>
              </w:rPr>
            </w:pPr>
            <w:r w:rsidRPr="00572FEB">
              <w:rPr>
                <w:sz w:val="20"/>
                <w:szCs w:val="20"/>
              </w:rPr>
              <w:t xml:space="preserve">The consultancy will be structured under various activities to formulate a formal report on what financial instrument is to be implemented, as well as details on how it will be operationalized. </w:t>
            </w:r>
          </w:p>
          <w:p w14:paraId="0FCF19F0" w14:textId="77777777" w:rsidR="00572FEB" w:rsidRPr="006D07CB" w:rsidRDefault="00572FEB" w:rsidP="00572FEB">
            <w:pPr>
              <w:rPr>
                <w:sz w:val="20"/>
                <w:szCs w:val="20"/>
              </w:rPr>
            </w:pPr>
            <w:r w:rsidRPr="00572FEB">
              <w:rPr>
                <w:sz w:val="20"/>
                <w:szCs w:val="20"/>
              </w:rPr>
              <w:t xml:space="preserve">This report will be based on: (i) a desk-review of available literature, (ii) consultations with relevant stakeholders, and (iii) the considerations and insights of the service provider’s team. The service provider will document </w:t>
            </w:r>
            <w:r>
              <w:rPr>
                <w:sz w:val="20"/>
                <w:szCs w:val="20"/>
              </w:rPr>
              <w:t>consultations with stakeholders and support interaction with those</w:t>
            </w:r>
            <w:r w:rsidRPr="00572FEB">
              <w:rPr>
                <w:sz w:val="20"/>
                <w:szCs w:val="20"/>
              </w:rPr>
              <w:t xml:space="preserve"> stakeholders as partners to the financial </w:t>
            </w:r>
            <w:r w:rsidRPr="006D07CB">
              <w:rPr>
                <w:sz w:val="20"/>
                <w:szCs w:val="20"/>
              </w:rPr>
              <w:t xml:space="preserve">instrument. </w:t>
            </w:r>
          </w:p>
          <w:p w14:paraId="1722D625" w14:textId="77777777" w:rsidR="00C12255" w:rsidRPr="00572FEB" w:rsidRDefault="00572FEB" w:rsidP="00572FEB">
            <w:pPr>
              <w:rPr>
                <w:sz w:val="20"/>
                <w:szCs w:val="20"/>
              </w:rPr>
            </w:pPr>
            <w:r w:rsidRPr="006D07CB">
              <w:rPr>
                <w:rFonts w:cs="Calibri"/>
                <w:sz w:val="20"/>
                <w:szCs w:val="20"/>
                <w:lang w:val="en-GB"/>
              </w:rPr>
              <w:t>The report on financial instruments should have the following sections: (1) executive summary, (2) financial instrument selection, (3) financial partner, (4) financial instrument design.</w:t>
            </w:r>
          </w:p>
        </w:tc>
      </w:tr>
      <w:tr w:rsidR="003B3296" w:rsidRPr="00FD551A" w14:paraId="3E23C6C0" w14:textId="77777777" w:rsidTr="006D07CB">
        <w:tblPrEx>
          <w:shd w:val="clear" w:color="auto" w:fill="E0E0E0"/>
        </w:tblPrEx>
        <w:tc>
          <w:tcPr>
            <w:tcW w:w="10908" w:type="dxa"/>
            <w:gridSpan w:val="2"/>
            <w:shd w:val="clear" w:color="auto" w:fill="E0E0E0"/>
          </w:tcPr>
          <w:p w14:paraId="33F7A28D" w14:textId="77777777" w:rsidR="003B3296" w:rsidRPr="004622EC" w:rsidRDefault="003B3296" w:rsidP="00C12255">
            <w:pPr>
              <w:rPr>
                <w:b/>
                <w:bCs/>
                <w:sz w:val="20"/>
                <w:szCs w:val="20"/>
              </w:rPr>
            </w:pPr>
            <w:r w:rsidRPr="004622EC">
              <w:rPr>
                <w:b/>
                <w:bCs/>
                <w:sz w:val="20"/>
                <w:szCs w:val="20"/>
              </w:rPr>
              <w:t>IV. Competencies</w:t>
            </w:r>
          </w:p>
        </w:tc>
      </w:tr>
      <w:tr w:rsidR="003B3296" w:rsidRPr="00FD551A" w14:paraId="7E53C105" w14:textId="77777777" w:rsidTr="006D07CB">
        <w:tblPrEx>
          <w:shd w:val="clear" w:color="auto" w:fill="E0E0E0"/>
        </w:tblPrEx>
        <w:trPr>
          <w:trHeight w:val="800"/>
        </w:trPr>
        <w:tc>
          <w:tcPr>
            <w:tcW w:w="2808" w:type="dxa"/>
            <w:tcBorders>
              <w:bottom w:val="single" w:sz="4" w:space="0" w:color="auto"/>
            </w:tcBorders>
            <w:vAlign w:val="center"/>
          </w:tcPr>
          <w:p w14:paraId="7D8C912F" w14:textId="77777777" w:rsidR="003B3296" w:rsidRPr="004622EC" w:rsidRDefault="003B3296" w:rsidP="00C12255">
            <w:pPr>
              <w:rPr>
                <w:sz w:val="20"/>
                <w:szCs w:val="20"/>
              </w:rPr>
            </w:pPr>
            <w:r w:rsidRPr="004622EC">
              <w:rPr>
                <w:sz w:val="20"/>
                <w:szCs w:val="20"/>
              </w:rPr>
              <w:t>Corporate Competencies:</w:t>
            </w:r>
          </w:p>
        </w:tc>
        <w:tc>
          <w:tcPr>
            <w:tcW w:w="8100" w:type="dxa"/>
            <w:tcBorders>
              <w:bottom w:val="single" w:sz="4" w:space="0" w:color="auto"/>
            </w:tcBorders>
            <w:vAlign w:val="center"/>
          </w:tcPr>
          <w:p w14:paraId="14AAA553" w14:textId="77777777" w:rsidR="003B3296" w:rsidRPr="004622EC" w:rsidRDefault="003B3296" w:rsidP="0020322F">
            <w:pPr>
              <w:numPr>
                <w:ilvl w:val="0"/>
                <w:numId w:val="34"/>
              </w:numPr>
              <w:spacing w:before="100" w:beforeAutospacing="1" w:after="100" w:afterAutospacing="1"/>
              <w:rPr>
                <w:color w:val="333333"/>
                <w:sz w:val="20"/>
                <w:szCs w:val="20"/>
              </w:rPr>
            </w:pPr>
            <w:r w:rsidRPr="004622EC">
              <w:rPr>
                <w:color w:val="333333"/>
                <w:sz w:val="20"/>
                <w:szCs w:val="20"/>
              </w:rPr>
              <w:t xml:space="preserve">Demonstrates commitment to UNDP’s mission, vision and values; </w:t>
            </w:r>
          </w:p>
          <w:p w14:paraId="71950E55" w14:textId="77777777" w:rsidR="003B3296" w:rsidRPr="004622EC" w:rsidRDefault="003B3296" w:rsidP="0020322F">
            <w:pPr>
              <w:numPr>
                <w:ilvl w:val="0"/>
                <w:numId w:val="34"/>
              </w:numPr>
              <w:spacing w:before="100" w:beforeAutospacing="1" w:after="100" w:afterAutospacing="1"/>
              <w:rPr>
                <w:color w:val="333333"/>
                <w:sz w:val="20"/>
                <w:szCs w:val="20"/>
              </w:rPr>
            </w:pPr>
            <w:r w:rsidRPr="004622EC">
              <w:rPr>
                <w:color w:val="333333"/>
                <w:sz w:val="20"/>
                <w:szCs w:val="20"/>
              </w:rPr>
              <w:t>Displays cultural, gender, religion, race, nationality and age sensitivity and adaptability</w:t>
            </w:r>
          </w:p>
        </w:tc>
      </w:tr>
      <w:tr w:rsidR="003B3296" w:rsidRPr="00FD551A" w14:paraId="1B67146A" w14:textId="77777777" w:rsidTr="006D07CB">
        <w:tblPrEx>
          <w:shd w:val="clear" w:color="auto" w:fill="E0E0E0"/>
        </w:tblPrEx>
        <w:trPr>
          <w:trHeight w:val="251"/>
        </w:trPr>
        <w:tc>
          <w:tcPr>
            <w:tcW w:w="2808" w:type="dxa"/>
            <w:vAlign w:val="center"/>
          </w:tcPr>
          <w:p w14:paraId="6E20DD9E" w14:textId="77777777" w:rsidR="003B3296" w:rsidRPr="006D07CB" w:rsidRDefault="003B3296" w:rsidP="00C12255">
            <w:pPr>
              <w:rPr>
                <w:b/>
                <w:sz w:val="20"/>
                <w:szCs w:val="20"/>
              </w:rPr>
            </w:pPr>
            <w:r w:rsidRPr="006D07CB">
              <w:rPr>
                <w:rStyle w:val="aff"/>
                <w:b w:val="0"/>
                <w:color w:val="333333"/>
                <w:sz w:val="20"/>
                <w:szCs w:val="20"/>
              </w:rPr>
              <w:t>Core Competencies:</w:t>
            </w:r>
          </w:p>
        </w:tc>
        <w:tc>
          <w:tcPr>
            <w:tcW w:w="8100" w:type="dxa"/>
            <w:vAlign w:val="center"/>
          </w:tcPr>
          <w:p w14:paraId="7DE2D986" w14:textId="77777777" w:rsidR="003B3296" w:rsidRPr="004622EC" w:rsidRDefault="003B3296"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Demonstrating/safeguarding ethics and integrity;</w:t>
            </w:r>
          </w:p>
          <w:p w14:paraId="02BFF5E0" w14:textId="77777777" w:rsidR="003B3296" w:rsidRPr="004622EC" w:rsidRDefault="003B3296"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Demonstrate corporate knowledge and sound judgment;</w:t>
            </w:r>
          </w:p>
          <w:p w14:paraId="19484029" w14:textId="77777777" w:rsidR="003B3296" w:rsidRPr="004622EC" w:rsidRDefault="003B3296"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Self-development, initiative-taking;</w:t>
            </w:r>
          </w:p>
          <w:p w14:paraId="03D217B4" w14:textId="77777777" w:rsidR="003B3296" w:rsidRPr="004622EC" w:rsidRDefault="003B3296"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Acting as a team player and facilitating team work;</w:t>
            </w:r>
          </w:p>
          <w:p w14:paraId="2DE3FE5A" w14:textId="77777777" w:rsidR="003B3296" w:rsidRPr="004622EC" w:rsidRDefault="003B3296"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Facilitating and encouraging open communication in the team, communicating effectively;</w:t>
            </w:r>
          </w:p>
          <w:p w14:paraId="1EA191BF" w14:textId="77777777" w:rsidR="003B3296" w:rsidRPr="004622EC" w:rsidRDefault="003B3296"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Creating synergies through self-control;</w:t>
            </w:r>
          </w:p>
          <w:p w14:paraId="37611811" w14:textId="77777777" w:rsidR="003B3296" w:rsidRPr="004622EC" w:rsidRDefault="003B3296"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Managing conflict;</w:t>
            </w:r>
          </w:p>
          <w:p w14:paraId="22E50930" w14:textId="77777777" w:rsidR="003B3296" w:rsidRPr="004622EC" w:rsidRDefault="003B3296"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Learning and sharing knowledge and encourage the learning of others. Promoting learning and knowledge management/sharing is the responsibility of each staff member;</w:t>
            </w:r>
          </w:p>
          <w:p w14:paraId="479E3514" w14:textId="77777777" w:rsidR="003B3296" w:rsidRPr="004622EC" w:rsidRDefault="003B3296"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Informed and transparent decision-making.</w:t>
            </w:r>
          </w:p>
        </w:tc>
      </w:tr>
      <w:tr w:rsidR="003B3296" w:rsidRPr="00FD551A" w14:paraId="3C4B8B62" w14:textId="77777777" w:rsidTr="006D07CB">
        <w:tblPrEx>
          <w:shd w:val="clear" w:color="auto" w:fill="E0E0E0"/>
        </w:tblPrEx>
        <w:tc>
          <w:tcPr>
            <w:tcW w:w="10908" w:type="dxa"/>
            <w:gridSpan w:val="2"/>
            <w:shd w:val="clear" w:color="auto" w:fill="E0E0E0"/>
          </w:tcPr>
          <w:p w14:paraId="5C86D94F" w14:textId="77777777" w:rsidR="003B3296" w:rsidRPr="004622EC" w:rsidRDefault="003B3296" w:rsidP="00C12255">
            <w:pPr>
              <w:rPr>
                <w:b/>
                <w:bCs/>
                <w:sz w:val="20"/>
                <w:szCs w:val="20"/>
              </w:rPr>
            </w:pPr>
            <w:r w:rsidRPr="004622EC">
              <w:rPr>
                <w:b/>
                <w:bCs/>
                <w:sz w:val="20"/>
                <w:szCs w:val="20"/>
              </w:rPr>
              <w:t xml:space="preserve">V. Qualifications Requirements </w:t>
            </w:r>
          </w:p>
        </w:tc>
      </w:tr>
      <w:tr w:rsidR="003B3296" w:rsidRPr="00FD551A" w14:paraId="0DF9171D" w14:textId="77777777" w:rsidTr="006D07CB">
        <w:tblPrEx>
          <w:shd w:val="clear" w:color="auto" w:fill="E0E0E0"/>
        </w:tblPrEx>
        <w:trPr>
          <w:trHeight w:val="602"/>
        </w:trPr>
        <w:tc>
          <w:tcPr>
            <w:tcW w:w="2808" w:type="dxa"/>
            <w:tcBorders>
              <w:bottom w:val="single" w:sz="4" w:space="0" w:color="auto"/>
            </w:tcBorders>
          </w:tcPr>
          <w:p w14:paraId="392F06B8" w14:textId="77777777" w:rsidR="003B3296" w:rsidRPr="004622EC" w:rsidRDefault="003B3296" w:rsidP="00C12255">
            <w:pPr>
              <w:rPr>
                <w:sz w:val="20"/>
                <w:szCs w:val="20"/>
              </w:rPr>
            </w:pPr>
            <w:r w:rsidRPr="004622EC">
              <w:rPr>
                <w:sz w:val="20"/>
                <w:szCs w:val="20"/>
              </w:rPr>
              <w:t>Education:</w:t>
            </w:r>
          </w:p>
        </w:tc>
        <w:tc>
          <w:tcPr>
            <w:tcW w:w="8100" w:type="dxa"/>
            <w:tcBorders>
              <w:bottom w:val="single" w:sz="4" w:space="0" w:color="auto"/>
            </w:tcBorders>
          </w:tcPr>
          <w:p w14:paraId="5C218BB2" w14:textId="77777777" w:rsidR="003B3296" w:rsidRPr="00572FEB" w:rsidRDefault="00572FEB" w:rsidP="0020322F">
            <w:pPr>
              <w:numPr>
                <w:ilvl w:val="0"/>
                <w:numId w:val="33"/>
              </w:numPr>
              <w:tabs>
                <w:tab w:val="clear" w:pos="720"/>
                <w:tab w:val="num" w:pos="360"/>
              </w:tabs>
              <w:spacing w:before="100" w:beforeAutospacing="1" w:after="100" w:afterAutospacing="1"/>
              <w:ind w:left="360"/>
              <w:rPr>
                <w:color w:val="333333"/>
                <w:sz w:val="20"/>
                <w:szCs w:val="20"/>
              </w:rPr>
            </w:pPr>
            <w:r w:rsidRPr="00572FEB">
              <w:rPr>
                <w:color w:val="333333"/>
                <w:sz w:val="20"/>
                <w:szCs w:val="20"/>
              </w:rPr>
              <w:t>Bachelor’s or equivalent degree in finance, economics, international affairs, or other related field. Master’s or equivalent degrees will be at an advantage</w:t>
            </w:r>
          </w:p>
        </w:tc>
      </w:tr>
      <w:tr w:rsidR="003B3296" w:rsidRPr="00FD551A" w14:paraId="2EF0334B" w14:textId="77777777" w:rsidTr="006D07CB">
        <w:tblPrEx>
          <w:shd w:val="clear" w:color="auto" w:fill="E0E0E0"/>
        </w:tblPrEx>
        <w:trPr>
          <w:trHeight w:val="230"/>
        </w:trPr>
        <w:tc>
          <w:tcPr>
            <w:tcW w:w="2808" w:type="dxa"/>
            <w:tcBorders>
              <w:bottom w:val="single" w:sz="4" w:space="0" w:color="auto"/>
            </w:tcBorders>
          </w:tcPr>
          <w:p w14:paraId="27F87925" w14:textId="77777777" w:rsidR="003B3296" w:rsidRPr="004622EC" w:rsidRDefault="003B3296" w:rsidP="00C12255">
            <w:pPr>
              <w:rPr>
                <w:sz w:val="20"/>
                <w:szCs w:val="20"/>
              </w:rPr>
            </w:pPr>
            <w:r w:rsidRPr="004622EC">
              <w:rPr>
                <w:sz w:val="20"/>
                <w:szCs w:val="20"/>
              </w:rPr>
              <w:t>Experience:</w:t>
            </w:r>
          </w:p>
        </w:tc>
        <w:tc>
          <w:tcPr>
            <w:tcW w:w="8100" w:type="dxa"/>
            <w:tcBorders>
              <w:bottom w:val="single" w:sz="4" w:space="0" w:color="auto"/>
            </w:tcBorders>
          </w:tcPr>
          <w:p w14:paraId="024C5078" w14:textId="77777777" w:rsidR="00572FEB" w:rsidRPr="00572FEB" w:rsidRDefault="00572FEB" w:rsidP="0020322F">
            <w:pPr>
              <w:numPr>
                <w:ilvl w:val="0"/>
                <w:numId w:val="33"/>
              </w:numPr>
              <w:tabs>
                <w:tab w:val="clear" w:pos="720"/>
                <w:tab w:val="num" w:pos="360"/>
              </w:tabs>
              <w:spacing w:before="100" w:beforeAutospacing="1" w:after="100" w:afterAutospacing="1"/>
              <w:ind w:left="360"/>
              <w:rPr>
                <w:color w:val="333333"/>
                <w:sz w:val="20"/>
                <w:szCs w:val="20"/>
              </w:rPr>
            </w:pPr>
            <w:r w:rsidRPr="00572FEB">
              <w:rPr>
                <w:color w:val="333333"/>
                <w:sz w:val="20"/>
                <w:szCs w:val="20"/>
              </w:rPr>
              <w:t xml:space="preserve">At least 5 years of professional experience focused on finance. </w:t>
            </w:r>
          </w:p>
          <w:p w14:paraId="44B7BEC5" w14:textId="77777777" w:rsidR="00572FEB" w:rsidRPr="00572FEB" w:rsidRDefault="00572FEB" w:rsidP="0020322F">
            <w:pPr>
              <w:numPr>
                <w:ilvl w:val="0"/>
                <w:numId w:val="33"/>
              </w:numPr>
              <w:tabs>
                <w:tab w:val="clear" w:pos="720"/>
                <w:tab w:val="num" w:pos="360"/>
              </w:tabs>
              <w:spacing w:before="100" w:beforeAutospacing="1" w:after="100" w:afterAutospacing="1"/>
              <w:ind w:left="360"/>
              <w:rPr>
                <w:color w:val="333333"/>
                <w:sz w:val="20"/>
                <w:szCs w:val="20"/>
              </w:rPr>
            </w:pPr>
            <w:r w:rsidRPr="00572FEB">
              <w:rPr>
                <w:color w:val="333333"/>
                <w:sz w:val="20"/>
                <w:szCs w:val="20"/>
              </w:rPr>
              <w:t xml:space="preserve">Experience with preparation and implementation of public financial instruments to promote private sector investment in low-carbon energy. Specific experience with UNDP and GEF projects will be an advantage </w:t>
            </w:r>
          </w:p>
          <w:p w14:paraId="581E67BB" w14:textId="77777777" w:rsidR="00572FEB" w:rsidRPr="00572FEB" w:rsidRDefault="00572FEB" w:rsidP="0020322F">
            <w:pPr>
              <w:numPr>
                <w:ilvl w:val="0"/>
                <w:numId w:val="33"/>
              </w:numPr>
              <w:tabs>
                <w:tab w:val="clear" w:pos="720"/>
                <w:tab w:val="num" w:pos="360"/>
              </w:tabs>
              <w:spacing w:before="100" w:beforeAutospacing="1" w:after="100" w:afterAutospacing="1"/>
              <w:ind w:left="360"/>
              <w:rPr>
                <w:color w:val="333333"/>
                <w:sz w:val="20"/>
                <w:szCs w:val="20"/>
              </w:rPr>
            </w:pPr>
            <w:r w:rsidRPr="00572FEB">
              <w:rPr>
                <w:color w:val="333333"/>
                <w:sz w:val="20"/>
                <w:szCs w:val="20"/>
              </w:rPr>
              <w:t>Proven experience with financial modelling</w:t>
            </w:r>
          </w:p>
          <w:p w14:paraId="217E4B73" w14:textId="77777777" w:rsidR="00572FEB" w:rsidRPr="00572FEB" w:rsidRDefault="00572FEB" w:rsidP="0020322F">
            <w:pPr>
              <w:numPr>
                <w:ilvl w:val="0"/>
                <w:numId w:val="33"/>
              </w:numPr>
              <w:tabs>
                <w:tab w:val="clear" w:pos="720"/>
                <w:tab w:val="num" w:pos="360"/>
              </w:tabs>
              <w:spacing w:before="100" w:beforeAutospacing="1" w:after="100" w:afterAutospacing="1"/>
              <w:ind w:left="360"/>
              <w:rPr>
                <w:color w:val="333333"/>
                <w:sz w:val="20"/>
                <w:szCs w:val="20"/>
              </w:rPr>
            </w:pPr>
            <w:r w:rsidRPr="00572FEB">
              <w:rPr>
                <w:color w:val="333333"/>
                <w:sz w:val="20"/>
                <w:szCs w:val="20"/>
              </w:rPr>
              <w:t xml:space="preserve">Experience working in developing country contexts preferred </w:t>
            </w:r>
          </w:p>
          <w:p w14:paraId="05213E71" w14:textId="77777777" w:rsidR="00572FEB" w:rsidRPr="00572FEB" w:rsidRDefault="00572FEB" w:rsidP="0020322F">
            <w:pPr>
              <w:numPr>
                <w:ilvl w:val="0"/>
                <w:numId w:val="33"/>
              </w:numPr>
              <w:tabs>
                <w:tab w:val="clear" w:pos="720"/>
                <w:tab w:val="num" w:pos="360"/>
              </w:tabs>
              <w:spacing w:before="100" w:beforeAutospacing="1" w:after="100" w:afterAutospacing="1"/>
              <w:ind w:left="360"/>
              <w:rPr>
                <w:color w:val="333333"/>
                <w:sz w:val="20"/>
                <w:szCs w:val="20"/>
              </w:rPr>
            </w:pPr>
            <w:r w:rsidRPr="00572FEB">
              <w:rPr>
                <w:color w:val="333333"/>
                <w:sz w:val="20"/>
                <w:szCs w:val="20"/>
              </w:rPr>
              <w:t>Experience working with multilateral organizations and the UN system preferred</w:t>
            </w:r>
          </w:p>
          <w:p w14:paraId="67652959" w14:textId="77777777" w:rsidR="003B3296" w:rsidRPr="00572FEB" w:rsidRDefault="00572FEB" w:rsidP="0020322F">
            <w:pPr>
              <w:numPr>
                <w:ilvl w:val="0"/>
                <w:numId w:val="33"/>
              </w:numPr>
              <w:tabs>
                <w:tab w:val="clear" w:pos="720"/>
                <w:tab w:val="num" w:pos="360"/>
              </w:tabs>
              <w:spacing w:before="100" w:beforeAutospacing="1" w:after="100" w:afterAutospacing="1"/>
              <w:ind w:left="360"/>
              <w:rPr>
                <w:color w:val="333333"/>
                <w:sz w:val="20"/>
                <w:szCs w:val="20"/>
              </w:rPr>
            </w:pPr>
            <w:r w:rsidRPr="00572FEB">
              <w:rPr>
                <w:color w:val="333333"/>
                <w:sz w:val="20"/>
                <w:szCs w:val="20"/>
              </w:rPr>
              <w:t>Knowledge of MS Word, Excel and email communication software</w:t>
            </w:r>
          </w:p>
        </w:tc>
      </w:tr>
      <w:tr w:rsidR="003B3296" w:rsidRPr="00FD551A" w14:paraId="0281F6FA" w14:textId="77777777" w:rsidTr="006D07CB">
        <w:tblPrEx>
          <w:shd w:val="clear" w:color="auto" w:fill="E0E0E0"/>
        </w:tblPrEx>
        <w:trPr>
          <w:trHeight w:val="230"/>
        </w:trPr>
        <w:tc>
          <w:tcPr>
            <w:tcW w:w="2808" w:type="dxa"/>
          </w:tcPr>
          <w:p w14:paraId="4FEC96AB" w14:textId="77777777" w:rsidR="003B3296" w:rsidRPr="004622EC" w:rsidRDefault="003B3296" w:rsidP="00C12255">
            <w:pPr>
              <w:rPr>
                <w:sz w:val="20"/>
                <w:szCs w:val="20"/>
              </w:rPr>
            </w:pPr>
            <w:r w:rsidRPr="004622EC">
              <w:rPr>
                <w:sz w:val="20"/>
                <w:szCs w:val="20"/>
              </w:rPr>
              <w:t>Language Requirements:</w:t>
            </w:r>
          </w:p>
        </w:tc>
        <w:tc>
          <w:tcPr>
            <w:tcW w:w="8100" w:type="dxa"/>
          </w:tcPr>
          <w:p w14:paraId="425CF078" w14:textId="77777777" w:rsidR="003B3296" w:rsidRPr="00572FEB" w:rsidRDefault="00572FEB" w:rsidP="0020322F">
            <w:pPr>
              <w:numPr>
                <w:ilvl w:val="0"/>
                <w:numId w:val="33"/>
              </w:numPr>
              <w:tabs>
                <w:tab w:val="clear" w:pos="720"/>
                <w:tab w:val="num" w:pos="360"/>
              </w:tabs>
              <w:spacing w:before="100" w:beforeAutospacing="1" w:after="100" w:afterAutospacing="1"/>
              <w:ind w:left="360"/>
              <w:rPr>
                <w:color w:val="333333"/>
                <w:sz w:val="20"/>
                <w:szCs w:val="20"/>
              </w:rPr>
            </w:pPr>
            <w:r w:rsidRPr="00572FEB">
              <w:rPr>
                <w:color w:val="333333"/>
                <w:sz w:val="20"/>
                <w:szCs w:val="20"/>
              </w:rPr>
              <w:t>Fluency in English required. Excellent drafting skills required</w:t>
            </w:r>
          </w:p>
        </w:tc>
      </w:tr>
      <w:tr w:rsidR="003B3296" w:rsidRPr="00FD551A" w14:paraId="7F7A1085" w14:textId="77777777" w:rsidTr="006D07CB">
        <w:tblPrEx>
          <w:shd w:val="clear" w:color="auto" w:fill="E0E0E0"/>
        </w:tblPrEx>
        <w:trPr>
          <w:trHeight w:val="1258"/>
        </w:trPr>
        <w:tc>
          <w:tcPr>
            <w:tcW w:w="2808" w:type="dxa"/>
            <w:tcBorders>
              <w:bottom w:val="single" w:sz="4" w:space="0" w:color="auto"/>
            </w:tcBorders>
          </w:tcPr>
          <w:p w14:paraId="4EEC7DF5" w14:textId="77777777" w:rsidR="003B3296" w:rsidRPr="004622EC" w:rsidRDefault="003B3296" w:rsidP="00C12255">
            <w:pPr>
              <w:rPr>
                <w:sz w:val="20"/>
                <w:szCs w:val="20"/>
              </w:rPr>
            </w:pPr>
            <w:r w:rsidRPr="004622EC">
              <w:rPr>
                <w:sz w:val="20"/>
                <w:szCs w:val="20"/>
              </w:rPr>
              <w:t>Others:</w:t>
            </w:r>
          </w:p>
        </w:tc>
        <w:tc>
          <w:tcPr>
            <w:tcW w:w="8100" w:type="dxa"/>
            <w:tcBorders>
              <w:bottom w:val="single" w:sz="4" w:space="0" w:color="auto"/>
            </w:tcBorders>
          </w:tcPr>
          <w:p w14:paraId="61A8EF21" w14:textId="77777777" w:rsidR="003B3296" w:rsidRPr="004622EC" w:rsidRDefault="003B3296"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Familiarity with small PV</w:t>
            </w:r>
            <w:r>
              <w:rPr>
                <w:color w:val="333333"/>
                <w:sz w:val="20"/>
                <w:szCs w:val="20"/>
              </w:rPr>
              <w:t xml:space="preserve"> and </w:t>
            </w:r>
            <w:r w:rsidRPr="002B343A">
              <w:rPr>
                <w:color w:val="333333"/>
                <w:sz w:val="20"/>
                <w:szCs w:val="20"/>
              </w:rPr>
              <w:t>wind</w:t>
            </w:r>
            <w:r w:rsidRPr="004622EC">
              <w:rPr>
                <w:color w:val="333333"/>
                <w:sz w:val="20"/>
                <w:szCs w:val="20"/>
              </w:rPr>
              <w:t xml:space="preserve"> </w:t>
            </w:r>
            <w:r>
              <w:rPr>
                <w:color w:val="333333"/>
                <w:sz w:val="20"/>
                <w:szCs w:val="20"/>
              </w:rPr>
              <w:t xml:space="preserve">technologies </w:t>
            </w:r>
            <w:r w:rsidRPr="004622EC">
              <w:rPr>
                <w:color w:val="333333"/>
                <w:sz w:val="20"/>
                <w:szCs w:val="20"/>
              </w:rPr>
              <w:t xml:space="preserve">and engineering economics </w:t>
            </w:r>
          </w:p>
          <w:p w14:paraId="28EAAEA4" w14:textId="77777777" w:rsidR="003B3296" w:rsidRPr="004622EC" w:rsidRDefault="003B3296"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Excellent written and verbal communication skills</w:t>
            </w:r>
          </w:p>
          <w:p w14:paraId="4E3A8166" w14:textId="77777777" w:rsidR="003B3296" w:rsidRPr="004622EC" w:rsidRDefault="003B3296" w:rsidP="0020322F">
            <w:pPr>
              <w:numPr>
                <w:ilvl w:val="0"/>
                <w:numId w:val="33"/>
              </w:numPr>
              <w:tabs>
                <w:tab w:val="clear" w:pos="720"/>
                <w:tab w:val="num" w:pos="360"/>
              </w:tabs>
              <w:spacing w:before="100" w:beforeAutospacing="1" w:after="100" w:afterAutospacing="1"/>
              <w:ind w:left="360"/>
              <w:rPr>
                <w:color w:val="333333"/>
                <w:sz w:val="20"/>
                <w:szCs w:val="20"/>
              </w:rPr>
            </w:pPr>
            <w:r w:rsidRPr="004622EC">
              <w:rPr>
                <w:color w:val="333333"/>
                <w:sz w:val="20"/>
                <w:szCs w:val="20"/>
              </w:rPr>
              <w:t>Strong organizational skills, ability to track and juggle multiple tasks</w:t>
            </w:r>
          </w:p>
          <w:p w14:paraId="35830C42" w14:textId="77777777" w:rsidR="003B3296" w:rsidRPr="004622EC" w:rsidRDefault="003B3296" w:rsidP="0020322F">
            <w:pPr>
              <w:numPr>
                <w:ilvl w:val="0"/>
                <w:numId w:val="33"/>
              </w:numPr>
              <w:tabs>
                <w:tab w:val="clear" w:pos="720"/>
                <w:tab w:val="num" w:pos="360"/>
              </w:tabs>
              <w:spacing w:before="100" w:beforeAutospacing="1" w:after="100" w:afterAutospacing="1"/>
              <w:ind w:left="360"/>
              <w:rPr>
                <w:sz w:val="20"/>
                <w:szCs w:val="20"/>
              </w:rPr>
            </w:pPr>
            <w:r w:rsidRPr="004622EC">
              <w:rPr>
                <w:color w:val="333333"/>
                <w:sz w:val="20"/>
                <w:szCs w:val="20"/>
              </w:rPr>
              <w:t>Good consultation and collaboration skills</w:t>
            </w:r>
          </w:p>
        </w:tc>
      </w:tr>
    </w:tbl>
    <w:p w14:paraId="08D8C8A3" w14:textId="77777777" w:rsidR="003B3296" w:rsidRDefault="003B3296" w:rsidP="003C1081">
      <w:pPr>
        <w:rPr>
          <w:rFonts w:cs="Times"/>
          <w:b/>
          <w:bCs/>
        </w:rPr>
      </w:pPr>
    </w:p>
    <w:p w14:paraId="7F95D4AD" w14:textId="77777777" w:rsidR="006007CB" w:rsidRDefault="006007CB" w:rsidP="003C1081">
      <w:pPr>
        <w:rPr>
          <w:rFonts w:cs="Times"/>
          <w:b/>
          <w:bCs/>
        </w:rPr>
      </w:pPr>
    </w:p>
    <w:p w14:paraId="320CEB48" w14:textId="77777777" w:rsidR="006007CB" w:rsidRDefault="006007CB" w:rsidP="003C1081">
      <w:pPr>
        <w:rPr>
          <w:rFonts w:cs="Times"/>
          <w:b/>
          <w:bCs/>
        </w:rPr>
        <w:sectPr w:rsidR="006007CB" w:rsidSect="004622EC">
          <w:headerReference w:type="default" r:id="rId50"/>
          <w:footerReference w:type="even" r:id="rId51"/>
          <w:footerReference w:type="default" r:id="rId52"/>
          <w:footerReference w:type="first" r:id="rId53"/>
          <w:pgSz w:w="11900" w:h="16840" w:code="1"/>
          <w:pgMar w:top="720" w:right="720" w:bottom="720" w:left="720" w:header="720" w:footer="720" w:gutter="0"/>
          <w:cols w:space="720"/>
          <w:docGrid w:linePitch="360"/>
        </w:sectPr>
      </w:pPr>
    </w:p>
    <w:p w14:paraId="34AAFB81" w14:textId="77777777" w:rsidR="00195DC7" w:rsidRPr="004622EC" w:rsidRDefault="003269A4" w:rsidP="00195DC7">
      <w:pPr>
        <w:pStyle w:val="2"/>
        <w:numPr>
          <w:ilvl w:val="0"/>
          <w:numId w:val="0"/>
        </w:numPr>
        <w:rPr>
          <w:rFonts w:asciiTheme="majorHAnsi" w:hAnsiTheme="majorHAnsi"/>
        </w:rPr>
      </w:pPr>
      <w:bookmarkStart w:id="131" w:name="_Ref476665193"/>
      <w:bookmarkStart w:id="132" w:name="_Toc479693896"/>
      <w:bookmarkStart w:id="133" w:name="_Ref476653740"/>
      <w:r>
        <w:rPr>
          <w:rFonts w:asciiTheme="majorHAnsi" w:hAnsiTheme="majorHAnsi"/>
        </w:rPr>
        <w:t>Annex F</w:t>
      </w:r>
      <w:r w:rsidR="00195DC7">
        <w:rPr>
          <w:rFonts w:asciiTheme="majorHAnsi" w:hAnsiTheme="majorHAnsi"/>
        </w:rPr>
        <w:t>.</w:t>
      </w:r>
      <w:r w:rsidR="00195DC7" w:rsidRPr="004622EC">
        <w:rPr>
          <w:rFonts w:asciiTheme="majorHAnsi" w:hAnsiTheme="majorHAnsi"/>
        </w:rPr>
        <w:t xml:space="preserve"> Social and Environmental Screening</w:t>
      </w:r>
      <w:bookmarkEnd w:id="131"/>
      <w:bookmarkEnd w:id="132"/>
      <w:r w:rsidR="00195DC7" w:rsidRPr="004622EC">
        <w:rPr>
          <w:rFonts w:asciiTheme="majorHAnsi" w:hAnsiTheme="majorHAnsi"/>
        </w:rPr>
        <w:t xml:space="preserve"> </w:t>
      </w:r>
    </w:p>
    <w:p w14:paraId="1E7F4F3E" w14:textId="302622C6" w:rsidR="00195DC7" w:rsidRDefault="00195DC7" w:rsidP="00195DC7">
      <w:pPr>
        <w:rPr>
          <w:rFonts w:ascii="Arial" w:eastAsia="MS Mincho" w:hAnsi="Arial"/>
          <w:i/>
          <w:szCs w:val="20"/>
        </w:rPr>
      </w:pPr>
    </w:p>
    <w:p w14:paraId="4210D295" w14:textId="0298C48F" w:rsidR="00ED7D10" w:rsidRPr="00ED7D10" w:rsidRDefault="00ED7D10" w:rsidP="00ED7D10">
      <w:pPr>
        <w:pStyle w:val="2"/>
        <w:numPr>
          <w:ilvl w:val="0"/>
          <w:numId w:val="0"/>
        </w:numPr>
        <w:rPr>
          <w:rFonts w:asciiTheme="majorHAnsi" w:hAnsiTheme="majorHAnsi"/>
          <w:b w:val="0"/>
        </w:rPr>
      </w:pPr>
      <w:r w:rsidRPr="00ED7D10">
        <w:rPr>
          <w:rFonts w:asciiTheme="majorHAnsi" w:hAnsiTheme="majorHAnsi"/>
          <w:b w:val="0"/>
        </w:rPr>
        <w:t>Please see it in a separate file.</w:t>
      </w:r>
    </w:p>
    <w:p w14:paraId="350AD974" w14:textId="77777777" w:rsidR="00D3369A" w:rsidRPr="00D3369A" w:rsidRDefault="00D3369A" w:rsidP="00D3369A">
      <w:pPr>
        <w:pStyle w:val="2"/>
        <w:pageBreakBefore/>
        <w:numPr>
          <w:ilvl w:val="0"/>
          <w:numId w:val="0"/>
        </w:numPr>
        <w:rPr>
          <w:rFonts w:asciiTheme="majorHAnsi" w:hAnsiTheme="majorHAnsi"/>
        </w:rPr>
      </w:pPr>
      <w:bookmarkStart w:id="134" w:name="_Ref476665122"/>
      <w:bookmarkStart w:id="135" w:name="_Toc479693897"/>
      <w:r w:rsidRPr="00D3369A">
        <w:rPr>
          <w:rFonts w:asciiTheme="majorHAnsi" w:hAnsiTheme="majorHAnsi"/>
        </w:rPr>
        <w:t>Annex G. Environmental and Social Management Plan (ESMP) for moderate and high risk projects only</w:t>
      </w:r>
      <w:bookmarkEnd w:id="134"/>
      <w:bookmarkEnd w:id="135"/>
    </w:p>
    <w:p w14:paraId="7C44F9D3" w14:textId="77777777" w:rsidR="00D3369A" w:rsidRDefault="00D3369A" w:rsidP="00195DC7">
      <w:pPr>
        <w:rPr>
          <w:rFonts w:ascii="Arial Narrow" w:hAnsi="Arial Narrow"/>
          <w:b/>
          <w:iCs/>
        </w:rPr>
      </w:pPr>
    </w:p>
    <w:p w14:paraId="5CDF60CE" w14:textId="44217462" w:rsidR="005070E3" w:rsidRPr="005070E3" w:rsidRDefault="00EF714B" w:rsidP="005F1A1B">
      <w:pPr>
        <w:rPr>
          <w:lang w:val="en-GB"/>
        </w:rPr>
      </w:pPr>
      <w:r w:rsidRPr="005070E3">
        <w:rPr>
          <w:iCs/>
        </w:rPr>
        <w:t>T</w:t>
      </w:r>
      <w:r w:rsidR="00DB1EB8" w:rsidRPr="005070E3">
        <w:rPr>
          <w:iCs/>
        </w:rPr>
        <w:t xml:space="preserve">his project has identified as </w:t>
      </w:r>
      <w:r w:rsidR="006F0134" w:rsidRPr="005070E3">
        <w:rPr>
          <w:iCs/>
        </w:rPr>
        <w:t>“moderate” risk</w:t>
      </w:r>
      <w:r w:rsidR="00460CD1" w:rsidRPr="005070E3">
        <w:rPr>
          <w:iCs/>
        </w:rPr>
        <w:t>,</w:t>
      </w:r>
      <w:r w:rsidR="006F0134" w:rsidRPr="005070E3">
        <w:rPr>
          <w:iCs/>
        </w:rPr>
        <w:t xml:space="preserve"> </w:t>
      </w:r>
      <w:r w:rsidR="005070E3" w:rsidRPr="005070E3">
        <w:rPr>
          <w:iCs/>
        </w:rPr>
        <w:t>therefore an ESMP will be developed during the project inception period.</w:t>
      </w:r>
    </w:p>
    <w:p w14:paraId="0091B9CC" w14:textId="77777777" w:rsidR="005070E3" w:rsidRPr="005070E3" w:rsidRDefault="005070E3" w:rsidP="005F1A1B">
      <w:pPr>
        <w:rPr>
          <w:lang w:val="en-GB"/>
        </w:rPr>
      </w:pPr>
    </w:p>
    <w:p w14:paraId="71917D5B" w14:textId="77777777" w:rsidR="005F1A1B" w:rsidRPr="005070E3" w:rsidRDefault="005F1A1B" w:rsidP="005F1A1B">
      <w:pPr>
        <w:rPr>
          <w:lang w:val="en-GB"/>
        </w:rPr>
      </w:pPr>
      <w:r w:rsidRPr="005070E3">
        <w:rPr>
          <w:lang w:val="en-GB"/>
        </w:rPr>
        <w:t>The objective of the ESMP is to ensure compliance of releva</w:t>
      </w:r>
      <w:r w:rsidR="00C95138">
        <w:rPr>
          <w:lang w:val="en-GB"/>
        </w:rPr>
        <w:t>nt policies and to direct the Pr</w:t>
      </w:r>
      <w:r w:rsidRPr="005070E3">
        <w:rPr>
          <w:lang w:val="en-GB"/>
        </w:rPr>
        <w:t xml:space="preserve">oject personnel and stakeholders during the implementation of the project in tackling the social and environmental concerns identified. Among those, the ESMP aims to manage the </w:t>
      </w:r>
      <w:r w:rsidR="005070E3" w:rsidRPr="005070E3">
        <w:rPr>
          <w:lang w:val="en-GB"/>
        </w:rPr>
        <w:t>e</w:t>
      </w:r>
      <w:r w:rsidR="00C95138">
        <w:rPr>
          <w:lang w:val="en-GB"/>
        </w:rPr>
        <w:t>nvironmental and</w:t>
      </w:r>
      <w:r w:rsidRPr="005070E3">
        <w:rPr>
          <w:lang w:val="en-GB"/>
        </w:rPr>
        <w:t xml:space="preserve"> </w:t>
      </w:r>
      <w:r w:rsidR="005070E3" w:rsidRPr="005070E3">
        <w:rPr>
          <w:lang w:val="en-GB"/>
        </w:rPr>
        <w:t>social</w:t>
      </w:r>
      <w:r w:rsidRPr="005070E3">
        <w:rPr>
          <w:lang w:val="en-GB"/>
        </w:rPr>
        <w:t xml:space="preserve"> impacts through appropriate mitigation measures that may arise with the implementation of the project</w:t>
      </w:r>
      <w:r w:rsidR="005070E3" w:rsidRPr="005070E3">
        <w:rPr>
          <w:lang w:val="en-GB"/>
        </w:rPr>
        <w:t>. The ESMP will</w:t>
      </w:r>
      <w:r w:rsidRPr="005070E3">
        <w:rPr>
          <w:lang w:val="en-GB"/>
        </w:rPr>
        <w:t xml:space="preserve"> provid</w:t>
      </w:r>
      <w:r w:rsidR="005070E3" w:rsidRPr="005070E3">
        <w:rPr>
          <w:lang w:val="en-GB"/>
        </w:rPr>
        <w:t>e</w:t>
      </w:r>
      <w:r w:rsidRPr="005070E3">
        <w:rPr>
          <w:lang w:val="en-GB"/>
        </w:rPr>
        <w:t xml:space="preserve"> specific guidance to </w:t>
      </w:r>
      <w:r w:rsidR="005070E3" w:rsidRPr="005070E3">
        <w:rPr>
          <w:lang w:val="en-GB"/>
        </w:rPr>
        <w:t>be followed consistent with any existing environmental and social impact</w:t>
      </w:r>
      <w:r w:rsidRPr="005070E3">
        <w:rPr>
          <w:lang w:val="en-GB"/>
        </w:rPr>
        <w:t xml:space="preserve"> studies of working sites </w:t>
      </w:r>
      <w:r w:rsidR="005070E3" w:rsidRPr="005070E3">
        <w:rPr>
          <w:lang w:val="en-GB"/>
        </w:rPr>
        <w:t xml:space="preserve">(to be identified) </w:t>
      </w:r>
      <w:r w:rsidRPr="005070E3">
        <w:rPr>
          <w:lang w:val="en-GB"/>
        </w:rPr>
        <w:t>but also the policies at the local, national and international level</w:t>
      </w:r>
      <w:r w:rsidR="005070E3" w:rsidRPr="005070E3">
        <w:rPr>
          <w:lang w:val="en-GB"/>
        </w:rPr>
        <w:t>,</w:t>
      </w:r>
      <w:r w:rsidRPr="005070E3">
        <w:rPr>
          <w:lang w:val="en-GB"/>
        </w:rPr>
        <w:t xml:space="preserve"> and the UNDP. </w:t>
      </w:r>
    </w:p>
    <w:p w14:paraId="7582F961" w14:textId="77777777" w:rsidR="001F4629" w:rsidRPr="005070E3" w:rsidRDefault="001F4629" w:rsidP="00195DC7">
      <w:pPr>
        <w:rPr>
          <w:iCs/>
        </w:rPr>
      </w:pPr>
    </w:p>
    <w:p w14:paraId="3CA5E437" w14:textId="77777777" w:rsidR="005070E3" w:rsidRPr="005070E3" w:rsidRDefault="005070E3" w:rsidP="005070E3">
      <w:pPr>
        <w:rPr>
          <w:lang w:val="en-GB"/>
        </w:rPr>
      </w:pPr>
      <w:r w:rsidRPr="005070E3">
        <w:rPr>
          <w:iCs/>
        </w:rPr>
        <w:t xml:space="preserve">The 'moderate' risk rating is </w:t>
      </w:r>
      <w:r w:rsidR="00C95138">
        <w:rPr>
          <w:iCs/>
        </w:rPr>
        <w:t>due main</w:t>
      </w:r>
      <w:r w:rsidRPr="005070E3">
        <w:rPr>
          <w:iCs/>
        </w:rPr>
        <w:t xml:space="preserve">ly to potential investments that may require construction works. </w:t>
      </w:r>
      <w:r w:rsidRPr="005070E3">
        <w:rPr>
          <w:lang w:val="en-GB"/>
        </w:rPr>
        <w:t>The preliminary consideration of potential environmental and social risks mainly relate to operation and management of renewable energy systems, although sitting of the works may also involve moderate impacts.</w:t>
      </w:r>
    </w:p>
    <w:p w14:paraId="4330F410" w14:textId="77777777" w:rsidR="005070E3" w:rsidRPr="005070E3" w:rsidRDefault="005070E3" w:rsidP="005070E3">
      <w:pPr>
        <w:rPr>
          <w:lang w:val="en-GB"/>
        </w:rPr>
      </w:pPr>
    </w:p>
    <w:p w14:paraId="480FDABC" w14:textId="77777777" w:rsidR="005070E3" w:rsidRPr="005070E3" w:rsidRDefault="005070E3" w:rsidP="005070E3">
      <w:pPr>
        <w:rPr>
          <w:lang w:val="en-GB"/>
        </w:rPr>
      </w:pPr>
      <w:r w:rsidRPr="005070E3">
        <w:rPr>
          <w:lang w:val="en-GB"/>
        </w:rPr>
        <w:t xml:space="preserve">It is expected that the Project will lead to sound positive environmental impacts due to the reduction of GHG emissions. It is also expected that the Project will lead to positive social impacts. Potential negative impacts will be identified and mitigation measures will be applied. These may relate to typical challenges faced by utility-scale and small-scale renewables investments, including health and safety to personnel and local communities and the environment. </w:t>
      </w:r>
    </w:p>
    <w:p w14:paraId="23473EBB" w14:textId="77777777" w:rsidR="005070E3" w:rsidRPr="005070E3" w:rsidRDefault="005070E3" w:rsidP="005070E3">
      <w:pPr>
        <w:rPr>
          <w:lang w:val="en-GB"/>
        </w:rPr>
      </w:pPr>
    </w:p>
    <w:p w14:paraId="7F3E5D01" w14:textId="77777777" w:rsidR="005070E3" w:rsidRPr="005070E3" w:rsidRDefault="005070E3" w:rsidP="005070E3">
      <w:pPr>
        <w:rPr>
          <w:lang w:val="en-GB"/>
        </w:rPr>
      </w:pPr>
      <w:r w:rsidRPr="005070E3">
        <w:rPr>
          <w:lang w:val="en-GB"/>
        </w:rPr>
        <w:t>The ESMP will include the following sections:</w:t>
      </w:r>
    </w:p>
    <w:p w14:paraId="1682DDBC" w14:textId="77777777" w:rsidR="005070E3" w:rsidRPr="005070E3" w:rsidRDefault="005070E3" w:rsidP="005070E3">
      <w:pPr>
        <w:pStyle w:val="afb"/>
        <w:numPr>
          <w:ilvl w:val="0"/>
          <w:numId w:val="54"/>
        </w:numPr>
        <w:contextualSpacing/>
        <w:rPr>
          <w:rFonts w:ascii="Calibri" w:hAnsi="Calibri"/>
          <w:lang w:val="en-GB"/>
        </w:rPr>
      </w:pPr>
      <w:r w:rsidRPr="005070E3">
        <w:rPr>
          <w:rFonts w:ascii="Calibri" w:hAnsi="Calibri"/>
          <w:lang w:val="en-GB"/>
        </w:rPr>
        <w:t>Section 1 – Project scope and coverage, and objectives of the ESMP</w:t>
      </w:r>
    </w:p>
    <w:p w14:paraId="35813E34" w14:textId="77777777" w:rsidR="005070E3" w:rsidRPr="005070E3" w:rsidRDefault="005070E3" w:rsidP="005070E3">
      <w:pPr>
        <w:pStyle w:val="afb"/>
        <w:numPr>
          <w:ilvl w:val="0"/>
          <w:numId w:val="54"/>
        </w:numPr>
        <w:contextualSpacing/>
        <w:rPr>
          <w:rFonts w:ascii="Calibri" w:hAnsi="Calibri"/>
          <w:lang w:val="en-GB"/>
        </w:rPr>
      </w:pPr>
      <w:r w:rsidRPr="005070E3">
        <w:rPr>
          <w:rFonts w:ascii="Calibri" w:hAnsi="Calibri"/>
          <w:lang w:val="en-GB"/>
        </w:rPr>
        <w:t>Section 2 – Potential social and environmental impacts due to the project activities and the methodology used</w:t>
      </w:r>
    </w:p>
    <w:p w14:paraId="3A3C209D" w14:textId="77777777" w:rsidR="005070E3" w:rsidRPr="005070E3" w:rsidRDefault="005070E3" w:rsidP="005070E3">
      <w:pPr>
        <w:pStyle w:val="afb"/>
        <w:numPr>
          <w:ilvl w:val="0"/>
          <w:numId w:val="54"/>
        </w:numPr>
        <w:contextualSpacing/>
        <w:rPr>
          <w:rFonts w:ascii="Calibri" w:hAnsi="Calibri"/>
          <w:lang w:val="en-GB"/>
        </w:rPr>
      </w:pPr>
      <w:r w:rsidRPr="005070E3">
        <w:rPr>
          <w:rFonts w:ascii="Calibri" w:hAnsi="Calibri"/>
          <w:lang w:val="en-GB"/>
        </w:rPr>
        <w:t>Section 3 – Analysis of the legal and institutional framework relevant to the safeguards</w:t>
      </w:r>
    </w:p>
    <w:p w14:paraId="2FBC0B11" w14:textId="77777777" w:rsidR="005070E3" w:rsidRPr="005070E3" w:rsidRDefault="005070E3" w:rsidP="005070E3">
      <w:pPr>
        <w:pStyle w:val="afb"/>
        <w:numPr>
          <w:ilvl w:val="0"/>
          <w:numId w:val="54"/>
        </w:numPr>
        <w:contextualSpacing/>
        <w:rPr>
          <w:rFonts w:ascii="Calibri" w:hAnsi="Calibri"/>
          <w:lang w:val="en-GB"/>
        </w:rPr>
      </w:pPr>
      <w:r w:rsidRPr="005070E3">
        <w:rPr>
          <w:rFonts w:ascii="Calibri" w:hAnsi="Calibri"/>
          <w:lang w:val="en-GB"/>
        </w:rPr>
        <w:t xml:space="preserve">Section 4 – Procedures used for screening, assessment and management of environmental and social risks identified. </w:t>
      </w:r>
    </w:p>
    <w:p w14:paraId="5C015175" w14:textId="77777777" w:rsidR="005070E3" w:rsidRPr="005070E3" w:rsidRDefault="005070E3" w:rsidP="005070E3">
      <w:pPr>
        <w:pStyle w:val="afb"/>
        <w:numPr>
          <w:ilvl w:val="0"/>
          <w:numId w:val="54"/>
        </w:numPr>
        <w:contextualSpacing/>
        <w:rPr>
          <w:rFonts w:ascii="Calibri" w:hAnsi="Calibri"/>
          <w:lang w:val="en-GB"/>
        </w:rPr>
      </w:pPr>
      <w:r w:rsidRPr="005070E3">
        <w:rPr>
          <w:rFonts w:ascii="Calibri" w:hAnsi="Calibri"/>
          <w:lang w:val="en-GB"/>
        </w:rPr>
        <w:t>Section 5 – Overview of institutional capacity assessment and building, including the assignment of responsibilities along the project cycle.</w:t>
      </w:r>
    </w:p>
    <w:p w14:paraId="399EDDE1" w14:textId="77777777" w:rsidR="005070E3" w:rsidRPr="005070E3" w:rsidRDefault="005070E3" w:rsidP="005070E3">
      <w:pPr>
        <w:pStyle w:val="afb"/>
        <w:numPr>
          <w:ilvl w:val="0"/>
          <w:numId w:val="54"/>
        </w:numPr>
        <w:contextualSpacing/>
        <w:rPr>
          <w:rFonts w:ascii="Calibri" w:hAnsi="Calibri"/>
          <w:lang w:val="en-GB"/>
        </w:rPr>
      </w:pPr>
      <w:r w:rsidRPr="005070E3">
        <w:rPr>
          <w:rFonts w:ascii="Calibri" w:hAnsi="Calibri"/>
          <w:lang w:val="en-GB"/>
        </w:rPr>
        <w:t xml:space="preserve">Section 6 – Stakeholder engagement and disclosure process. </w:t>
      </w:r>
    </w:p>
    <w:p w14:paraId="1EB2DB8E" w14:textId="77777777" w:rsidR="005070E3" w:rsidRPr="005070E3" w:rsidRDefault="005070E3" w:rsidP="005070E3">
      <w:pPr>
        <w:pStyle w:val="afb"/>
        <w:numPr>
          <w:ilvl w:val="0"/>
          <w:numId w:val="54"/>
        </w:numPr>
        <w:contextualSpacing/>
        <w:rPr>
          <w:rFonts w:ascii="Calibri" w:hAnsi="Calibri"/>
          <w:lang w:val="en-GB"/>
        </w:rPr>
      </w:pPr>
      <w:r w:rsidRPr="005070E3">
        <w:rPr>
          <w:rFonts w:ascii="Calibri" w:hAnsi="Calibri"/>
          <w:lang w:val="en-GB"/>
        </w:rPr>
        <w:t xml:space="preserve">Section 7 – UNDP’s grievance redress mechanism to be utilised during the project. </w:t>
      </w:r>
    </w:p>
    <w:p w14:paraId="4E9D8FC1" w14:textId="77777777" w:rsidR="005070E3" w:rsidRPr="005070E3" w:rsidRDefault="005070E3" w:rsidP="005070E3">
      <w:pPr>
        <w:pStyle w:val="afb"/>
        <w:numPr>
          <w:ilvl w:val="0"/>
          <w:numId w:val="54"/>
        </w:numPr>
        <w:contextualSpacing/>
        <w:rPr>
          <w:rFonts w:ascii="Calibri" w:hAnsi="Calibri"/>
          <w:lang w:val="en-GB"/>
        </w:rPr>
      </w:pPr>
      <w:r w:rsidRPr="005070E3">
        <w:rPr>
          <w:rFonts w:ascii="Calibri" w:hAnsi="Calibri"/>
          <w:lang w:val="en-GB"/>
        </w:rPr>
        <w:t>Section 8 – Monitoring and evaluation arrangements</w:t>
      </w:r>
    </w:p>
    <w:p w14:paraId="0DA0CFA9" w14:textId="77777777" w:rsidR="005070E3" w:rsidRPr="005070E3" w:rsidRDefault="005070E3" w:rsidP="005070E3">
      <w:pPr>
        <w:pStyle w:val="afb"/>
        <w:numPr>
          <w:ilvl w:val="0"/>
          <w:numId w:val="54"/>
        </w:numPr>
        <w:contextualSpacing/>
        <w:rPr>
          <w:rFonts w:ascii="Calibri" w:hAnsi="Calibri"/>
          <w:lang w:val="en-GB"/>
        </w:rPr>
      </w:pPr>
      <w:r w:rsidRPr="005070E3">
        <w:rPr>
          <w:rFonts w:ascii="Calibri" w:hAnsi="Calibri"/>
          <w:lang w:val="en-GB"/>
        </w:rPr>
        <w:t xml:space="preserve">Section 9 – Budget for ESMP implementation. </w:t>
      </w:r>
    </w:p>
    <w:p w14:paraId="6D4B3320" w14:textId="77777777" w:rsidR="005070E3" w:rsidRPr="005070E3" w:rsidRDefault="005070E3" w:rsidP="005070E3">
      <w:pPr>
        <w:ind w:firstLine="720"/>
        <w:rPr>
          <w:lang w:val="en-GB"/>
        </w:rPr>
      </w:pPr>
    </w:p>
    <w:p w14:paraId="78F53D52" w14:textId="77777777" w:rsidR="001F4629" w:rsidRDefault="005070E3" w:rsidP="00195DC7">
      <w:pPr>
        <w:rPr>
          <w:iCs/>
        </w:rPr>
      </w:pPr>
      <w:r w:rsidRPr="005070E3">
        <w:rPr>
          <w:lang w:val="en-GB"/>
        </w:rPr>
        <w:t>The ESMP will be submitted to UNDP-GEF for review and approval.</w:t>
      </w:r>
    </w:p>
    <w:p w14:paraId="733E65CD" w14:textId="77777777" w:rsidR="004658CA" w:rsidRPr="00D3369A" w:rsidRDefault="004658CA" w:rsidP="004658CA">
      <w:pPr>
        <w:pStyle w:val="2"/>
        <w:pageBreakBefore/>
        <w:numPr>
          <w:ilvl w:val="0"/>
          <w:numId w:val="0"/>
        </w:numPr>
        <w:rPr>
          <w:rFonts w:asciiTheme="majorHAnsi" w:hAnsiTheme="majorHAnsi"/>
        </w:rPr>
      </w:pPr>
      <w:bookmarkStart w:id="136" w:name="_Ref476665210"/>
      <w:bookmarkStart w:id="137" w:name="_Toc479693898"/>
      <w:r>
        <w:rPr>
          <w:rFonts w:asciiTheme="majorHAnsi" w:hAnsiTheme="majorHAnsi"/>
        </w:rPr>
        <w:t>Annex H</w:t>
      </w:r>
      <w:r w:rsidRPr="00D3369A">
        <w:rPr>
          <w:rFonts w:asciiTheme="majorHAnsi" w:hAnsiTheme="majorHAnsi"/>
        </w:rPr>
        <w:t xml:space="preserve">. </w:t>
      </w:r>
      <w:r>
        <w:rPr>
          <w:rFonts w:asciiTheme="majorHAnsi" w:hAnsiTheme="majorHAnsi"/>
        </w:rPr>
        <w:t>UNDP Project Quality Assurance Report</w:t>
      </w:r>
      <w:bookmarkEnd w:id="136"/>
      <w:bookmarkEnd w:id="137"/>
    </w:p>
    <w:p w14:paraId="3BD462C8" w14:textId="77777777" w:rsidR="004658CA" w:rsidRDefault="004658CA" w:rsidP="004658CA">
      <w:pPr>
        <w:rPr>
          <w:rFonts w:ascii="Arial Narrow" w:hAnsi="Arial Narrow"/>
          <w:b/>
          <w:iCs/>
        </w:rPr>
      </w:pPr>
    </w:p>
    <w:p w14:paraId="5DDE6F7E" w14:textId="77777777" w:rsidR="004658CA" w:rsidRDefault="004658CA" w:rsidP="004658CA">
      <w:pPr>
        <w:rPr>
          <w:iCs/>
        </w:rPr>
      </w:pPr>
      <w:r>
        <w:rPr>
          <w:iCs/>
        </w:rPr>
        <w:t>To be completed by UNDP Country Office</w:t>
      </w:r>
      <w:r w:rsidR="007F05F9">
        <w:rPr>
          <w:iCs/>
        </w:rPr>
        <w:t xml:space="preserve"> prior to when the UNDP-GEF delegation of authority is issued.</w:t>
      </w:r>
    </w:p>
    <w:p w14:paraId="396810A3" w14:textId="77777777" w:rsidR="004658CA" w:rsidRPr="00D3369A" w:rsidRDefault="004658CA" w:rsidP="00195DC7">
      <w:pPr>
        <w:rPr>
          <w:iCs/>
        </w:rPr>
      </w:pPr>
    </w:p>
    <w:p w14:paraId="68530B37" w14:textId="77777777" w:rsidR="00195DC7" w:rsidRPr="00D3369A" w:rsidRDefault="00195DC7" w:rsidP="00195DC7">
      <w:pPr>
        <w:rPr>
          <w:iCs/>
        </w:rPr>
        <w:sectPr w:rsidR="00195DC7" w:rsidRPr="00D3369A" w:rsidSect="004622EC">
          <w:footerReference w:type="default" r:id="rId54"/>
          <w:pgSz w:w="11900" w:h="16840" w:code="1"/>
          <w:pgMar w:top="720" w:right="720" w:bottom="720" w:left="720" w:header="720" w:footer="720" w:gutter="0"/>
          <w:cols w:space="720"/>
          <w:docGrid w:linePitch="360"/>
        </w:sectPr>
      </w:pPr>
    </w:p>
    <w:p w14:paraId="54E21A31" w14:textId="77777777" w:rsidR="006B6467" w:rsidRDefault="006B7351" w:rsidP="004622EC">
      <w:pPr>
        <w:pStyle w:val="2"/>
        <w:numPr>
          <w:ilvl w:val="0"/>
          <w:numId w:val="0"/>
        </w:numPr>
        <w:rPr>
          <w:rFonts w:asciiTheme="majorHAnsi" w:hAnsiTheme="majorHAnsi"/>
        </w:rPr>
      </w:pPr>
      <w:bookmarkStart w:id="138" w:name="_Ref476665255"/>
      <w:bookmarkStart w:id="139" w:name="_Toc479693899"/>
      <w:r w:rsidRPr="004346AE">
        <w:rPr>
          <w:rFonts w:asciiTheme="majorHAnsi" w:hAnsiTheme="majorHAnsi"/>
        </w:rPr>
        <w:t xml:space="preserve">Annex </w:t>
      </w:r>
      <w:r w:rsidR="004658CA" w:rsidRPr="004346AE">
        <w:rPr>
          <w:rFonts w:asciiTheme="majorHAnsi" w:hAnsiTheme="majorHAnsi"/>
        </w:rPr>
        <w:t>I</w:t>
      </w:r>
      <w:r w:rsidR="0037300B" w:rsidRPr="004346AE">
        <w:rPr>
          <w:rFonts w:asciiTheme="majorHAnsi" w:hAnsiTheme="majorHAnsi"/>
        </w:rPr>
        <w:t>. UNDP Risk Log</w:t>
      </w:r>
      <w:bookmarkEnd w:id="133"/>
      <w:bookmarkEnd w:id="138"/>
      <w:bookmarkEnd w:id="139"/>
    </w:p>
    <w:p w14:paraId="0113A225" w14:textId="77777777" w:rsidR="00720A1B" w:rsidRDefault="00720A1B" w:rsidP="004622EC">
      <w:pPr>
        <w:pStyle w:val="2"/>
        <w:numPr>
          <w:ilvl w:val="0"/>
          <w:numId w:val="0"/>
        </w:numPr>
        <w:rPr>
          <w:rFonts w:asciiTheme="majorHAnsi" w:hAnsiTheme="majorHAnsi"/>
        </w:rPr>
      </w:pPr>
    </w:p>
    <w:tbl>
      <w:tblPr>
        <w:tblW w:w="1451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
        <w:gridCol w:w="1682"/>
        <w:gridCol w:w="1186"/>
        <w:gridCol w:w="1309"/>
        <w:gridCol w:w="1276"/>
        <w:gridCol w:w="3619"/>
        <w:gridCol w:w="1186"/>
        <w:gridCol w:w="1163"/>
        <w:gridCol w:w="1209"/>
        <w:gridCol w:w="1517"/>
      </w:tblGrid>
      <w:tr w:rsidR="00720A1B" w:rsidRPr="002D41F0" w14:paraId="2AEA5160" w14:textId="77777777" w:rsidTr="00720A1B">
        <w:trPr>
          <w:trHeight w:val="539"/>
          <w:tblHeader/>
        </w:trPr>
        <w:tc>
          <w:tcPr>
            <w:tcW w:w="371" w:type="dxa"/>
            <w:shd w:val="clear" w:color="auto" w:fill="D9D9D9" w:themeFill="background1" w:themeFillShade="D9"/>
          </w:tcPr>
          <w:p w14:paraId="69401ED6" w14:textId="77777777" w:rsidR="00720A1B" w:rsidRPr="002D41F0" w:rsidRDefault="00720A1B" w:rsidP="00921873">
            <w:pPr>
              <w:rPr>
                <w:rFonts w:cs="Arial"/>
                <w:b/>
                <w:sz w:val="18"/>
                <w:szCs w:val="20"/>
              </w:rPr>
            </w:pPr>
            <w:r w:rsidRPr="002D41F0">
              <w:rPr>
                <w:rFonts w:cs="Arial"/>
                <w:b/>
                <w:sz w:val="18"/>
                <w:szCs w:val="20"/>
              </w:rPr>
              <w:t>#</w:t>
            </w:r>
          </w:p>
        </w:tc>
        <w:tc>
          <w:tcPr>
            <w:tcW w:w="1682" w:type="dxa"/>
            <w:shd w:val="clear" w:color="auto" w:fill="D9D9D9" w:themeFill="background1" w:themeFillShade="D9"/>
          </w:tcPr>
          <w:p w14:paraId="5BEBD6D3" w14:textId="77777777" w:rsidR="00720A1B" w:rsidRPr="002D41F0" w:rsidRDefault="00720A1B" w:rsidP="00921873">
            <w:pPr>
              <w:rPr>
                <w:rFonts w:cs="Arial"/>
                <w:b/>
                <w:sz w:val="18"/>
                <w:szCs w:val="20"/>
              </w:rPr>
            </w:pPr>
            <w:r w:rsidRPr="002D41F0">
              <w:rPr>
                <w:rFonts w:cs="Arial"/>
                <w:b/>
                <w:sz w:val="18"/>
                <w:szCs w:val="20"/>
              </w:rPr>
              <w:t>Description</w:t>
            </w:r>
          </w:p>
        </w:tc>
        <w:tc>
          <w:tcPr>
            <w:tcW w:w="1186" w:type="dxa"/>
            <w:shd w:val="clear" w:color="auto" w:fill="D9D9D9" w:themeFill="background1" w:themeFillShade="D9"/>
          </w:tcPr>
          <w:p w14:paraId="019D5537" w14:textId="77777777" w:rsidR="00720A1B" w:rsidRPr="00D81F7A" w:rsidRDefault="00720A1B" w:rsidP="00921873">
            <w:pPr>
              <w:rPr>
                <w:rFonts w:cs="Arial"/>
                <w:b/>
                <w:sz w:val="18"/>
                <w:szCs w:val="20"/>
              </w:rPr>
            </w:pPr>
            <w:r w:rsidRPr="00AD2BEB">
              <w:rPr>
                <w:rFonts w:cs="Arial"/>
                <w:b/>
                <w:sz w:val="18"/>
                <w:szCs w:val="20"/>
              </w:rPr>
              <w:t>Date Identified</w:t>
            </w:r>
          </w:p>
        </w:tc>
        <w:tc>
          <w:tcPr>
            <w:tcW w:w="1309" w:type="dxa"/>
            <w:shd w:val="clear" w:color="auto" w:fill="D9D9D9" w:themeFill="background1" w:themeFillShade="D9"/>
          </w:tcPr>
          <w:p w14:paraId="0BDADC6D" w14:textId="77777777" w:rsidR="00720A1B" w:rsidRPr="00AE69B1" w:rsidRDefault="00720A1B" w:rsidP="00921873">
            <w:pPr>
              <w:rPr>
                <w:rFonts w:cs="Arial"/>
                <w:b/>
                <w:sz w:val="18"/>
                <w:szCs w:val="20"/>
              </w:rPr>
            </w:pPr>
            <w:r w:rsidRPr="00AE69B1">
              <w:rPr>
                <w:rFonts w:cs="Arial"/>
                <w:b/>
                <w:sz w:val="18"/>
                <w:szCs w:val="20"/>
              </w:rPr>
              <w:t>Type</w:t>
            </w:r>
          </w:p>
        </w:tc>
        <w:tc>
          <w:tcPr>
            <w:tcW w:w="1276" w:type="dxa"/>
            <w:shd w:val="clear" w:color="auto" w:fill="D9D9D9" w:themeFill="background1" w:themeFillShade="D9"/>
          </w:tcPr>
          <w:p w14:paraId="6646F2F9" w14:textId="77777777" w:rsidR="00720A1B" w:rsidRPr="00780BCE" w:rsidRDefault="00720A1B" w:rsidP="00921873">
            <w:pPr>
              <w:rPr>
                <w:rFonts w:cs="Arial"/>
                <w:b/>
                <w:sz w:val="18"/>
                <w:szCs w:val="20"/>
              </w:rPr>
            </w:pPr>
            <w:r w:rsidRPr="00780BCE">
              <w:rPr>
                <w:rFonts w:cs="Arial"/>
                <w:b/>
                <w:sz w:val="18"/>
                <w:szCs w:val="20"/>
              </w:rPr>
              <w:t>Impact &amp;</w:t>
            </w:r>
          </w:p>
          <w:p w14:paraId="4AE43AB2" w14:textId="77777777" w:rsidR="00720A1B" w:rsidRPr="00C40811" w:rsidRDefault="00720A1B" w:rsidP="00921873">
            <w:pPr>
              <w:rPr>
                <w:rFonts w:cs="Arial"/>
                <w:b/>
                <w:sz w:val="18"/>
                <w:szCs w:val="20"/>
              </w:rPr>
            </w:pPr>
            <w:r w:rsidRPr="00C40811">
              <w:rPr>
                <w:rFonts w:cs="Arial"/>
                <w:b/>
                <w:sz w:val="18"/>
                <w:szCs w:val="20"/>
              </w:rPr>
              <w:t>Probability</w:t>
            </w:r>
          </w:p>
        </w:tc>
        <w:tc>
          <w:tcPr>
            <w:tcW w:w="3619" w:type="dxa"/>
            <w:shd w:val="clear" w:color="auto" w:fill="D9D9D9" w:themeFill="background1" w:themeFillShade="D9"/>
          </w:tcPr>
          <w:p w14:paraId="30ACA6F7" w14:textId="77777777" w:rsidR="00720A1B" w:rsidRPr="002B343A" w:rsidRDefault="00720A1B" w:rsidP="00921873">
            <w:pPr>
              <w:rPr>
                <w:rFonts w:cs="Arial"/>
                <w:b/>
                <w:sz w:val="18"/>
                <w:szCs w:val="20"/>
              </w:rPr>
            </w:pPr>
            <w:r w:rsidRPr="002B343A">
              <w:rPr>
                <w:rFonts w:cs="Arial"/>
                <w:b/>
                <w:sz w:val="18"/>
                <w:szCs w:val="20"/>
              </w:rPr>
              <w:t>Countermeasures / Mngt response</w:t>
            </w:r>
          </w:p>
        </w:tc>
        <w:tc>
          <w:tcPr>
            <w:tcW w:w="1186" w:type="dxa"/>
            <w:shd w:val="clear" w:color="auto" w:fill="D9D9D9" w:themeFill="background1" w:themeFillShade="D9"/>
          </w:tcPr>
          <w:p w14:paraId="6A8E2593" w14:textId="77777777" w:rsidR="00720A1B" w:rsidRPr="002B343A" w:rsidRDefault="00720A1B" w:rsidP="00921873">
            <w:pPr>
              <w:rPr>
                <w:rFonts w:cs="Arial"/>
                <w:b/>
                <w:sz w:val="18"/>
                <w:szCs w:val="20"/>
              </w:rPr>
            </w:pPr>
            <w:r w:rsidRPr="002B343A">
              <w:rPr>
                <w:rFonts w:cs="Arial"/>
                <w:b/>
                <w:sz w:val="18"/>
                <w:szCs w:val="20"/>
              </w:rPr>
              <w:t>Owner</w:t>
            </w:r>
          </w:p>
        </w:tc>
        <w:tc>
          <w:tcPr>
            <w:tcW w:w="1163" w:type="dxa"/>
            <w:shd w:val="clear" w:color="auto" w:fill="D9D9D9" w:themeFill="background1" w:themeFillShade="D9"/>
          </w:tcPr>
          <w:p w14:paraId="6A445C0E" w14:textId="77777777" w:rsidR="00720A1B" w:rsidRPr="002B343A" w:rsidRDefault="00720A1B" w:rsidP="00921873">
            <w:pPr>
              <w:rPr>
                <w:rFonts w:cs="Arial"/>
                <w:b/>
                <w:sz w:val="18"/>
                <w:szCs w:val="20"/>
              </w:rPr>
            </w:pPr>
            <w:r w:rsidRPr="002B343A">
              <w:rPr>
                <w:rFonts w:cs="Arial"/>
                <w:b/>
                <w:sz w:val="18"/>
                <w:szCs w:val="20"/>
              </w:rPr>
              <w:t>Submitted, updated by</w:t>
            </w:r>
          </w:p>
        </w:tc>
        <w:tc>
          <w:tcPr>
            <w:tcW w:w="1209" w:type="dxa"/>
            <w:shd w:val="clear" w:color="auto" w:fill="D9D9D9" w:themeFill="background1" w:themeFillShade="D9"/>
          </w:tcPr>
          <w:p w14:paraId="5B8C7541" w14:textId="77777777" w:rsidR="00720A1B" w:rsidRPr="002F6754" w:rsidRDefault="00720A1B" w:rsidP="00921873">
            <w:pPr>
              <w:rPr>
                <w:rFonts w:cs="Arial"/>
                <w:b/>
                <w:sz w:val="18"/>
                <w:szCs w:val="20"/>
              </w:rPr>
            </w:pPr>
            <w:r w:rsidRPr="002F6754">
              <w:rPr>
                <w:rFonts w:cs="Arial"/>
                <w:b/>
                <w:sz w:val="18"/>
                <w:szCs w:val="20"/>
              </w:rPr>
              <w:t>Last Update</w:t>
            </w:r>
          </w:p>
        </w:tc>
        <w:tc>
          <w:tcPr>
            <w:tcW w:w="1517" w:type="dxa"/>
            <w:shd w:val="clear" w:color="auto" w:fill="D9D9D9" w:themeFill="background1" w:themeFillShade="D9"/>
          </w:tcPr>
          <w:p w14:paraId="367B153B" w14:textId="77777777" w:rsidR="00720A1B" w:rsidRPr="002F6754" w:rsidRDefault="00720A1B" w:rsidP="00921873">
            <w:pPr>
              <w:rPr>
                <w:rFonts w:cs="Arial"/>
                <w:b/>
                <w:sz w:val="18"/>
                <w:szCs w:val="20"/>
              </w:rPr>
            </w:pPr>
            <w:r w:rsidRPr="002F6754">
              <w:rPr>
                <w:rFonts w:cs="Arial"/>
                <w:b/>
                <w:sz w:val="18"/>
                <w:szCs w:val="20"/>
              </w:rPr>
              <w:t>Status</w:t>
            </w:r>
          </w:p>
        </w:tc>
      </w:tr>
      <w:tr w:rsidR="00720A1B" w:rsidRPr="002D41F0" w14:paraId="3C83CA74" w14:textId="77777777" w:rsidTr="00921873">
        <w:tc>
          <w:tcPr>
            <w:tcW w:w="371" w:type="dxa"/>
          </w:tcPr>
          <w:p w14:paraId="7A409AA6" w14:textId="77777777" w:rsidR="00720A1B" w:rsidRPr="002D41F0" w:rsidRDefault="00720A1B" w:rsidP="00921873">
            <w:pPr>
              <w:rPr>
                <w:rFonts w:cs="Arial"/>
                <w:sz w:val="18"/>
                <w:szCs w:val="20"/>
              </w:rPr>
            </w:pPr>
            <w:r w:rsidRPr="002D41F0">
              <w:rPr>
                <w:rFonts w:cs="Arial"/>
                <w:sz w:val="18"/>
                <w:szCs w:val="20"/>
              </w:rPr>
              <w:t>1</w:t>
            </w:r>
          </w:p>
        </w:tc>
        <w:tc>
          <w:tcPr>
            <w:tcW w:w="1682" w:type="dxa"/>
          </w:tcPr>
          <w:p w14:paraId="1B79DD26" w14:textId="77777777" w:rsidR="00720A1B" w:rsidRPr="002B343A" w:rsidRDefault="00720A1B" w:rsidP="00921873">
            <w:pPr>
              <w:rPr>
                <w:rFonts w:cs="Arial"/>
                <w:i/>
                <w:sz w:val="18"/>
                <w:szCs w:val="20"/>
              </w:rPr>
            </w:pPr>
            <w:r>
              <w:rPr>
                <w:color w:val="000000"/>
                <w:sz w:val="18"/>
                <w:szCs w:val="18"/>
                <w:lang w:val="en-GB"/>
              </w:rPr>
              <w:t>Loss of political support</w:t>
            </w:r>
          </w:p>
        </w:tc>
        <w:tc>
          <w:tcPr>
            <w:tcW w:w="1186" w:type="dxa"/>
          </w:tcPr>
          <w:p w14:paraId="2D25C49C" w14:textId="77777777" w:rsidR="00720A1B" w:rsidRPr="00066F16" w:rsidRDefault="00720A1B" w:rsidP="00921873">
            <w:pPr>
              <w:rPr>
                <w:sz w:val="18"/>
                <w:szCs w:val="18"/>
              </w:rPr>
            </w:pPr>
            <w:r w:rsidRPr="00066F16">
              <w:rPr>
                <w:sz w:val="18"/>
                <w:szCs w:val="18"/>
              </w:rPr>
              <w:t>28 March 2017</w:t>
            </w:r>
          </w:p>
        </w:tc>
        <w:tc>
          <w:tcPr>
            <w:tcW w:w="1309" w:type="dxa"/>
          </w:tcPr>
          <w:p w14:paraId="1CF46B4B" w14:textId="77777777" w:rsidR="00720A1B" w:rsidRPr="004622EC" w:rsidRDefault="00720A1B" w:rsidP="00921873">
            <w:pPr>
              <w:rPr>
                <w:rFonts w:cs="Arial"/>
                <w:i/>
                <w:sz w:val="18"/>
                <w:szCs w:val="20"/>
              </w:rPr>
            </w:pPr>
            <w:r>
              <w:rPr>
                <w:rFonts w:cs="Arial"/>
                <w:sz w:val="18"/>
                <w:szCs w:val="20"/>
              </w:rPr>
              <w:t>Political</w:t>
            </w:r>
          </w:p>
        </w:tc>
        <w:tc>
          <w:tcPr>
            <w:tcW w:w="1276" w:type="dxa"/>
          </w:tcPr>
          <w:p w14:paraId="67C4CED2" w14:textId="77777777" w:rsidR="00720A1B" w:rsidRPr="004622EC" w:rsidRDefault="00720A1B" w:rsidP="00921873">
            <w:pPr>
              <w:rPr>
                <w:rFonts w:cs="Arial"/>
                <w:sz w:val="18"/>
                <w:szCs w:val="20"/>
              </w:rPr>
            </w:pPr>
            <w:r>
              <w:rPr>
                <w:rFonts w:cs="Arial"/>
                <w:sz w:val="18"/>
                <w:szCs w:val="20"/>
              </w:rPr>
              <w:t>P=2</w:t>
            </w:r>
          </w:p>
          <w:p w14:paraId="043F3F6F" w14:textId="77777777" w:rsidR="00720A1B" w:rsidRPr="004622EC" w:rsidRDefault="00720A1B" w:rsidP="00921873">
            <w:pPr>
              <w:rPr>
                <w:rFonts w:cs="Arial"/>
                <w:sz w:val="18"/>
                <w:szCs w:val="20"/>
              </w:rPr>
            </w:pPr>
            <w:r>
              <w:rPr>
                <w:rFonts w:cs="Arial"/>
                <w:sz w:val="18"/>
                <w:szCs w:val="20"/>
              </w:rPr>
              <w:t>I=4</w:t>
            </w:r>
          </w:p>
          <w:p w14:paraId="09714372" w14:textId="77777777" w:rsidR="00720A1B" w:rsidRPr="004622EC" w:rsidRDefault="00720A1B" w:rsidP="00921873">
            <w:pPr>
              <w:rPr>
                <w:rFonts w:cs="Arial"/>
                <w:i/>
                <w:sz w:val="18"/>
                <w:szCs w:val="20"/>
              </w:rPr>
            </w:pPr>
          </w:p>
          <w:p w14:paraId="59350FC7" w14:textId="77777777" w:rsidR="00720A1B" w:rsidRPr="004622EC" w:rsidRDefault="00720A1B" w:rsidP="00921873">
            <w:pPr>
              <w:rPr>
                <w:rFonts w:cs="Arial"/>
                <w:i/>
                <w:sz w:val="18"/>
                <w:szCs w:val="20"/>
              </w:rPr>
            </w:pPr>
          </w:p>
        </w:tc>
        <w:tc>
          <w:tcPr>
            <w:tcW w:w="3619" w:type="dxa"/>
          </w:tcPr>
          <w:p w14:paraId="63AB3B4E" w14:textId="77777777" w:rsidR="00720A1B" w:rsidRPr="004622EC" w:rsidRDefault="00720A1B" w:rsidP="00921873">
            <w:pPr>
              <w:rPr>
                <w:rFonts w:cs="Arial"/>
                <w:i/>
                <w:sz w:val="18"/>
                <w:szCs w:val="20"/>
              </w:rPr>
            </w:pPr>
            <w:r w:rsidRPr="008067CC">
              <w:rPr>
                <w:color w:val="000000"/>
                <w:sz w:val="18"/>
                <w:szCs w:val="18"/>
                <w:lang w:val="en-GB"/>
              </w:rPr>
              <w:t>Project design is rooted and based on the national commitments and targets stated and adopted at the highest possible level, i.e. by the President, the Parliament and the Government of Kazakhstan. Any proposed revisions in the policies, as well as new ones to be proposed by the project will also have to secure the highest level of approval, i.e. by the Parliament (revision in the Law) or by the Government (e.g. changes in the feed-in tariffs).</w:t>
            </w:r>
            <w:r>
              <w:rPr>
                <w:color w:val="000000"/>
                <w:sz w:val="18"/>
                <w:szCs w:val="18"/>
                <w:lang w:val="en-GB"/>
              </w:rPr>
              <w:t xml:space="preserve"> Project implementation will be based in the Ministry of Energy, thus giving the best chance of ensuring ownership and buy-in.</w:t>
            </w:r>
          </w:p>
        </w:tc>
        <w:tc>
          <w:tcPr>
            <w:tcW w:w="1186" w:type="dxa"/>
          </w:tcPr>
          <w:p w14:paraId="3B0EFC66" w14:textId="77777777" w:rsidR="00720A1B" w:rsidRPr="004622EC" w:rsidRDefault="00720A1B" w:rsidP="00921873">
            <w:pPr>
              <w:rPr>
                <w:rFonts w:cs="Arial"/>
                <w:i/>
                <w:sz w:val="18"/>
                <w:szCs w:val="20"/>
              </w:rPr>
            </w:pPr>
            <w:r>
              <w:rPr>
                <w:rFonts w:cs="Arial"/>
                <w:sz w:val="18"/>
                <w:szCs w:val="18"/>
              </w:rPr>
              <w:t>Project manager</w:t>
            </w:r>
          </w:p>
        </w:tc>
        <w:tc>
          <w:tcPr>
            <w:tcW w:w="1163" w:type="dxa"/>
          </w:tcPr>
          <w:p w14:paraId="48F59F75" w14:textId="77777777" w:rsidR="00720A1B" w:rsidRPr="004622EC" w:rsidRDefault="00720A1B" w:rsidP="00921873">
            <w:pPr>
              <w:rPr>
                <w:rFonts w:cs="Arial"/>
                <w:sz w:val="18"/>
                <w:szCs w:val="20"/>
              </w:rPr>
            </w:pPr>
            <w:r w:rsidRPr="004622EC">
              <w:rPr>
                <w:rFonts w:cs="Arial"/>
                <w:sz w:val="18"/>
                <w:szCs w:val="20"/>
              </w:rPr>
              <w:t>Who submitted the risk</w:t>
            </w:r>
          </w:p>
          <w:p w14:paraId="11F33382" w14:textId="77777777" w:rsidR="00720A1B" w:rsidRPr="004622EC" w:rsidRDefault="00720A1B" w:rsidP="00921873">
            <w:pPr>
              <w:rPr>
                <w:rFonts w:cs="Arial"/>
                <w:sz w:val="18"/>
                <w:szCs w:val="20"/>
              </w:rPr>
            </w:pPr>
          </w:p>
          <w:p w14:paraId="3A0BBA33" w14:textId="77777777" w:rsidR="00720A1B" w:rsidRPr="004622EC" w:rsidRDefault="00720A1B" w:rsidP="00921873">
            <w:pPr>
              <w:rPr>
                <w:rFonts w:cs="Arial"/>
                <w:sz w:val="18"/>
                <w:szCs w:val="20"/>
              </w:rPr>
            </w:pPr>
          </w:p>
          <w:p w14:paraId="6EF3044D" w14:textId="77777777" w:rsidR="00720A1B" w:rsidRPr="004622EC" w:rsidRDefault="00720A1B" w:rsidP="00921873">
            <w:pPr>
              <w:rPr>
                <w:rFonts w:cs="Arial"/>
                <w:sz w:val="18"/>
                <w:szCs w:val="20"/>
              </w:rPr>
            </w:pPr>
          </w:p>
          <w:p w14:paraId="7BF8ECA3" w14:textId="77777777" w:rsidR="00720A1B" w:rsidRPr="004622EC" w:rsidRDefault="00720A1B" w:rsidP="00921873">
            <w:pPr>
              <w:rPr>
                <w:rFonts w:cs="Arial"/>
                <w:sz w:val="18"/>
                <w:szCs w:val="20"/>
              </w:rPr>
            </w:pPr>
          </w:p>
          <w:p w14:paraId="179B345C" w14:textId="77777777" w:rsidR="00720A1B" w:rsidRPr="004622EC" w:rsidRDefault="00720A1B" w:rsidP="00921873">
            <w:pPr>
              <w:rPr>
                <w:rFonts w:cs="Arial"/>
                <w:i/>
                <w:sz w:val="18"/>
                <w:szCs w:val="20"/>
              </w:rPr>
            </w:pPr>
            <w:r w:rsidRPr="004622EC">
              <w:rPr>
                <w:rFonts w:cs="Arial"/>
                <w:i/>
                <w:sz w:val="18"/>
                <w:szCs w:val="20"/>
              </w:rPr>
              <w:t>(In Atlas, automatically recorded)</w:t>
            </w:r>
          </w:p>
        </w:tc>
        <w:tc>
          <w:tcPr>
            <w:tcW w:w="1209" w:type="dxa"/>
          </w:tcPr>
          <w:p w14:paraId="38346CBD" w14:textId="77777777" w:rsidR="00720A1B" w:rsidRPr="004622EC" w:rsidRDefault="00720A1B" w:rsidP="00921873">
            <w:pPr>
              <w:rPr>
                <w:rFonts w:cs="Arial"/>
                <w:sz w:val="18"/>
                <w:szCs w:val="20"/>
              </w:rPr>
            </w:pPr>
            <w:r w:rsidRPr="004622EC">
              <w:rPr>
                <w:rFonts w:cs="Arial"/>
                <w:sz w:val="18"/>
                <w:szCs w:val="20"/>
              </w:rPr>
              <w:t>When was the status of the risk last checked</w:t>
            </w:r>
          </w:p>
          <w:p w14:paraId="4E3C54CB" w14:textId="77777777" w:rsidR="00720A1B" w:rsidRPr="004622EC" w:rsidRDefault="00720A1B" w:rsidP="00921873">
            <w:pPr>
              <w:rPr>
                <w:rFonts w:cs="Arial"/>
                <w:sz w:val="18"/>
                <w:szCs w:val="20"/>
              </w:rPr>
            </w:pPr>
          </w:p>
          <w:p w14:paraId="7B8DCA2E" w14:textId="77777777" w:rsidR="00720A1B" w:rsidRPr="004622EC" w:rsidRDefault="00720A1B" w:rsidP="00921873">
            <w:pPr>
              <w:rPr>
                <w:rFonts w:cs="Arial"/>
                <w:sz w:val="18"/>
                <w:szCs w:val="20"/>
              </w:rPr>
            </w:pPr>
          </w:p>
          <w:p w14:paraId="09925022" w14:textId="77777777" w:rsidR="00720A1B" w:rsidRPr="004622EC" w:rsidRDefault="00720A1B" w:rsidP="00921873">
            <w:pPr>
              <w:rPr>
                <w:rFonts w:cs="Arial"/>
                <w:sz w:val="18"/>
                <w:szCs w:val="20"/>
              </w:rPr>
            </w:pPr>
          </w:p>
          <w:p w14:paraId="4D18E0EC" w14:textId="77777777" w:rsidR="00720A1B" w:rsidRPr="004622EC" w:rsidRDefault="00720A1B" w:rsidP="00921873">
            <w:pPr>
              <w:rPr>
                <w:rFonts w:cs="Arial"/>
                <w:i/>
                <w:sz w:val="18"/>
                <w:szCs w:val="20"/>
              </w:rPr>
            </w:pPr>
            <w:r w:rsidRPr="004622EC">
              <w:rPr>
                <w:rFonts w:cs="Arial"/>
                <w:i/>
                <w:sz w:val="18"/>
                <w:szCs w:val="20"/>
              </w:rPr>
              <w:t>(In Atlas, automatically recorded)</w:t>
            </w:r>
          </w:p>
        </w:tc>
        <w:tc>
          <w:tcPr>
            <w:tcW w:w="1517" w:type="dxa"/>
          </w:tcPr>
          <w:p w14:paraId="4E799CE5" w14:textId="77777777" w:rsidR="00720A1B" w:rsidRPr="004622EC" w:rsidRDefault="00720A1B" w:rsidP="00921873">
            <w:pPr>
              <w:rPr>
                <w:rFonts w:cs="Arial"/>
                <w:sz w:val="18"/>
                <w:szCs w:val="20"/>
              </w:rPr>
            </w:pPr>
            <w:r w:rsidRPr="004622EC">
              <w:rPr>
                <w:rFonts w:cs="Arial"/>
                <w:sz w:val="18"/>
                <w:szCs w:val="20"/>
              </w:rPr>
              <w:t>e.g. dead, reducing, increasing, no change</w:t>
            </w:r>
          </w:p>
          <w:p w14:paraId="2A84CAE5" w14:textId="77777777" w:rsidR="00720A1B" w:rsidRPr="004622EC" w:rsidRDefault="00720A1B" w:rsidP="00921873">
            <w:pPr>
              <w:rPr>
                <w:rFonts w:cs="Arial"/>
                <w:sz w:val="18"/>
                <w:szCs w:val="20"/>
              </w:rPr>
            </w:pPr>
          </w:p>
          <w:p w14:paraId="43687487" w14:textId="77777777" w:rsidR="00720A1B" w:rsidRPr="004622EC" w:rsidRDefault="00720A1B" w:rsidP="00921873">
            <w:pPr>
              <w:rPr>
                <w:rFonts w:cs="Arial"/>
                <w:sz w:val="18"/>
                <w:szCs w:val="20"/>
              </w:rPr>
            </w:pPr>
          </w:p>
          <w:p w14:paraId="194B47DF" w14:textId="77777777" w:rsidR="00720A1B" w:rsidRPr="004622EC" w:rsidRDefault="00720A1B" w:rsidP="00921873">
            <w:pPr>
              <w:rPr>
                <w:rFonts w:cs="Arial"/>
                <w:sz w:val="18"/>
                <w:szCs w:val="20"/>
              </w:rPr>
            </w:pPr>
          </w:p>
          <w:p w14:paraId="7810EDE8" w14:textId="77777777" w:rsidR="00720A1B" w:rsidRPr="004622EC" w:rsidRDefault="00720A1B" w:rsidP="00921873">
            <w:pPr>
              <w:rPr>
                <w:rFonts w:cs="Arial"/>
                <w:i/>
                <w:sz w:val="18"/>
                <w:szCs w:val="20"/>
              </w:rPr>
            </w:pPr>
            <w:r w:rsidRPr="004622EC">
              <w:rPr>
                <w:rFonts w:cs="Arial"/>
                <w:i/>
                <w:sz w:val="18"/>
                <w:szCs w:val="20"/>
              </w:rPr>
              <w:t>(in Atlas, use the Management Response box)</w:t>
            </w:r>
          </w:p>
        </w:tc>
      </w:tr>
      <w:tr w:rsidR="00720A1B" w:rsidRPr="002D41F0" w14:paraId="3ACD779A" w14:textId="77777777" w:rsidTr="00921873">
        <w:tc>
          <w:tcPr>
            <w:tcW w:w="371" w:type="dxa"/>
          </w:tcPr>
          <w:p w14:paraId="26FA90A5" w14:textId="77777777" w:rsidR="00720A1B" w:rsidRPr="002D41F0" w:rsidRDefault="00720A1B" w:rsidP="00921873">
            <w:pPr>
              <w:rPr>
                <w:rFonts w:cs="Arial"/>
                <w:sz w:val="18"/>
                <w:szCs w:val="20"/>
              </w:rPr>
            </w:pPr>
            <w:r w:rsidRPr="002D41F0">
              <w:rPr>
                <w:rFonts w:cs="Arial"/>
                <w:sz w:val="18"/>
                <w:szCs w:val="20"/>
              </w:rPr>
              <w:t>2</w:t>
            </w:r>
          </w:p>
        </w:tc>
        <w:tc>
          <w:tcPr>
            <w:tcW w:w="1682" w:type="dxa"/>
          </w:tcPr>
          <w:p w14:paraId="758BCEDF" w14:textId="77777777" w:rsidR="00720A1B" w:rsidRPr="002D41F0" w:rsidRDefault="00720A1B" w:rsidP="00921873">
            <w:pPr>
              <w:rPr>
                <w:rFonts w:cs="Arial"/>
                <w:sz w:val="18"/>
                <w:szCs w:val="20"/>
              </w:rPr>
            </w:pPr>
            <w:r>
              <w:rPr>
                <w:sz w:val="18"/>
                <w:szCs w:val="18"/>
              </w:rPr>
              <w:t>Ongoing low international oil prices</w:t>
            </w:r>
          </w:p>
        </w:tc>
        <w:tc>
          <w:tcPr>
            <w:tcW w:w="1186" w:type="dxa"/>
          </w:tcPr>
          <w:p w14:paraId="0F8C456A" w14:textId="77777777" w:rsidR="00720A1B" w:rsidRPr="00066F16" w:rsidRDefault="00720A1B" w:rsidP="00921873">
            <w:pPr>
              <w:rPr>
                <w:sz w:val="18"/>
                <w:szCs w:val="18"/>
              </w:rPr>
            </w:pPr>
            <w:r w:rsidRPr="00066F16">
              <w:rPr>
                <w:sz w:val="18"/>
                <w:szCs w:val="18"/>
              </w:rPr>
              <w:t>28 March 2017</w:t>
            </w:r>
          </w:p>
        </w:tc>
        <w:tc>
          <w:tcPr>
            <w:tcW w:w="1309" w:type="dxa"/>
          </w:tcPr>
          <w:p w14:paraId="134FA57D" w14:textId="77777777" w:rsidR="00720A1B" w:rsidRPr="002F6754" w:rsidRDefault="00720A1B" w:rsidP="00921873">
            <w:pPr>
              <w:rPr>
                <w:rFonts w:cs="Arial"/>
                <w:sz w:val="18"/>
                <w:szCs w:val="20"/>
              </w:rPr>
            </w:pPr>
            <w:r>
              <w:rPr>
                <w:rFonts w:cs="Arial"/>
                <w:sz w:val="18"/>
                <w:szCs w:val="20"/>
              </w:rPr>
              <w:t>Financial</w:t>
            </w:r>
          </w:p>
        </w:tc>
        <w:tc>
          <w:tcPr>
            <w:tcW w:w="1276" w:type="dxa"/>
          </w:tcPr>
          <w:p w14:paraId="718C65CD" w14:textId="77777777" w:rsidR="00720A1B" w:rsidRDefault="00720A1B" w:rsidP="00921873">
            <w:pPr>
              <w:rPr>
                <w:rFonts w:cs="Arial"/>
                <w:sz w:val="18"/>
                <w:szCs w:val="20"/>
              </w:rPr>
            </w:pPr>
            <w:r>
              <w:rPr>
                <w:rFonts w:cs="Arial"/>
                <w:sz w:val="18"/>
                <w:szCs w:val="20"/>
              </w:rPr>
              <w:t>P=4</w:t>
            </w:r>
          </w:p>
          <w:p w14:paraId="322A6EEC" w14:textId="77777777" w:rsidR="00720A1B" w:rsidRPr="004622EC" w:rsidRDefault="00720A1B" w:rsidP="00921873">
            <w:pPr>
              <w:rPr>
                <w:rFonts w:cs="Arial"/>
                <w:sz w:val="18"/>
                <w:szCs w:val="20"/>
              </w:rPr>
            </w:pPr>
            <w:r>
              <w:rPr>
                <w:rFonts w:cs="Arial"/>
                <w:sz w:val="18"/>
                <w:szCs w:val="20"/>
              </w:rPr>
              <w:t>I=4</w:t>
            </w:r>
          </w:p>
        </w:tc>
        <w:tc>
          <w:tcPr>
            <w:tcW w:w="3619" w:type="dxa"/>
          </w:tcPr>
          <w:p w14:paraId="20EE1A8B" w14:textId="77777777" w:rsidR="00720A1B" w:rsidRPr="004622EC" w:rsidRDefault="00720A1B" w:rsidP="00921873">
            <w:pPr>
              <w:rPr>
                <w:rFonts w:cs="Arial"/>
                <w:sz w:val="18"/>
                <w:szCs w:val="20"/>
              </w:rPr>
            </w:pPr>
            <w:r w:rsidRPr="008067CC">
              <w:rPr>
                <w:sz w:val="18"/>
                <w:szCs w:val="18"/>
              </w:rPr>
              <w:t xml:space="preserve">Unless appropriate policies and regulations, supported by financial de-risking mechanisms and incentives are introduced and enforced, RE will not be able to compete with fossil fuel based power generation in Kazakhstan. Component </w:t>
            </w:r>
            <w:r>
              <w:rPr>
                <w:sz w:val="18"/>
                <w:szCs w:val="18"/>
              </w:rPr>
              <w:t xml:space="preserve">1 for large-scale renewables and component </w:t>
            </w:r>
            <w:r w:rsidRPr="008067CC">
              <w:rPr>
                <w:sz w:val="18"/>
                <w:szCs w:val="18"/>
              </w:rPr>
              <w:t xml:space="preserve">2 </w:t>
            </w:r>
            <w:r>
              <w:rPr>
                <w:sz w:val="18"/>
                <w:szCs w:val="18"/>
              </w:rPr>
              <w:t xml:space="preserve">for small-scale renewables </w:t>
            </w:r>
            <w:r w:rsidRPr="008067CC">
              <w:rPr>
                <w:sz w:val="18"/>
                <w:szCs w:val="18"/>
              </w:rPr>
              <w:t>therefore aims precisely at achieving these goals and leveling playing field for RE.</w:t>
            </w:r>
          </w:p>
        </w:tc>
        <w:tc>
          <w:tcPr>
            <w:tcW w:w="1186" w:type="dxa"/>
          </w:tcPr>
          <w:p w14:paraId="697D12EC" w14:textId="77777777" w:rsidR="00720A1B" w:rsidRPr="004622EC" w:rsidRDefault="00720A1B" w:rsidP="00921873">
            <w:pPr>
              <w:rPr>
                <w:rFonts w:cs="Arial"/>
                <w:sz w:val="18"/>
                <w:szCs w:val="20"/>
              </w:rPr>
            </w:pPr>
            <w:r w:rsidRPr="00826C7F">
              <w:rPr>
                <w:rFonts w:cs="Arial"/>
                <w:sz w:val="18"/>
                <w:szCs w:val="18"/>
              </w:rPr>
              <w:t>Project manager</w:t>
            </w:r>
          </w:p>
        </w:tc>
        <w:tc>
          <w:tcPr>
            <w:tcW w:w="1163" w:type="dxa"/>
          </w:tcPr>
          <w:p w14:paraId="7E4BCC0F" w14:textId="77777777" w:rsidR="00720A1B" w:rsidRPr="004622EC" w:rsidRDefault="00720A1B" w:rsidP="00921873">
            <w:pPr>
              <w:rPr>
                <w:rFonts w:cs="Arial"/>
                <w:sz w:val="18"/>
                <w:szCs w:val="20"/>
              </w:rPr>
            </w:pPr>
          </w:p>
        </w:tc>
        <w:tc>
          <w:tcPr>
            <w:tcW w:w="1209" w:type="dxa"/>
          </w:tcPr>
          <w:p w14:paraId="3CE063F8" w14:textId="77777777" w:rsidR="00720A1B" w:rsidRPr="004622EC" w:rsidRDefault="00720A1B" w:rsidP="00921873">
            <w:pPr>
              <w:rPr>
                <w:rFonts w:cs="Arial"/>
                <w:sz w:val="18"/>
                <w:szCs w:val="20"/>
              </w:rPr>
            </w:pPr>
          </w:p>
        </w:tc>
        <w:tc>
          <w:tcPr>
            <w:tcW w:w="1517" w:type="dxa"/>
          </w:tcPr>
          <w:p w14:paraId="0767F923" w14:textId="77777777" w:rsidR="00720A1B" w:rsidRPr="004622EC" w:rsidRDefault="00720A1B" w:rsidP="00921873">
            <w:pPr>
              <w:rPr>
                <w:rFonts w:cs="Arial"/>
                <w:sz w:val="18"/>
                <w:szCs w:val="20"/>
              </w:rPr>
            </w:pPr>
          </w:p>
        </w:tc>
      </w:tr>
      <w:tr w:rsidR="00720A1B" w:rsidRPr="002D41F0" w14:paraId="1B6FF4C5" w14:textId="77777777" w:rsidTr="00921873">
        <w:tc>
          <w:tcPr>
            <w:tcW w:w="371" w:type="dxa"/>
          </w:tcPr>
          <w:p w14:paraId="77721826" w14:textId="77777777" w:rsidR="00720A1B" w:rsidRPr="002D41F0" w:rsidRDefault="00720A1B" w:rsidP="00921873">
            <w:pPr>
              <w:rPr>
                <w:rFonts w:cs="Arial"/>
                <w:sz w:val="18"/>
                <w:szCs w:val="20"/>
              </w:rPr>
            </w:pPr>
            <w:r w:rsidRPr="002D41F0">
              <w:rPr>
                <w:rFonts w:cs="Arial"/>
                <w:sz w:val="18"/>
                <w:szCs w:val="20"/>
              </w:rPr>
              <w:t>3</w:t>
            </w:r>
          </w:p>
        </w:tc>
        <w:tc>
          <w:tcPr>
            <w:tcW w:w="1682" w:type="dxa"/>
          </w:tcPr>
          <w:p w14:paraId="6F155566" w14:textId="77777777" w:rsidR="00720A1B" w:rsidRPr="002D41F0" w:rsidRDefault="00720A1B" w:rsidP="00921873">
            <w:pPr>
              <w:rPr>
                <w:rFonts w:cs="Arial"/>
                <w:sz w:val="18"/>
                <w:szCs w:val="20"/>
              </w:rPr>
            </w:pPr>
            <w:r w:rsidRPr="008067CC">
              <w:rPr>
                <w:sz w:val="18"/>
                <w:szCs w:val="18"/>
              </w:rPr>
              <w:t>Private investors do not find RES investments sufficiently attractive</w:t>
            </w:r>
          </w:p>
        </w:tc>
        <w:tc>
          <w:tcPr>
            <w:tcW w:w="1186" w:type="dxa"/>
          </w:tcPr>
          <w:p w14:paraId="207A23F7" w14:textId="77777777" w:rsidR="00720A1B" w:rsidRPr="00066F16" w:rsidRDefault="00720A1B" w:rsidP="00921873">
            <w:pPr>
              <w:rPr>
                <w:sz w:val="18"/>
                <w:szCs w:val="18"/>
              </w:rPr>
            </w:pPr>
            <w:r w:rsidRPr="00066F16">
              <w:rPr>
                <w:sz w:val="18"/>
                <w:szCs w:val="18"/>
              </w:rPr>
              <w:t>28 March 2017</w:t>
            </w:r>
          </w:p>
        </w:tc>
        <w:tc>
          <w:tcPr>
            <w:tcW w:w="1309" w:type="dxa"/>
          </w:tcPr>
          <w:p w14:paraId="08C28297" w14:textId="77777777" w:rsidR="00720A1B" w:rsidRPr="002F6754" w:rsidRDefault="00720A1B" w:rsidP="00921873">
            <w:pPr>
              <w:rPr>
                <w:rFonts w:cs="Arial"/>
                <w:sz w:val="18"/>
                <w:szCs w:val="20"/>
              </w:rPr>
            </w:pPr>
            <w:r>
              <w:rPr>
                <w:rFonts w:cs="Arial"/>
                <w:sz w:val="18"/>
                <w:szCs w:val="20"/>
              </w:rPr>
              <w:t>Financial</w:t>
            </w:r>
          </w:p>
        </w:tc>
        <w:tc>
          <w:tcPr>
            <w:tcW w:w="1276" w:type="dxa"/>
          </w:tcPr>
          <w:p w14:paraId="291895C0" w14:textId="77777777" w:rsidR="00720A1B" w:rsidRDefault="00720A1B" w:rsidP="00921873">
            <w:pPr>
              <w:rPr>
                <w:rFonts w:cs="Arial"/>
                <w:sz w:val="18"/>
                <w:szCs w:val="20"/>
              </w:rPr>
            </w:pPr>
            <w:r>
              <w:rPr>
                <w:rFonts w:cs="Arial"/>
                <w:sz w:val="18"/>
                <w:szCs w:val="20"/>
              </w:rPr>
              <w:t>P=2</w:t>
            </w:r>
          </w:p>
          <w:p w14:paraId="2F35B7C0" w14:textId="77777777" w:rsidR="00720A1B" w:rsidRPr="004622EC" w:rsidRDefault="00720A1B" w:rsidP="00921873">
            <w:pPr>
              <w:rPr>
                <w:rFonts w:cs="Arial"/>
                <w:sz w:val="18"/>
                <w:szCs w:val="20"/>
              </w:rPr>
            </w:pPr>
            <w:r>
              <w:rPr>
                <w:rFonts w:cs="Arial"/>
                <w:sz w:val="18"/>
                <w:szCs w:val="20"/>
              </w:rPr>
              <w:t>I=5</w:t>
            </w:r>
            <w:r w:rsidRPr="004622EC">
              <w:rPr>
                <w:rFonts w:cs="Arial"/>
                <w:sz w:val="18"/>
                <w:szCs w:val="20"/>
              </w:rPr>
              <w:t xml:space="preserve"> </w:t>
            </w:r>
          </w:p>
        </w:tc>
        <w:tc>
          <w:tcPr>
            <w:tcW w:w="3619" w:type="dxa"/>
          </w:tcPr>
          <w:p w14:paraId="3AD701CA" w14:textId="77777777" w:rsidR="00720A1B" w:rsidRPr="004622EC" w:rsidRDefault="00720A1B" w:rsidP="00921873">
            <w:pPr>
              <w:rPr>
                <w:rFonts w:cs="Arial"/>
                <w:sz w:val="18"/>
                <w:szCs w:val="20"/>
              </w:rPr>
            </w:pPr>
            <w:r w:rsidRPr="008067CC">
              <w:rPr>
                <w:sz w:val="18"/>
                <w:szCs w:val="18"/>
              </w:rPr>
              <w:t>The project adopts private investors’ perspective to the analysis of risk, underlying barriers and the design of de-risking strategy. A detailed quantitative analysis of investment has been conducted based on DREI framework and methodology and proposed set of policy and financial de-risking tools are proposed in line with investors outlook.</w:t>
            </w:r>
            <w:r>
              <w:rPr>
                <w:sz w:val="18"/>
                <w:szCs w:val="18"/>
              </w:rPr>
              <w:t xml:space="preserve"> Through policy and financial de-risking the project will ensure that investments become more attractive.</w:t>
            </w:r>
          </w:p>
        </w:tc>
        <w:tc>
          <w:tcPr>
            <w:tcW w:w="1186" w:type="dxa"/>
          </w:tcPr>
          <w:p w14:paraId="656C6F55" w14:textId="77777777" w:rsidR="00720A1B" w:rsidRPr="004622EC" w:rsidRDefault="00720A1B" w:rsidP="00921873">
            <w:pPr>
              <w:rPr>
                <w:rFonts w:cs="Arial"/>
                <w:sz w:val="18"/>
                <w:szCs w:val="20"/>
              </w:rPr>
            </w:pPr>
            <w:r w:rsidRPr="00826C7F">
              <w:rPr>
                <w:rFonts w:cs="Arial"/>
                <w:sz w:val="18"/>
                <w:szCs w:val="18"/>
              </w:rPr>
              <w:t>Project manager</w:t>
            </w:r>
          </w:p>
        </w:tc>
        <w:tc>
          <w:tcPr>
            <w:tcW w:w="1163" w:type="dxa"/>
          </w:tcPr>
          <w:p w14:paraId="0BF7FEA0" w14:textId="77777777" w:rsidR="00720A1B" w:rsidRPr="004622EC" w:rsidRDefault="00720A1B" w:rsidP="00921873">
            <w:pPr>
              <w:rPr>
                <w:rFonts w:cs="Arial"/>
                <w:sz w:val="18"/>
                <w:szCs w:val="20"/>
              </w:rPr>
            </w:pPr>
          </w:p>
        </w:tc>
        <w:tc>
          <w:tcPr>
            <w:tcW w:w="1209" w:type="dxa"/>
          </w:tcPr>
          <w:p w14:paraId="43F0056F" w14:textId="77777777" w:rsidR="00720A1B" w:rsidRPr="004622EC" w:rsidRDefault="00720A1B" w:rsidP="00921873">
            <w:pPr>
              <w:rPr>
                <w:rFonts w:cs="Arial"/>
                <w:sz w:val="18"/>
                <w:szCs w:val="20"/>
              </w:rPr>
            </w:pPr>
          </w:p>
        </w:tc>
        <w:tc>
          <w:tcPr>
            <w:tcW w:w="1517" w:type="dxa"/>
          </w:tcPr>
          <w:p w14:paraId="6A0D4DD6" w14:textId="77777777" w:rsidR="00720A1B" w:rsidRPr="004622EC" w:rsidRDefault="00720A1B" w:rsidP="00921873">
            <w:pPr>
              <w:rPr>
                <w:rFonts w:cs="Arial"/>
                <w:sz w:val="18"/>
                <w:szCs w:val="20"/>
              </w:rPr>
            </w:pPr>
          </w:p>
        </w:tc>
      </w:tr>
      <w:tr w:rsidR="00720A1B" w:rsidRPr="002D41F0" w14:paraId="3BA120FB" w14:textId="77777777" w:rsidTr="00921873">
        <w:trPr>
          <w:trHeight w:val="179"/>
        </w:trPr>
        <w:tc>
          <w:tcPr>
            <w:tcW w:w="371" w:type="dxa"/>
          </w:tcPr>
          <w:p w14:paraId="310DDDDE" w14:textId="77777777" w:rsidR="00720A1B" w:rsidRPr="002D41F0" w:rsidRDefault="00720A1B" w:rsidP="00921873">
            <w:pPr>
              <w:rPr>
                <w:rFonts w:cs="Arial"/>
                <w:sz w:val="18"/>
                <w:szCs w:val="20"/>
              </w:rPr>
            </w:pPr>
            <w:r w:rsidRPr="002D41F0">
              <w:rPr>
                <w:rFonts w:cs="Arial"/>
                <w:sz w:val="18"/>
                <w:szCs w:val="20"/>
              </w:rPr>
              <w:t>4</w:t>
            </w:r>
          </w:p>
        </w:tc>
        <w:tc>
          <w:tcPr>
            <w:tcW w:w="1682" w:type="dxa"/>
          </w:tcPr>
          <w:p w14:paraId="7C055F3E" w14:textId="77777777" w:rsidR="00720A1B" w:rsidRPr="002D41F0" w:rsidRDefault="00720A1B" w:rsidP="00921873">
            <w:pPr>
              <w:rPr>
                <w:rFonts w:cs="Arial"/>
                <w:sz w:val="18"/>
                <w:szCs w:val="20"/>
              </w:rPr>
            </w:pPr>
            <w:r w:rsidRPr="008067CC">
              <w:rPr>
                <w:sz w:val="18"/>
                <w:szCs w:val="18"/>
              </w:rPr>
              <w:t>Domestic supply chain and capacities for RES in Kazakhstan are very limited – this may cause inadequate implementation of RES projects leading to sub-optimal performance, mal-functioning, etc.</w:t>
            </w:r>
          </w:p>
        </w:tc>
        <w:tc>
          <w:tcPr>
            <w:tcW w:w="1186" w:type="dxa"/>
          </w:tcPr>
          <w:p w14:paraId="7523C64E" w14:textId="77777777" w:rsidR="00720A1B" w:rsidRPr="002D41F0" w:rsidRDefault="00720A1B" w:rsidP="00921873">
            <w:pPr>
              <w:rPr>
                <w:rFonts w:cs="Arial"/>
                <w:sz w:val="18"/>
                <w:szCs w:val="20"/>
              </w:rPr>
            </w:pPr>
            <w:r w:rsidRPr="00066F16">
              <w:rPr>
                <w:sz w:val="18"/>
                <w:szCs w:val="18"/>
              </w:rPr>
              <w:t>28 March 2017</w:t>
            </w:r>
          </w:p>
        </w:tc>
        <w:tc>
          <w:tcPr>
            <w:tcW w:w="1309" w:type="dxa"/>
          </w:tcPr>
          <w:p w14:paraId="787B970B" w14:textId="77777777" w:rsidR="00720A1B" w:rsidRPr="008067CC" w:rsidRDefault="00720A1B" w:rsidP="00921873">
            <w:pPr>
              <w:rPr>
                <w:sz w:val="18"/>
                <w:szCs w:val="18"/>
              </w:rPr>
            </w:pPr>
            <w:r>
              <w:rPr>
                <w:sz w:val="18"/>
                <w:szCs w:val="18"/>
              </w:rPr>
              <w:t>Technology</w:t>
            </w:r>
          </w:p>
          <w:p w14:paraId="385E72D0" w14:textId="77777777" w:rsidR="00720A1B" w:rsidRPr="00AD2BEB" w:rsidRDefault="00720A1B" w:rsidP="00921873">
            <w:pPr>
              <w:rPr>
                <w:rFonts w:cs="Arial"/>
                <w:sz w:val="18"/>
                <w:szCs w:val="20"/>
              </w:rPr>
            </w:pPr>
          </w:p>
        </w:tc>
        <w:tc>
          <w:tcPr>
            <w:tcW w:w="1276" w:type="dxa"/>
          </w:tcPr>
          <w:p w14:paraId="1A676C1B" w14:textId="77777777" w:rsidR="00720A1B" w:rsidRDefault="00720A1B" w:rsidP="00921873">
            <w:pPr>
              <w:rPr>
                <w:rFonts w:cs="Arial"/>
                <w:sz w:val="18"/>
                <w:szCs w:val="20"/>
              </w:rPr>
            </w:pPr>
            <w:r>
              <w:rPr>
                <w:rFonts w:cs="Arial"/>
                <w:sz w:val="18"/>
                <w:szCs w:val="20"/>
              </w:rPr>
              <w:t>P=3</w:t>
            </w:r>
          </w:p>
          <w:p w14:paraId="0CAB19C9" w14:textId="77777777" w:rsidR="00720A1B" w:rsidRPr="00D81F7A" w:rsidRDefault="00720A1B" w:rsidP="00921873">
            <w:pPr>
              <w:rPr>
                <w:rFonts w:cs="Arial"/>
                <w:sz w:val="18"/>
                <w:szCs w:val="20"/>
              </w:rPr>
            </w:pPr>
            <w:r>
              <w:rPr>
                <w:rFonts w:cs="Arial"/>
                <w:sz w:val="18"/>
                <w:szCs w:val="20"/>
              </w:rPr>
              <w:t>I=3</w:t>
            </w:r>
          </w:p>
        </w:tc>
        <w:tc>
          <w:tcPr>
            <w:tcW w:w="3619" w:type="dxa"/>
          </w:tcPr>
          <w:p w14:paraId="1B08DC8F" w14:textId="77777777" w:rsidR="00720A1B" w:rsidRPr="00AE69B1" w:rsidRDefault="00720A1B" w:rsidP="00921873">
            <w:pPr>
              <w:rPr>
                <w:rFonts w:cs="Arial"/>
                <w:sz w:val="18"/>
                <w:szCs w:val="20"/>
              </w:rPr>
            </w:pPr>
            <w:r w:rsidRPr="008067CC">
              <w:rPr>
                <w:sz w:val="18"/>
                <w:szCs w:val="18"/>
              </w:rPr>
              <w:t>First, the project will involve top-level international technical specialists with experience of implementing RES projects in developing countries to provide quality assurance throughout all stages of pilot RES project design and implementation. Second, a significant share of Component 2 will be devoted to building domestic capacity for</w:t>
            </w:r>
            <w:r>
              <w:rPr>
                <w:sz w:val="18"/>
                <w:szCs w:val="18"/>
              </w:rPr>
              <w:t xml:space="preserve"> small-scale</w:t>
            </w:r>
            <w:r w:rsidRPr="008067CC">
              <w:rPr>
                <w:sz w:val="18"/>
                <w:szCs w:val="18"/>
              </w:rPr>
              <w:t xml:space="preserve"> RES, through provision of vocational training and other type of learning and educational activities. Finally, domestic quality certification scheme for certain type of RES (e.g. solar PV) will be proposed and implemented to ensure minimum quality standards for RES projects.</w:t>
            </w:r>
          </w:p>
        </w:tc>
        <w:tc>
          <w:tcPr>
            <w:tcW w:w="1186" w:type="dxa"/>
          </w:tcPr>
          <w:p w14:paraId="3E0217B1" w14:textId="77777777" w:rsidR="00720A1B" w:rsidRPr="00780BCE" w:rsidRDefault="00720A1B" w:rsidP="00921873">
            <w:pPr>
              <w:rPr>
                <w:rFonts w:cs="Arial"/>
                <w:sz w:val="18"/>
                <w:szCs w:val="20"/>
              </w:rPr>
            </w:pPr>
            <w:r w:rsidRPr="00826C7F">
              <w:rPr>
                <w:rFonts w:cs="Arial"/>
                <w:sz w:val="18"/>
                <w:szCs w:val="18"/>
              </w:rPr>
              <w:t>Project manager</w:t>
            </w:r>
          </w:p>
        </w:tc>
        <w:tc>
          <w:tcPr>
            <w:tcW w:w="1163" w:type="dxa"/>
          </w:tcPr>
          <w:p w14:paraId="7153AE8D" w14:textId="77777777" w:rsidR="00720A1B" w:rsidRPr="00C40811" w:rsidRDefault="00720A1B" w:rsidP="00921873">
            <w:pPr>
              <w:rPr>
                <w:rFonts w:cs="Arial"/>
                <w:sz w:val="18"/>
                <w:szCs w:val="20"/>
              </w:rPr>
            </w:pPr>
          </w:p>
        </w:tc>
        <w:tc>
          <w:tcPr>
            <w:tcW w:w="1209" w:type="dxa"/>
          </w:tcPr>
          <w:p w14:paraId="325C3B7A" w14:textId="77777777" w:rsidR="00720A1B" w:rsidRPr="002B343A" w:rsidRDefault="00720A1B" w:rsidP="00921873">
            <w:pPr>
              <w:rPr>
                <w:rFonts w:cs="Arial"/>
                <w:sz w:val="18"/>
                <w:szCs w:val="20"/>
              </w:rPr>
            </w:pPr>
          </w:p>
        </w:tc>
        <w:tc>
          <w:tcPr>
            <w:tcW w:w="1517" w:type="dxa"/>
          </w:tcPr>
          <w:p w14:paraId="176292A9" w14:textId="77777777" w:rsidR="00720A1B" w:rsidRPr="002B343A" w:rsidRDefault="00720A1B" w:rsidP="00921873">
            <w:pPr>
              <w:rPr>
                <w:rFonts w:cs="Arial"/>
                <w:sz w:val="18"/>
                <w:szCs w:val="20"/>
              </w:rPr>
            </w:pPr>
          </w:p>
        </w:tc>
      </w:tr>
      <w:tr w:rsidR="00720A1B" w:rsidRPr="002D41F0" w14:paraId="0ADD070D" w14:textId="77777777" w:rsidTr="00921873">
        <w:trPr>
          <w:trHeight w:val="179"/>
        </w:trPr>
        <w:tc>
          <w:tcPr>
            <w:tcW w:w="371" w:type="dxa"/>
          </w:tcPr>
          <w:p w14:paraId="2F7B10E1" w14:textId="77777777" w:rsidR="00720A1B" w:rsidRPr="002D41F0" w:rsidRDefault="00720A1B" w:rsidP="00921873">
            <w:pPr>
              <w:rPr>
                <w:rFonts w:cs="Arial"/>
                <w:sz w:val="18"/>
                <w:szCs w:val="20"/>
              </w:rPr>
            </w:pPr>
            <w:r>
              <w:rPr>
                <w:rFonts w:cs="Arial"/>
                <w:sz w:val="18"/>
                <w:szCs w:val="20"/>
              </w:rPr>
              <w:t>5</w:t>
            </w:r>
          </w:p>
        </w:tc>
        <w:tc>
          <w:tcPr>
            <w:tcW w:w="1682" w:type="dxa"/>
          </w:tcPr>
          <w:p w14:paraId="1F435D75" w14:textId="77777777" w:rsidR="00720A1B" w:rsidRPr="008067CC" w:rsidRDefault="00720A1B" w:rsidP="00921873">
            <w:pPr>
              <w:rPr>
                <w:sz w:val="18"/>
                <w:szCs w:val="18"/>
              </w:rPr>
            </w:pPr>
            <w:r w:rsidRPr="008067CC">
              <w:rPr>
                <w:sz w:val="18"/>
                <w:szCs w:val="18"/>
              </w:rPr>
              <w:t>Co-financing for pilot projects doesn’t materialize due to lack of private sector intere</w:t>
            </w:r>
            <w:r>
              <w:rPr>
                <w:sz w:val="18"/>
                <w:szCs w:val="18"/>
              </w:rPr>
              <w:t>st and/or government commitment</w:t>
            </w:r>
          </w:p>
        </w:tc>
        <w:tc>
          <w:tcPr>
            <w:tcW w:w="1186" w:type="dxa"/>
          </w:tcPr>
          <w:p w14:paraId="7665238C" w14:textId="77777777" w:rsidR="00720A1B" w:rsidRPr="00066F16" w:rsidRDefault="00720A1B" w:rsidP="00921873">
            <w:pPr>
              <w:rPr>
                <w:sz w:val="18"/>
                <w:szCs w:val="18"/>
              </w:rPr>
            </w:pPr>
            <w:r w:rsidRPr="00066F16">
              <w:rPr>
                <w:sz w:val="18"/>
                <w:szCs w:val="18"/>
              </w:rPr>
              <w:t>28 March 2017</w:t>
            </w:r>
          </w:p>
        </w:tc>
        <w:tc>
          <w:tcPr>
            <w:tcW w:w="1309" w:type="dxa"/>
          </w:tcPr>
          <w:p w14:paraId="2111AE18" w14:textId="77777777" w:rsidR="00720A1B" w:rsidRPr="008067CC" w:rsidRDefault="00720A1B" w:rsidP="00921873">
            <w:pPr>
              <w:rPr>
                <w:sz w:val="18"/>
                <w:szCs w:val="18"/>
              </w:rPr>
            </w:pPr>
            <w:r w:rsidRPr="008067CC">
              <w:rPr>
                <w:sz w:val="18"/>
                <w:szCs w:val="18"/>
              </w:rPr>
              <w:t>Financial</w:t>
            </w:r>
          </w:p>
        </w:tc>
        <w:tc>
          <w:tcPr>
            <w:tcW w:w="1276" w:type="dxa"/>
          </w:tcPr>
          <w:p w14:paraId="3E50887D" w14:textId="77777777" w:rsidR="00720A1B" w:rsidRDefault="00720A1B" w:rsidP="00921873">
            <w:pPr>
              <w:rPr>
                <w:rFonts w:cs="Arial"/>
                <w:sz w:val="18"/>
                <w:szCs w:val="20"/>
              </w:rPr>
            </w:pPr>
            <w:r>
              <w:rPr>
                <w:rFonts w:cs="Arial"/>
                <w:sz w:val="18"/>
                <w:szCs w:val="20"/>
              </w:rPr>
              <w:t>P=1</w:t>
            </w:r>
          </w:p>
          <w:p w14:paraId="3290FEF9" w14:textId="77777777" w:rsidR="00720A1B" w:rsidRDefault="00720A1B" w:rsidP="00921873">
            <w:pPr>
              <w:rPr>
                <w:rFonts w:cs="Arial"/>
                <w:sz w:val="18"/>
                <w:szCs w:val="20"/>
              </w:rPr>
            </w:pPr>
            <w:r>
              <w:rPr>
                <w:rFonts w:cs="Arial"/>
                <w:sz w:val="18"/>
                <w:szCs w:val="20"/>
              </w:rPr>
              <w:t>I=4</w:t>
            </w:r>
          </w:p>
        </w:tc>
        <w:tc>
          <w:tcPr>
            <w:tcW w:w="3619" w:type="dxa"/>
          </w:tcPr>
          <w:p w14:paraId="7F926EF2" w14:textId="2B94B167" w:rsidR="00720A1B" w:rsidRPr="00337FEE" w:rsidRDefault="00337FEE" w:rsidP="00921873">
            <w:pPr>
              <w:rPr>
                <w:sz w:val="18"/>
                <w:szCs w:val="18"/>
              </w:rPr>
            </w:pPr>
            <w:r w:rsidRPr="00337FEE">
              <w:rPr>
                <w:rFonts w:asciiTheme="majorHAnsi" w:hAnsiTheme="majorHAnsi"/>
                <w:sz w:val="18"/>
                <w:szCs w:val="20"/>
                <w:highlight w:val="yellow"/>
              </w:rPr>
              <w:t>Co-financing for pilot RES for life projects will be provided from the financial institutions eager to support this technology and sectors with signed letters of financing, with continued support from the Ministry of Energy.</w:t>
            </w:r>
          </w:p>
        </w:tc>
        <w:tc>
          <w:tcPr>
            <w:tcW w:w="1186" w:type="dxa"/>
          </w:tcPr>
          <w:p w14:paraId="2FB7279C" w14:textId="77777777" w:rsidR="00720A1B" w:rsidRPr="00780BCE" w:rsidRDefault="00720A1B" w:rsidP="00921873">
            <w:pPr>
              <w:rPr>
                <w:rFonts w:cs="Arial"/>
                <w:sz w:val="18"/>
                <w:szCs w:val="20"/>
              </w:rPr>
            </w:pPr>
            <w:r w:rsidRPr="00826C7F">
              <w:rPr>
                <w:rFonts w:cs="Arial"/>
                <w:sz w:val="18"/>
                <w:szCs w:val="18"/>
              </w:rPr>
              <w:t>Project manager</w:t>
            </w:r>
          </w:p>
        </w:tc>
        <w:tc>
          <w:tcPr>
            <w:tcW w:w="1163" w:type="dxa"/>
          </w:tcPr>
          <w:p w14:paraId="20776284" w14:textId="77777777" w:rsidR="00720A1B" w:rsidRPr="00C40811" w:rsidRDefault="00720A1B" w:rsidP="00921873">
            <w:pPr>
              <w:rPr>
                <w:rFonts w:cs="Arial"/>
                <w:sz w:val="18"/>
                <w:szCs w:val="20"/>
              </w:rPr>
            </w:pPr>
          </w:p>
        </w:tc>
        <w:tc>
          <w:tcPr>
            <w:tcW w:w="1209" w:type="dxa"/>
          </w:tcPr>
          <w:p w14:paraId="1F0B2970" w14:textId="77777777" w:rsidR="00720A1B" w:rsidRPr="002B343A" w:rsidRDefault="00720A1B" w:rsidP="00921873">
            <w:pPr>
              <w:rPr>
                <w:rFonts w:cs="Arial"/>
                <w:sz w:val="18"/>
                <w:szCs w:val="20"/>
              </w:rPr>
            </w:pPr>
          </w:p>
        </w:tc>
        <w:tc>
          <w:tcPr>
            <w:tcW w:w="1517" w:type="dxa"/>
          </w:tcPr>
          <w:p w14:paraId="0A416C1B" w14:textId="77777777" w:rsidR="00720A1B" w:rsidRPr="002B343A" w:rsidRDefault="00720A1B" w:rsidP="00921873">
            <w:pPr>
              <w:rPr>
                <w:rFonts w:cs="Arial"/>
                <w:sz w:val="18"/>
                <w:szCs w:val="20"/>
              </w:rPr>
            </w:pPr>
          </w:p>
        </w:tc>
      </w:tr>
      <w:tr w:rsidR="00720A1B" w:rsidRPr="002D41F0" w14:paraId="3C717366" w14:textId="77777777" w:rsidTr="00921873">
        <w:trPr>
          <w:trHeight w:val="179"/>
        </w:trPr>
        <w:tc>
          <w:tcPr>
            <w:tcW w:w="371" w:type="dxa"/>
          </w:tcPr>
          <w:p w14:paraId="5C643CE3" w14:textId="77777777" w:rsidR="00720A1B" w:rsidRPr="002D41F0" w:rsidRDefault="00720A1B" w:rsidP="00921873">
            <w:pPr>
              <w:rPr>
                <w:rFonts w:cs="Arial"/>
                <w:sz w:val="18"/>
                <w:szCs w:val="20"/>
              </w:rPr>
            </w:pPr>
            <w:r>
              <w:rPr>
                <w:rFonts w:cs="Arial"/>
                <w:sz w:val="18"/>
                <w:szCs w:val="20"/>
              </w:rPr>
              <w:t>6</w:t>
            </w:r>
          </w:p>
        </w:tc>
        <w:tc>
          <w:tcPr>
            <w:tcW w:w="1682" w:type="dxa"/>
          </w:tcPr>
          <w:p w14:paraId="0C80AF07" w14:textId="77777777" w:rsidR="00720A1B" w:rsidRPr="008067CC" w:rsidRDefault="00720A1B" w:rsidP="00921873">
            <w:pPr>
              <w:rPr>
                <w:sz w:val="18"/>
                <w:szCs w:val="18"/>
              </w:rPr>
            </w:pPr>
            <w:r w:rsidRPr="008067CC">
              <w:rPr>
                <w:sz w:val="18"/>
                <w:szCs w:val="18"/>
              </w:rPr>
              <w:t>Local financial institutions fail to launch financial products to support small-scale RED developments</w:t>
            </w:r>
          </w:p>
        </w:tc>
        <w:tc>
          <w:tcPr>
            <w:tcW w:w="1186" w:type="dxa"/>
          </w:tcPr>
          <w:p w14:paraId="3FC75BDC" w14:textId="77777777" w:rsidR="00720A1B" w:rsidRPr="00066F16" w:rsidRDefault="00720A1B" w:rsidP="00921873">
            <w:pPr>
              <w:rPr>
                <w:sz w:val="18"/>
                <w:szCs w:val="18"/>
              </w:rPr>
            </w:pPr>
            <w:r w:rsidRPr="00066F16">
              <w:rPr>
                <w:sz w:val="18"/>
                <w:szCs w:val="18"/>
              </w:rPr>
              <w:t>28 March 2017</w:t>
            </w:r>
          </w:p>
        </w:tc>
        <w:tc>
          <w:tcPr>
            <w:tcW w:w="1309" w:type="dxa"/>
          </w:tcPr>
          <w:p w14:paraId="5E1BE93A" w14:textId="77777777" w:rsidR="00720A1B" w:rsidRPr="008067CC" w:rsidRDefault="00720A1B" w:rsidP="00921873">
            <w:pPr>
              <w:rPr>
                <w:sz w:val="18"/>
                <w:szCs w:val="18"/>
              </w:rPr>
            </w:pPr>
            <w:r w:rsidRPr="008067CC">
              <w:rPr>
                <w:sz w:val="18"/>
                <w:szCs w:val="18"/>
              </w:rPr>
              <w:t>Financial</w:t>
            </w:r>
          </w:p>
        </w:tc>
        <w:tc>
          <w:tcPr>
            <w:tcW w:w="1276" w:type="dxa"/>
          </w:tcPr>
          <w:p w14:paraId="6FCF3BE5" w14:textId="77777777" w:rsidR="00720A1B" w:rsidRDefault="00720A1B" w:rsidP="00921873">
            <w:pPr>
              <w:rPr>
                <w:rFonts w:cs="Arial"/>
                <w:sz w:val="18"/>
                <w:szCs w:val="20"/>
              </w:rPr>
            </w:pPr>
            <w:r>
              <w:rPr>
                <w:rFonts w:cs="Arial"/>
                <w:sz w:val="18"/>
                <w:szCs w:val="20"/>
              </w:rPr>
              <w:t>P=3</w:t>
            </w:r>
          </w:p>
          <w:p w14:paraId="7C39BA9F" w14:textId="77777777" w:rsidR="00720A1B" w:rsidRDefault="00720A1B" w:rsidP="00921873">
            <w:pPr>
              <w:rPr>
                <w:rFonts w:cs="Arial"/>
                <w:sz w:val="18"/>
                <w:szCs w:val="20"/>
              </w:rPr>
            </w:pPr>
            <w:r>
              <w:rPr>
                <w:rFonts w:cs="Arial"/>
                <w:sz w:val="18"/>
                <w:szCs w:val="20"/>
              </w:rPr>
              <w:t>I=5</w:t>
            </w:r>
          </w:p>
        </w:tc>
        <w:tc>
          <w:tcPr>
            <w:tcW w:w="3619" w:type="dxa"/>
          </w:tcPr>
          <w:p w14:paraId="4DB95E78" w14:textId="51C635A7" w:rsidR="00720A1B" w:rsidRPr="008067CC" w:rsidRDefault="00720A1B" w:rsidP="00921873">
            <w:pPr>
              <w:rPr>
                <w:sz w:val="18"/>
                <w:szCs w:val="18"/>
              </w:rPr>
            </w:pPr>
            <w:r w:rsidRPr="008067CC">
              <w:rPr>
                <w:sz w:val="18"/>
                <w:szCs w:val="18"/>
              </w:rPr>
              <w:t>The project will offer capacity building and training for the local financial institutions. Furthermore, the confidence of the financial institutions will be increased via demonstrations activities, i.e</w:t>
            </w:r>
            <w:r w:rsidR="00A8609D">
              <w:rPr>
                <w:sz w:val="18"/>
                <w:szCs w:val="18"/>
              </w:rPr>
              <w:t>.</w:t>
            </w:r>
            <w:r w:rsidRPr="008067CC">
              <w:rPr>
                <w:sz w:val="18"/>
                <w:szCs w:val="18"/>
              </w:rPr>
              <w:t xml:space="preserve"> pilot small-scale RES projects will be supported. Also, created favorable policy environment under Component 2 </w:t>
            </w:r>
            <w:r>
              <w:rPr>
                <w:sz w:val="18"/>
                <w:szCs w:val="18"/>
              </w:rPr>
              <w:t xml:space="preserve">for small-scale renewables </w:t>
            </w:r>
            <w:r w:rsidRPr="008067CC">
              <w:rPr>
                <w:sz w:val="18"/>
                <w:szCs w:val="18"/>
              </w:rPr>
              <w:t>will enable development of financial products.</w:t>
            </w:r>
          </w:p>
        </w:tc>
        <w:tc>
          <w:tcPr>
            <w:tcW w:w="1186" w:type="dxa"/>
          </w:tcPr>
          <w:p w14:paraId="5B6A1369" w14:textId="77777777" w:rsidR="00720A1B" w:rsidRPr="00780BCE" w:rsidRDefault="00720A1B" w:rsidP="00921873">
            <w:pPr>
              <w:rPr>
                <w:rFonts w:cs="Arial"/>
                <w:sz w:val="18"/>
                <w:szCs w:val="20"/>
              </w:rPr>
            </w:pPr>
            <w:r w:rsidRPr="00826C7F">
              <w:rPr>
                <w:rFonts w:cs="Arial"/>
                <w:sz w:val="18"/>
                <w:szCs w:val="18"/>
              </w:rPr>
              <w:t>Project manager</w:t>
            </w:r>
          </w:p>
        </w:tc>
        <w:tc>
          <w:tcPr>
            <w:tcW w:w="1163" w:type="dxa"/>
          </w:tcPr>
          <w:p w14:paraId="0F77799D" w14:textId="77777777" w:rsidR="00720A1B" w:rsidRPr="00C40811" w:rsidRDefault="00720A1B" w:rsidP="00921873">
            <w:pPr>
              <w:rPr>
                <w:rFonts w:cs="Arial"/>
                <w:sz w:val="18"/>
                <w:szCs w:val="20"/>
              </w:rPr>
            </w:pPr>
          </w:p>
        </w:tc>
        <w:tc>
          <w:tcPr>
            <w:tcW w:w="1209" w:type="dxa"/>
          </w:tcPr>
          <w:p w14:paraId="75814709" w14:textId="77777777" w:rsidR="00720A1B" w:rsidRPr="002B343A" w:rsidRDefault="00720A1B" w:rsidP="00921873">
            <w:pPr>
              <w:rPr>
                <w:rFonts w:cs="Arial"/>
                <w:sz w:val="18"/>
                <w:szCs w:val="20"/>
              </w:rPr>
            </w:pPr>
          </w:p>
        </w:tc>
        <w:tc>
          <w:tcPr>
            <w:tcW w:w="1517" w:type="dxa"/>
          </w:tcPr>
          <w:p w14:paraId="7B8F1DA6" w14:textId="77777777" w:rsidR="00720A1B" w:rsidRPr="002B343A" w:rsidRDefault="00720A1B" w:rsidP="00921873">
            <w:pPr>
              <w:rPr>
                <w:rFonts w:cs="Arial"/>
                <w:sz w:val="18"/>
                <w:szCs w:val="20"/>
              </w:rPr>
            </w:pPr>
          </w:p>
        </w:tc>
      </w:tr>
      <w:tr w:rsidR="00720A1B" w:rsidRPr="002D41F0" w14:paraId="759571CD" w14:textId="77777777" w:rsidTr="00921873">
        <w:trPr>
          <w:trHeight w:val="179"/>
        </w:trPr>
        <w:tc>
          <w:tcPr>
            <w:tcW w:w="371" w:type="dxa"/>
          </w:tcPr>
          <w:p w14:paraId="6764E0E6" w14:textId="77777777" w:rsidR="00720A1B" w:rsidRPr="002D41F0" w:rsidRDefault="00720A1B" w:rsidP="00921873">
            <w:pPr>
              <w:rPr>
                <w:rFonts w:cs="Arial"/>
                <w:sz w:val="18"/>
                <w:szCs w:val="20"/>
              </w:rPr>
            </w:pPr>
            <w:r>
              <w:rPr>
                <w:rFonts w:cs="Arial"/>
                <w:sz w:val="18"/>
                <w:szCs w:val="20"/>
              </w:rPr>
              <w:t>7</w:t>
            </w:r>
          </w:p>
        </w:tc>
        <w:tc>
          <w:tcPr>
            <w:tcW w:w="1682" w:type="dxa"/>
          </w:tcPr>
          <w:p w14:paraId="2414D762" w14:textId="77777777" w:rsidR="00720A1B" w:rsidRPr="008067CC" w:rsidRDefault="00720A1B" w:rsidP="00921873">
            <w:pPr>
              <w:rPr>
                <w:sz w:val="18"/>
                <w:szCs w:val="18"/>
              </w:rPr>
            </w:pPr>
            <w:r w:rsidRPr="008067CC">
              <w:rPr>
                <w:sz w:val="18"/>
                <w:szCs w:val="18"/>
              </w:rPr>
              <w:t>Climate change poses two categories of risks for the deployment of RES in Kazakhstan. First, intensified frequency and scale of natural disasters pose risks to any infrastructure, including to RES projects. Second, availability of some RE resources might be affected as a result of climate change (e.g. hydro)</w:t>
            </w:r>
          </w:p>
        </w:tc>
        <w:tc>
          <w:tcPr>
            <w:tcW w:w="1186" w:type="dxa"/>
          </w:tcPr>
          <w:p w14:paraId="4E979FCB" w14:textId="77777777" w:rsidR="00720A1B" w:rsidRPr="00066F16" w:rsidRDefault="00720A1B" w:rsidP="00921873">
            <w:pPr>
              <w:rPr>
                <w:sz w:val="18"/>
                <w:szCs w:val="18"/>
              </w:rPr>
            </w:pPr>
            <w:r w:rsidRPr="00066F16">
              <w:rPr>
                <w:sz w:val="18"/>
                <w:szCs w:val="18"/>
              </w:rPr>
              <w:t>28 March 2017</w:t>
            </w:r>
          </w:p>
        </w:tc>
        <w:tc>
          <w:tcPr>
            <w:tcW w:w="1309" w:type="dxa"/>
          </w:tcPr>
          <w:p w14:paraId="29DA1CBE" w14:textId="77777777" w:rsidR="00720A1B" w:rsidRPr="008067CC" w:rsidRDefault="00720A1B" w:rsidP="00921873">
            <w:pPr>
              <w:rPr>
                <w:sz w:val="18"/>
                <w:szCs w:val="18"/>
              </w:rPr>
            </w:pPr>
            <w:r>
              <w:rPr>
                <w:sz w:val="18"/>
                <w:szCs w:val="18"/>
              </w:rPr>
              <w:t>Environmental</w:t>
            </w:r>
          </w:p>
        </w:tc>
        <w:tc>
          <w:tcPr>
            <w:tcW w:w="1276" w:type="dxa"/>
          </w:tcPr>
          <w:p w14:paraId="2F8D7160" w14:textId="77777777" w:rsidR="00720A1B" w:rsidRDefault="00720A1B" w:rsidP="00921873">
            <w:pPr>
              <w:rPr>
                <w:rFonts w:cs="Arial"/>
                <w:sz w:val="18"/>
                <w:szCs w:val="20"/>
              </w:rPr>
            </w:pPr>
            <w:r>
              <w:rPr>
                <w:rFonts w:cs="Arial"/>
                <w:sz w:val="18"/>
                <w:szCs w:val="20"/>
              </w:rPr>
              <w:t>P=1</w:t>
            </w:r>
          </w:p>
          <w:p w14:paraId="60434D3C" w14:textId="77777777" w:rsidR="00720A1B" w:rsidRDefault="00720A1B" w:rsidP="00921873">
            <w:pPr>
              <w:rPr>
                <w:rFonts w:cs="Arial"/>
                <w:sz w:val="18"/>
                <w:szCs w:val="20"/>
              </w:rPr>
            </w:pPr>
            <w:r>
              <w:rPr>
                <w:rFonts w:cs="Arial"/>
                <w:sz w:val="18"/>
                <w:szCs w:val="20"/>
              </w:rPr>
              <w:t>I=3</w:t>
            </w:r>
          </w:p>
          <w:p w14:paraId="10F6DD14" w14:textId="77777777" w:rsidR="00720A1B" w:rsidRDefault="00720A1B" w:rsidP="00921873">
            <w:pPr>
              <w:rPr>
                <w:rFonts w:cs="Arial"/>
                <w:sz w:val="18"/>
                <w:szCs w:val="20"/>
              </w:rPr>
            </w:pPr>
          </w:p>
        </w:tc>
        <w:tc>
          <w:tcPr>
            <w:tcW w:w="3619" w:type="dxa"/>
          </w:tcPr>
          <w:p w14:paraId="698BF96B" w14:textId="0AC88232" w:rsidR="00720A1B" w:rsidRPr="008067CC" w:rsidRDefault="00720A1B" w:rsidP="00921873">
            <w:pPr>
              <w:rPr>
                <w:sz w:val="18"/>
                <w:szCs w:val="18"/>
              </w:rPr>
            </w:pPr>
            <w:r w:rsidRPr="008067CC">
              <w:rPr>
                <w:sz w:val="18"/>
                <w:szCs w:val="18"/>
              </w:rPr>
              <w:t>Resource risk will be mitigated through diversification of targeted RES, solar, wind, biogas, etc. In fact, solar and wind resources, where the largest potential exist in Kazakhstan, are not expected to be negatively affected by the changing climate</w:t>
            </w:r>
            <w:r w:rsidR="00A8609D">
              <w:rPr>
                <w:sz w:val="18"/>
                <w:szCs w:val="18"/>
              </w:rPr>
              <w:t>.</w:t>
            </w:r>
            <w:r w:rsidRPr="008067CC">
              <w:rPr>
                <w:sz w:val="18"/>
                <w:szCs w:val="18"/>
              </w:rPr>
              <w:t xml:space="preserve"> </w:t>
            </w:r>
            <w:r w:rsidR="00A8609D" w:rsidRPr="008067CC">
              <w:rPr>
                <w:sz w:val="18"/>
                <w:szCs w:val="18"/>
              </w:rPr>
              <w:t>Regarding</w:t>
            </w:r>
            <w:r w:rsidRPr="008067CC">
              <w:rPr>
                <w:sz w:val="18"/>
                <w:szCs w:val="18"/>
              </w:rPr>
              <w:t xml:space="preserve"> infrastructure risks caused by climate-induced events, for each pilot investment climate risk assessment will be conducted and mitigation strategy proposed as part of pilot project design</w:t>
            </w:r>
          </w:p>
        </w:tc>
        <w:tc>
          <w:tcPr>
            <w:tcW w:w="1186" w:type="dxa"/>
          </w:tcPr>
          <w:p w14:paraId="39EC5DB4" w14:textId="77777777" w:rsidR="00720A1B" w:rsidRPr="00780BCE" w:rsidRDefault="00720A1B" w:rsidP="00921873">
            <w:pPr>
              <w:rPr>
                <w:rFonts w:cs="Arial"/>
                <w:sz w:val="18"/>
                <w:szCs w:val="20"/>
              </w:rPr>
            </w:pPr>
            <w:r w:rsidRPr="00826C7F">
              <w:rPr>
                <w:rFonts w:cs="Arial"/>
                <w:sz w:val="18"/>
                <w:szCs w:val="18"/>
              </w:rPr>
              <w:t>Project manager</w:t>
            </w:r>
          </w:p>
        </w:tc>
        <w:tc>
          <w:tcPr>
            <w:tcW w:w="1163" w:type="dxa"/>
          </w:tcPr>
          <w:p w14:paraId="3BD3A872" w14:textId="77777777" w:rsidR="00720A1B" w:rsidRPr="00C40811" w:rsidRDefault="00720A1B" w:rsidP="00921873">
            <w:pPr>
              <w:rPr>
                <w:rFonts w:cs="Arial"/>
                <w:sz w:val="18"/>
                <w:szCs w:val="20"/>
              </w:rPr>
            </w:pPr>
          </w:p>
        </w:tc>
        <w:tc>
          <w:tcPr>
            <w:tcW w:w="1209" w:type="dxa"/>
          </w:tcPr>
          <w:p w14:paraId="41F1E007" w14:textId="77777777" w:rsidR="00720A1B" w:rsidRPr="002B343A" w:rsidRDefault="00720A1B" w:rsidP="00921873">
            <w:pPr>
              <w:rPr>
                <w:rFonts w:cs="Arial"/>
                <w:sz w:val="18"/>
                <w:szCs w:val="20"/>
              </w:rPr>
            </w:pPr>
          </w:p>
        </w:tc>
        <w:tc>
          <w:tcPr>
            <w:tcW w:w="1517" w:type="dxa"/>
          </w:tcPr>
          <w:p w14:paraId="772C3260" w14:textId="77777777" w:rsidR="00720A1B" w:rsidRPr="002B343A" w:rsidRDefault="00720A1B" w:rsidP="00921873">
            <w:pPr>
              <w:rPr>
                <w:rFonts w:cs="Arial"/>
                <w:sz w:val="18"/>
                <w:szCs w:val="20"/>
              </w:rPr>
            </w:pPr>
          </w:p>
        </w:tc>
      </w:tr>
      <w:tr w:rsidR="00720A1B" w:rsidRPr="002D41F0" w14:paraId="697751EC" w14:textId="77777777" w:rsidTr="00921873">
        <w:trPr>
          <w:trHeight w:val="179"/>
        </w:trPr>
        <w:tc>
          <w:tcPr>
            <w:tcW w:w="371" w:type="dxa"/>
          </w:tcPr>
          <w:p w14:paraId="013BB917" w14:textId="77777777" w:rsidR="00720A1B" w:rsidRPr="002D41F0" w:rsidRDefault="00720A1B" w:rsidP="00921873">
            <w:pPr>
              <w:rPr>
                <w:rFonts w:cs="Arial"/>
                <w:sz w:val="18"/>
                <w:szCs w:val="20"/>
              </w:rPr>
            </w:pPr>
            <w:r>
              <w:rPr>
                <w:rFonts w:cs="Arial"/>
                <w:sz w:val="18"/>
                <w:szCs w:val="20"/>
              </w:rPr>
              <w:t>8</w:t>
            </w:r>
          </w:p>
        </w:tc>
        <w:tc>
          <w:tcPr>
            <w:tcW w:w="1682" w:type="dxa"/>
          </w:tcPr>
          <w:p w14:paraId="6B386552" w14:textId="77777777" w:rsidR="00720A1B" w:rsidRPr="008067CC" w:rsidRDefault="00720A1B" w:rsidP="00921873">
            <w:pPr>
              <w:rPr>
                <w:sz w:val="18"/>
                <w:szCs w:val="18"/>
              </w:rPr>
            </w:pPr>
            <w:r w:rsidRPr="008067CC">
              <w:rPr>
                <w:sz w:val="18"/>
                <w:szCs w:val="18"/>
              </w:rPr>
              <w:t>Small-scale urban and rural RES developers do not use developed financial products</w:t>
            </w:r>
          </w:p>
        </w:tc>
        <w:tc>
          <w:tcPr>
            <w:tcW w:w="1186" w:type="dxa"/>
          </w:tcPr>
          <w:p w14:paraId="6D93DCF2" w14:textId="77777777" w:rsidR="00720A1B" w:rsidRPr="00066F16" w:rsidRDefault="00720A1B" w:rsidP="00921873">
            <w:pPr>
              <w:rPr>
                <w:sz w:val="18"/>
                <w:szCs w:val="18"/>
              </w:rPr>
            </w:pPr>
            <w:r w:rsidRPr="00066F16">
              <w:rPr>
                <w:sz w:val="18"/>
                <w:szCs w:val="18"/>
              </w:rPr>
              <w:t>28 March 2017</w:t>
            </w:r>
          </w:p>
        </w:tc>
        <w:tc>
          <w:tcPr>
            <w:tcW w:w="1309" w:type="dxa"/>
          </w:tcPr>
          <w:p w14:paraId="5C901358" w14:textId="77777777" w:rsidR="00720A1B" w:rsidRDefault="00720A1B" w:rsidP="00921873">
            <w:pPr>
              <w:rPr>
                <w:sz w:val="18"/>
                <w:szCs w:val="18"/>
              </w:rPr>
            </w:pPr>
            <w:r>
              <w:rPr>
                <w:sz w:val="18"/>
                <w:szCs w:val="18"/>
              </w:rPr>
              <w:t>Social</w:t>
            </w:r>
          </w:p>
        </w:tc>
        <w:tc>
          <w:tcPr>
            <w:tcW w:w="1276" w:type="dxa"/>
          </w:tcPr>
          <w:p w14:paraId="1E42F24F" w14:textId="77777777" w:rsidR="00720A1B" w:rsidRDefault="00720A1B" w:rsidP="00921873">
            <w:pPr>
              <w:rPr>
                <w:rFonts w:cs="Arial"/>
                <w:sz w:val="18"/>
                <w:szCs w:val="20"/>
              </w:rPr>
            </w:pPr>
            <w:r>
              <w:rPr>
                <w:rFonts w:cs="Arial"/>
                <w:sz w:val="18"/>
                <w:szCs w:val="20"/>
              </w:rPr>
              <w:t>P=2</w:t>
            </w:r>
          </w:p>
          <w:p w14:paraId="0956844A" w14:textId="77777777" w:rsidR="00720A1B" w:rsidRDefault="00720A1B" w:rsidP="00921873">
            <w:pPr>
              <w:rPr>
                <w:rFonts w:cs="Arial"/>
                <w:sz w:val="18"/>
                <w:szCs w:val="20"/>
              </w:rPr>
            </w:pPr>
            <w:r>
              <w:rPr>
                <w:rFonts w:cs="Arial"/>
                <w:sz w:val="18"/>
                <w:szCs w:val="20"/>
              </w:rPr>
              <w:t>I=4</w:t>
            </w:r>
          </w:p>
        </w:tc>
        <w:tc>
          <w:tcPr>
            <w:tcW w:w="3619" w:type="dxa"/>
          </w:tcPr>
          <w:p w14:paraId="571DB837" w14:textId="77777777" w:rsidR="00720A1B" w:rsidRPr="008067CC" w:rsidRDefault="00720A1B" w:rsidP="00921873">
            <w:pPr>
              <w:rPr>
                <w:sz w:val="18"/>
                <w:szCs w:val="18"/>
              </w:rPr>
            </w:pPr>
            <w:r w:rsidRPr="008067CC">
              <w:rPr>
                <w:sz w:val="18"/>
                <w:szCs w:val="18"/>
              </w:rPr>
              <w:t>The risk is mitigated through a country-wide awareness campaign and adequate design of financial products tailored to the needs and abilities of small-scale developers.</w:t>
            </w:r>
          </w:p>
        </w:tc>
        <w:tc>
          <w:tcPr>
            <w:tcW w:w="1186" w:type="dxa"/>
          </w:tcPr>
          <w:p w14:paraId="2A30EBB3" w14:textId="77777777" w:rsidR="00720A1B" w:rsidRPr="00780BCE" w:rsidRDefault="00720A1B" w:rsidP="00921873">
            <w:pPr>
              <w:rPr>
                <w:rFonts w:cs="Arial"/>
                <w:sz w:val="18"/>
                <w:szCs w:val="20"/>
              </w:rPr>
            </w:pPr>
            <w:r w:rsidRPr="00251AB8">
              <w:rPr>
                <w:rFonts w:cs="Arial"/>
                <w:sz w:val="18"/>
                <w:szCs w:val="18"/>
              </w:rPr>
              <w:t>Project manager</w:t>
            </w:r>
          </w:p>
        </w:tc>
        <w:tc>
          <w:tcPr>
            <w:tcW w:w="1163" w:type="dxa"/>
          </w:tcPr>
          <w:p w14:paraId="31CF0413" w14:textId="77777777" w:rsidR="00720A1B" w:rsidRPr="00C40811" w:rsidRDefault="00720A1B" w:rsidP="00921873">
            <w:pPr>
              <w:rPr>
                <w:rFonts w:cs="Arial"/>
                <w:sz w:val="18"/>
                <w:szCs w:val="20"/>
              </w:rPr>
            </w:pPr>
          </w:p>
        </w:tc>
        <w:tc>
          <w:tcPr>
            <w:tcW w:w="1209" w:type="dxa"/>
          </w:tcPr>
          <w:p w14:paraId="6DDC22C5" w14:textId="77777777" w:rsidR="00720A1B" w:rsidRPr="002B343A" w:rsidRDefault="00720A1B" w:rsidP="00921873">
            <w:pPr>
              <w:rPr>
                <w:rFonts w:cs="Arial"/>
                <w:sz w:val="18"/>
                <w:szCs w:val="20"/>
              </w:rPr>
            </w:pPr>
          </w:p>
        </w:tc>
        <w:tc>
          <w:tcPr>
            <w:tcW w:w="1517" w:type="dxa"/>
          </w:tcPr>
          <w:p w14:paraId="312EBF8D" w14:textId="77777777" w:rsidR="00720A1B" w:rsidRPr="002B343A" w:rsidRDefault="00720A1B" w:rsidP="00921873">
            <w:pPr>
              <w:rPr>
                <w:rFonts w:cs="Arial"/>
                <w:sz w:val="18"/>
                <w:szCs w:val="20"/>
              </w:rPr>
            </w:pPr>
          </w:p>
        </w:tc>
      </w:tr>
      <w:tr w:rsidR="00720A1B" w:rsidRPr="002D41F0" w14:paraId="55607517" w14:textId="77777777" w:rsidTr="00921873">
        <w:trPr>
          <w:trHeight w:val="179"/>
        </w:trPr>
        <w:tc>
          <w:tcPr>
            <w:tcW w:w="371" w:type="dxa"/>
          </w:tcPr>
          <w:p w14:paraId="218EB270" w14:textId="77777777" w:rsidR="00720A1B" w:rsidRPr="002D41F0" w:rsidRDefault="00720A1B" w:rsidP="00921873">
            <w:pPr>
              <w:rPr>
                <w:rFonts w:cs="Arial"/>
                <w:sz w:val="18"/>
                <w:szCs w:val="20"/>
              </w:rPr>
            </w:pPr>
            <w:r>
              <w:rPr>
                <w:rFonts w:cs="Arial"/>
                <w:sz w:val="18"/>
                <w:szCs w:val="20"/>
              </w:rPr>
              <w:t>9</w:t>
            </w:r>
          </w:p>
        </w:tc>
        <w:tc>
          <w:tcPr>
            <w:tcW w:w="1682" w:type="dxa"/>
          </w:tcPr>
          <w:p w14:paraId="7A603525" w14:textId="77777777" w:rsidR="00720A1B" w:rsidRPr="008067CC" w:rsidRDefault="00720A1B" w:rsidP="00921873">
            <w:pPr>
              <w:rPr>
                <w:sz w:val="18"/>
                <w:szCs w:val="18"/>
              </w:rPr>
            </w:pPr>
            <w:r w:rsidRPr="008067CC">
              <w:rPr>
                <w:sz w:val="18"/>
                <w:szCs w:val="18"/>
              </w:rPr>
              <w:t>Developed business and financial models for small-scale RES are not replicated through out the Kazakhstan</w:t>
            </w:r>
          </w:p>
        </w:tc>
        <w:tc>
          <w:tcPr>
            <w:tcW w:w="1186" w:type="dxa"/>
          </w:tcPr>
          <w:p w14:paraId="57E3D110" w14:textId="77777777" w:rsidR="00720A1B" w:rsidRPr="00066F16" w:rsidRDefault="00720A1B" w:rsidP="00921873">
            <w:pPr>
              <w:rPr>
                <w:sz w:val="18"/>
                <w:szCs w:val="18"/>
              </w:rPr>
            </w:pPr>
            <w:r w:rsidRPr="00066F16">
              <w:rPr>
                <w:sz w:val="18"/>
                <w:szCs w:val="18"/>
              </w:rPr>
              <w:t>28 March 2017</w:t>
            </w:r>
          </w:p>
        </w:tc>
        <w:tc>
          <w:tcPr>
            <w:tcW w:w="1309" w:type="dxa"/>
          </w:tcPr>
          <w:p w14:paraId="59D84022" w14:textId="77777777" w:rsidR="00720A1B" w:rsidRDefault="00720A1B" w:rsidP="00921873">
            <w:pPr>
              <w:rPr>
                <w:sz w:val="18"/>
                <w:szCs w:val="18"/>
              </w:rPr>
            </w:pPr>
            <w:r>
              <w:rPr>
                <w:sz w:val="18"/>
                <w:szCs w:val="18"/>
              </w:rPr>
              <w:t xml:space="preserve">Market </w:t>
            </w:r>
          </w:p>
        </w:tc>
        <w:tc>
          <w:tcPr>
            <w:tcW w:w="1276" w:type="dxa"/>
          </w:tcPr>
          <w:p w14:paraId="582132B7" w14:textId="77777777" w:rsidR="00720A1B" w:rsidRDefault="00720A1B" w:rsidP="00921873">
            <w:pPr>
              <w:rPr>
                <w:rFonts w:cs="Arial"/>
                <w:sz w:val="18"/>
                <w:szCs w:val="20"/>
              </w:rPr>
            </w:pPr>
            <w:r>
              <w:rPr>
                <w:rFonts w:cs="Arial"/>
                <w:sz w:val="18"/>
                <w:szCs w:val="20"/>
              </w:rPr>
              <w:t>P=1</w:t>
            </w:r>
          </w:p>
          <w:p w14:paraId="0CA37292" w14:textId="77777777" w:rsidR="00720A1B" w:rsidRDefault="00720A1B" w:rsidP="00921873">
            <w:pPr>
              <w:rPr>
                <w:rFonts w:cs="Arial"/>
                <w:sz w:val="18"/>
                <w:szCs w:val="20"/>
              </w:rPr>
            </w:pPr>
            <w:r>
              <w:rPr>
                <w:rFonts w:cs="Arial"/>
                <w:sz w:val="18"/>
                <w:szCs w:val="20"/>
              </w:rPr>
              <w:t>I=3</w:t>
            </w:r>
          </w:p>
        </w:tc>
        <w:tc>
          <w:tcPr>
            <w:tcW w:w="3619" w:type="dxa"/>
          </w:tcPr>
          <w:p w14:paraId="756F0794" w14:textId="77777777" w:rsidR="00720A1B" w:rsidRPr="008067CC" w:rsidRDefault="00720A1B" w:rsidP="00921873">
            <w:pPr>
              <w:rPr>
                <w:sz w:val="18"/>
                <w:szCs w:val="18"/>
              </w:rPr>
            </w:pPr>
            <w:r w:rsidRPr="008067CC">
              <w:rPr>
                <w:sz w:val="18"/>
                <w:szCs w:val="18"/>
              </w:rPr>
              <w:t>The mitigation measures include increasing awareness (component 2), increasing access to small-scale finance (component 3), ensuring continued governmental support and commitment for small-scale (component 2) and close monitoring of lessons learned.</w:t>
            </w:r>
          </w:p>
        </w:tc>
        <w:tc>
          <w:tcPr>
            <w:tcW w:w="1186" w:type="dxa"/>
          </w:tcPr>
          <w:p w14:paraId="3F82AFFA" w14:textId="77777777" w:rsidR="00720A1B" w:rsidRPr="00780BCE" w:rsidRDefault="00720A1B" w:rsidP="00921873">
            <w:pPr>
              <w:rPr>
                <w:rFonts w:cs="Arial"/>
                <w:sz w:val="18"/>
                <w:szCs w:val="20"/>
              </w:rPr>
            </w:pPr>
            <w:r w:rsidRPr="00251AB8">
              <w:rPr>
                <w:rFonts w:cs="Arial"/>
                <w:sz w:val="18"/>
                <w:szCs w:val="18"/>
              </w:rPr>
              <w:t>Project manager</w:t>
            </w:r>
          </w:p>
        </w:tc>
        <w:tc>
          <w:tcPr>
            <w:tcW w:w="1163" w:type="dxa"/>
          </w:tcPr>
          <w:p w14:paraId="13A5E35D" w14:textId="77777777" w:rsidR="00720A1B" w:rsidRPr="00C40811" w:rsidRDefault="00720A1B" w:rsidP="00921873">
            <w:pPr>
              <w:rPr>
                <w:rFonts w:cs="Arial"/>
                <w:sz w:val="18"/>
                <w:szCs w:val="20"/>
              </w:rPr>
            </w:pPr>
          </w:p>
        </w:tc>
        <w:tc>
          <w:tcPr>
            <w:tcW w:w="1209" w:type="dxa"/>
          </w:tcPr>
          <w:p w14:paraId="5E101C95" w14:textId="77777777" w:rsidR="00720A1B" w:rsidRPr="002B343A" w:rsidRDefault="00720A1B" w:rsidP="00921873">
            <w:pPr>
              <w:rPr>
                <w:rFonts w:cs="Arial"/>
                <w:sz w:val="18"/>
                <w:szCs w:val="20"/>
              </w:rPr>
            </w:pPr>
          </w:p>
        </w:tc>
        <w:tc>
          <w:tcPr>
            <w:tcW w:w="1517" w:type="dxa"/>
          </w:tcPr>
          <w:p w14:paraId="2B256A01" w14:textId="77777777" w:rsidR="00720A1B" w:rsidRPr="002B343A" w:rsidRDefault="00720A1B" w:rsidP="00921873">
            <w:pPr>
              <w:rPr>
                <w:rFonts w:cs="Arial"/>
                <w:sz w:val="18"/>
                <w:szCs w:val="20"/>
              </w:rPr>
            </w:pPr>
          </w:p>
        </w:tc>
      </w:tr>
    </w:tbl>
    <w:p w14:paraId="7078CD31" w14:textId="0AC28BA9" w:rsidR="0037300B" w:rsidRPr="004622EC" w:rsidRDefault="0037300B" w:rsidP="004622EC">
      <w:pPr>
        <w:pStyle w:val="2"/>
        <w:numPr>
          <w:ilvl w:val="0"/>
          <w:numId w:val="0"/>
        </w:numPr>
        <w:rPr>
          <w:rFonts w:asciiTheme="majorHAnsi" w:hAnsiTheme="majorHAnsi"/>
        </w:rPr>
      </w:pPr>
    </w:p>
    <w:p w14:paraId="6E929759" w14:textId="77777777" w:rsidR="004658CA" w:rsidRDefault="004658CA">
      <w:pPr>
        <w:sectPr w:rsidR="004658CA" w:rsidSect="004622EC">
          <w:pgSz w:w="16840" w:h="11900" w:orient="landscape" w:code="1"/>
          <w:pgMar w:top="720" w:right="720" w:bottom="720" w:left="720" w:header="720" w:footer="720" w:gutter="0"/>
          <w:cols w:space="720"/>
          <w:docGrid w:linePitch="360"/>
        </w:sectPr>
      </w:pPr>
    </w:p>
    <w:p w14:paraId="08C516F0" w14:textId="77777777" w:rsidR="005E7FF6" w:rsidRPr="00D3369A" w:rsidRDefault="005E7FF6" w:rsidP="005E7FF6">
      <w:pPr>
        <w:pStyle w:val="2"/>
        <w:pageBreakBefore/>
        <w:numPr>
          <w:ilvl w:val="0"/>
          <w:numId w:val="0"/>
        </w:numPr>
        <w:rPr>
          <w:rFonts w:asciiTheme="majorHAnsi" w:hAnsiTheme="majorHAnsi"/>
        </w:rPr>
      </w:pPr>
      <w:bookmarkStart w:id="140" w:name="_Ref476665279"/>
      <w:bookmarkStart w:id="141" w:name="_Toc479693900"/>
      <w:r>
        <w:rPr>
          <w:rFonts w:asciiTheme="majorHAnsi" w:hAnsiTheme="majorHAnsi"/>
        </w:rPr>
        <w:t>Annex J</w:t>
      </w:r>
      <w:r w:rsidRPr="00D3369A">
        <w:rPr>
          <w:rFonts w:asciiTheme="majorHAnsi" w:hAnsiTheme="majorHAnsi"/>
        </w:rPr>
        <w:t xml:space="preserve">. </w:t>
      </w:r>
      <w:r>
        <w:rPr>
          <w:rFonts w:asciiTheme="majorHAnsi" w:hAnsiTheme="majorHAnsi"/>
        </w:rPr>
        <w:t xml:space="preserve">Results of the </w:t>
      </w:r>
      <w:r w:rsidR="004346AE">
        <w:rPr>
          <w:rFonts w:asciiTheme="majorHAnsi" w:hAnsiTheme="majorHAnsi"/>
        </w:rPr>
        <w:t>C</w:t>
      </w:r>
      <w:r>
        <w:rPr>
          <w:rFonts w:asciiTheme="majorHAnsi" w:hAnsiTheme="majorHAnsi"/>
        </w:rPr>
        <w:t xml:space="preserve">apacity </w:t>
      </w:r>
      <w:r w:rsidR="004346AE">
        <w:rPr>
          <w:rFonts w:asciiTheme="majorHAnsi" w:hAnsiTheme="majorHAnsi"/>
        </w:rPr>
        <w:t>A</w:t>
      </w:r>
      <w:r>
        <w:rPr>
          <w:rFonts w:asciiTheme="majorHAnsi" w:hAnsiTheme="majorHAnsi"/>
        </w:rPr>
        <w:t xml:space="preserve">ssessment of the </w:t>
      </w:r>
      <w:r w:rsidR="004346AE">
        <w:rPr>
          <w:rFonts w:asciiTheme="majorHAnsi" w:hAnsiTheme="majorHAnsi"/>
        </w:rPr>
        <w:t>P</w:t>
      </w:r>
      <w:r>
        <w:rPr>
          <w:rFonts w:asciiTheme="majorHAnsi" w:hAnsiTheme="majorHAnsi"/>
        </w:rPr>
        <w:t xml:space="preserve">roject </w:t>
      </w:r>
      <w:r w:rsidR="004346AE">
        <w:rPr>
          <w:rFonts w:asciiTheme="majorHAnsi" w:hAnsiTheme="majorHAnsi"/>
        </w:rPr>
        <w:t>I</w:t>
      </w:r>
      <w:r>
        <w:rPr>
          <w:rFonts w:asciiTheme="majorHAnsi" w:hAnsiTheme="majorHAnsi"/>
        </w:rPr>
        <w:t xml:space="preserve">mplementing </w:t>
      </w:r>
      <w:r w:rsidR="004346AE">
        <w:rPr>
          <w:rFonts w:asciiTheme="majorHAnsi" w:hAnsiTheme="majorHAnsi"/>
        </w:rPr>
        <w:t>P</w:t>
      </w:r>
      <w:r>
        <w:rPr>
          <w:rFonts w:asciiTheme="majorHAnsi" w:hAnsiTheme="majorHAnsi"/>
        </w:rPr>
        <w:t xml:space="preserve">artner and HACT </w:t>
      </w:r>
      <w:r w:rsidR="004346AE">
        <w:rPr>
          <w:rFonts w:asciiTheme="majorHAnsi" w:hAnsiTheme="majorHAnsi"/>
        </w:rPr>
        <w:t>M</w:t>
      </w:r>
      <w:r>
        <w:rPr>
          <w:rFonts w:asciiTheme="majorHAnsi" w:hAnsiTheme="majorHAnsi"/>
        </w:rPr>
        <w:t xml:space="preserve">icro </w:t>
      </w:r>
      <w:r w:rsidR="004346AE">
        <w:rPr>
          <w:rFonts w:asciiTheme="majorHAnsi" w:hAnsiTheme="majorHAnsi"/>
        </w:rPr>
        <w:t>A</w:t>
      </w:r>
      <w:r>
        <w:rPr>
          <w:rFonts w:asciiTheme="majorHAnsi" w:hAnsiTheme="majorHAnsi"/>
        </w:rPr>
        <w:t>ssessment</w:t>
      </w:r>
      <w:bookmarkEnd w:id="140"/>
      <w:bookmarkEnd w:id="141"/>
    </w:p>
    <w:p w14:paraId="0C0DB45B" w14:textId="77777777" w:rsidR="005E7FF6" w:rsidRDefault="005E7FF6" w:rsidP="005E7FF6">
      <w:pPr>
        <w:rPr>
          <w:rFonts w:ascii="Arial Narrow" w:hAnsi="Arial Narrow"/>
          <w:b/>
          <w:iCs/>
        </w:rPr>
      </w:pPr>
    </w:p>
    <w:p w14:paraId="04CCBF42" w14:textId="77777777" w:rsidR="005E7FF6" w:rsidRDefault="005E7FF6" w:rsidP="005E7FF6">
      <w:pPr>
        <w:rPr>
          <w:iCs/>
        </w:rPr>
      </w:pPr>
      <w:r>
        <w:rPr>
          <w:iCs/>
        </w:rPr>
        <w:t>Not applicable</w:t>
      </w:r>
    </w:p>
    <w:p w14:paraId="3DD2034B" w14:textId="77777777" w:rsidR="004658CA" w:rsidRDefault="004658CA"/>
    <w:p w14:paraId="3CD5368D" w14:textId="77777777" w:rsidR="005E7FF6" w:rsidRPr="00D3369A" w:rsidRDefault="005E7FF6" w:rsidP="005E7FF6">
      <w:pPr>
        <w:pStyle w:val="2"/>
        <w:pageBreakBefore/>
        <w:numPr>
          <w:ilvl w:val="0"/>
          <w:numId w:val="0"/>
        </w:numPr>
        <w:rPr>
          <w:rFonts w:asciiTheme="majorHAnsi" w:hAnsiTheme="majorHAnsi"/>
        </w:rPr>
      </w:pPr>
      <w:bookmarkStart w:id="142" w:name="_Ref476665290"/>
      <w:bookmarkStart w:id="143" w:name="_Toc479693901"/>
      <w:r>
        <w:rPr>
          <w:rFonts w:asciiTheme="majorHAnsi" w:hAnsiTheme="majorHAnsi"/>
        </w:rPr>
        <w:t>Annex K</w:t>
      </w:r>
      <w:r w:rsidRPr="00D3369A">
        <w:rPr>
          <w:rFonts w:asciiTheme="majorHAnsi" w:hAnsiTheme="majorHAnsi"/>
        </w:rPr>
        <w:t xml:space="preserve">. </w:t>
      </w:r>
      <w:r>
        <w:rPr>
          <w:rFonts w:asciiTheme="majorHAnsi" w:hAnsiTheme="majorHAnsi"/>
        </w:rPr>
        <w:t>Additional Agreements</w:t>
      </w:r>
      <w:bookmarkEnd w:id="142"/>
      <w:bookmarkEnd w:id="143"/>
    </w:p>
    <w:p w14:paraId="5A9AA50D" w14:textId="77777777" w:rsidR="00980F42" w:rsidRDefault="00980F42" w:rsidP="00980F42">
      <w:pPr>
        <w:rPr>
          <w:rFonts w:ascii="Arial Narrow" w:hAnsi="Arial Narrow"/>
          <w:b/>
          <w:iCs/>
        </w:rPr>
      </w:pPr>
    </w:p>
    <w:p w14:paraId="78C7F943" w14:textId="7C0E8D29" w:rsidR="004658CA" w:rsidRPr="005B7E80" w:rsidRDefault="00FA1288" w:rsidP="00465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Please see it in a separate file.</w:t>
      </w:r>
    </w:p>
    <w:p w14:paraId="2AB2816B" w14:textId="77777777" w:rsidR="004417C9" w:rsidRDefault="004417C9">
      <w:pPr>
        <w:rPr>
          <w:b/>
          <w:smallCaps/>
          <w:spacing w:val="-2"/>
          <w:sz w:val="28"/>
          <w:szCs w:val="20"/>
        </w:rPr>
      </w:pPr>
    </w:p>
    <w:p w14:paraId="1D1BA5F0" w14:textId="77777777" w:rsidR="004417C9" w:rsidRDefault="004417C9" w:rsidP="004417C9">
      <w:pPr>
        <w:pStyle w:val="1"/>
        <w:spacing w:before="0" w:after="0" w:line="271" w:lineRule="auto"/>
        <w:rPr>
          <w:rFonts w:ascii="Calibri" w:hAnsi="Calibri"/>
        </w:rPr>
        <w:sectPr w:rsidR="004417C9" w:rsidSect="004658CA">
          <w:pgSz w:w="11894" w:h="16834" w:code="1"/>
          <w:pgMar w:top="720" w:right="720" w:bottom="720" w:left="720" w:header="720" w:footer="720" w:gutter="0"/>
          <w:cols w:space="720"/>
          <w:docGrid w:linePitch="360"/>
        </w:sectPr>
      </w:pPr>
    </w:p>
    <w:p w14:paraId="48B9A747" w14:textId="77777777" w:rsidR="004417C9" w:rsidRPr="004622EC" w:rsidRDefault="004417C9" w:rsidP="004622EC">
      <w:pPr>
        <w:pStyle w:val="2"/>
        <w:numPr>
          <w:ilvl w:val="0"/>
          <w:numId w:val="0"/>
        </w:numPr>
        <w:rPr>
          <w:rFonts w:asciiTheme="majorHAnsi" w:hAnsiTheme="majorHAnsi"/>
        </w:rPr>
      </w:pPr>
      <w:bookmarkStart w:id="144" w:name="_Ref332975385"/>
      <w:bookmarkStart w:id="145" w:name="_Ref332975392"/>
      <w:bookmarkStart w:id="146" w:name="_Ref332975447"/>
      <w:bookmarkStart w:id="147" w:name="_Ref332975453"/>
      <w:bookmarkStart w:id="148" w:name="_Ref332975458"/>
      <w:bookmarkStart w:id="149" w:name="_Ref332975464"/>
      <w:bookmarkStart w:id="150" w:name="_Toc479693902"/>
      <w:r w:rsidRPr="004622EC">
        <w:rPr>
          <w:rFonts w:asciiTheme="majorHAnsi" w:hAnsiTheme="majorHAnsi"/>
        </w:rPr>
        <w:t>Annex</w:t>
      </w:r>
      <w:r w:rsidR="0027583B" w:rsidRPr="004622EC">
        <w:rPr>
          <w:rFonts w:asciiTheme="majorHAnsi" w:hAnsiTheme="majorHAnsi"/>
        </w:rPr>
        <w:t xml:space="preserve"> </w:t>
      </w:r>
      <w:r w:rsidR="002228BE">
        <w:rPr>
          <w:rFonts w:asciiTheme="majorHAnsi" w:hAnsiTheme="majorHAnsi"/>
        </w:rPr>
        <w:t>L</w:t>
      </w:r>
      <w:r w:rsidR="0027583B" w:rsidRPr="004622EC">
        <w:rPr>
          <w:rFonts w:asciiTheme="majorHAnsi" w:hAnsiTheme="majorHAnsi"/>
        </w:rPr>
        <w:t>.</w:t>
      </w:r>
      <w:r w:rsidRPr="004622EC">
        <w:rPr>
          <w:rFonts w:asciiTheme="majorHAnsi" w:hAnsiTheme="majorHAnsi"/>
        </w:rPr>
        <w:t xml:space="preserve"> Kazakhstan R</w:t>
      </w:r>
      <w:r w:rsidR="00D9772A" w:rsidRPr="004622EC">
        <w:rPr>
          <w:rFonts w:asciiTheme="majorHAnsi" w:hAnsiTheme="majorHAnsi"/>
        </w:rPr>
        <w:t xml:space="preserve">enewable </w:t>
      </w:r>
      <w:r w:rsidR="00043685">
        <w:rPr>
          <w:rFonts w:asciiTheme="majorHAnsi" w:hAnsiTheme="majorHAnsi"/>
        </w:rPr>
        <w:t>E</w:t>
      </w:r>
      <w:r w:rsidR="00D9772A" w:rsidRPr="004622EC">
        <w:rPr>
          <w:rFonts w:asciiTheme="majorHAnsi" w:hAnsiTheme="majorHAnsi"/>
        </w:rPr>
        <w:t>nergy</w:t>
      </w:r>
      <w:r w:rsidRPr="004622EC">
        <w:rPr>
          <w:rFonts w:asciiTheme="majorHAnsi" w:hAnsiTheme="majorHAnsi"/>
        </w:rPr>
        <w:t xml:space="preserve"> </w:t>
      </w:r>
      <w:r w:rsidR="00043685">
        <w:rPr>
          <w:rFonts w:asciiTheme="majorHAnsi" w:hAnsiTheme="majorHAnsi"/>
        </w:rPr>
        <w:t>P</w:t>
      </w:r>
      <w:r w:rsidR="00043685" w:rsidRPr="004622EC">
        <w:rPr>
          <w:rFonts w:asciiTheme="majorHAnsi" w:hAnsiTheme="majorHAnsi"/>
        </w:rPr>
        <w:t xml:space="preserve">olicy </w:t>
      </w:r>
      <w:r w:rsidR="00043685">
        <w:rPr>
          <w:rFonts w:asciiTheme="majorHAnsi" w:hAnsiTheme="majorHAnsi"/>
        </w:rPr>
        <w:t>O</w:t>
      </w:r>
      <w:r w:rsidRPr="004622EC">
        <w:rPr>
          <w:rFonts w:asciiTheme="majorHAnsi" w:hAnsiTheme="majorHAnsi"/>
        </w:rPr>
        <w:t>verview</w:t>
      </w:r>
      <w:bookmarkEnd w:id="144"/>
      <w:bookmarkEnd w:id="145"/>
      <w:bookmarkEnd w:id="146"/>
      <w:bookmarkEnd w:id="147"/>
      <w:bookmarkEnd w:id="148"/>
      <w:bookmarkEnd w:id="149"/>
      <w:bookmarkEnd w:id="150"/>
    </w:p>
    <w:p w14:paraId="15532663" w14:textId="77777777" w:rsidR="0003375B" w:rsidRPr="007F030A" w:rsidRDefault="002D41F0" w:rsidP="004622EC">
      <w:pPr>
        <w:widowControl w:val="0"/>
        <w:autoSpaceDE w:val="0"/>
        <w:autoSpaceDN w:val="0"/>
        <w:adjustRightInd w:val="0"/>
        <w:spacing w:after="120"/>
        <w:rPr>
          <w:rFonts w:cs="Calibri"/>
          <w:szCs w:val="22"/>
        </w:rPr>
      </w:pPr>
      <w:r w:rsidRPr="004622EC">
        <w:rPr>
          <w:rFonts w:cs="Calibri"/>
          <w:szCs w:val="22"/>
        </w:rPr>
        <w:t xml:space="preserve">The </w:t>
      </w:r>
      <w:r w:rsidR="0003375B" w:rsidRPr="00594952">
        <w:rPr>
          <w:rFonts w:cs="Calibri"/>
          <w:b/>
          <w:szCs w:val="22"/>
        </w:rPr>
        <w:t>Strategy “Kazakhstan 2050”</w:t>
      </w:r>
      <w:r w:rsidR="0003375B" w:rsidRPr="007F030A">
        <w:rPr>
          <w:rFonts w:cs="Calibri"/>
          <w:szCs w:val="22"/>
        </w:rPr>
        <w:t xml:space="preserve"> provides clear guidelines for building a sustainable and efficient economic model based on the country’s transition to a green </w:t>
      </w:r>
      <w:r w:rsidR="007F030A" w:rsidRPr="007F030A">
        <w:rPr>
          <w:rFonts w:cs="Calibri"/>
          <w:szCs w:val="22"/>
        </w:rPr>
        <w:t>developmen</w:t>
      </w:r>
      <w:r w:rsidR="0003375B" w:rsidRPr="007F030A">
        <w:rPr>
          <w:rFonts w:cs="Calibri"/>
          <w:szCs w:val="22"/>
        </w:rPr>
        <w:t xml:space="preserve">t path. </w:t>
      </w:r>
    </w:p>
    <w:p w14:paraId="31F46468" w14:textId="77777777" w:rsidR="007F030A" w:rsidRPr="007F030A" w:rsidRDefault="0003375B" w:rsidP="004622EC">
      <w:pPr>
        <w:widowControl w:val="0"/>
        <w:autoSpaceDE w:val="0"/>
        <w:autoSpaceDN w:val="0"/>
        <w:adjustRightInd w:val="0"/>
        <w:spacing w:after="120"/>
        <w:rPr>
          <w:rFonts w:cs="Calibri"/>
          <w:szCs w:val="22"/>
        </w:rPr>
      </w:pPr>
      <w:r w:rsidRPr="007F030A">
        <w:rPr>
          <w:rFonts w:cs="Calibri"/>
          <w:szCs w:val="22"/>
        </w:rPr>
        <w:t xml:space="preserve">According to the Decree No 577 dated on May 30, 2012 the President of Kazakhstan approved </w:t>
      </w:r>
      <w:r w:rsidRPr="00D35619">
        <w:rPr>
          <w:rFonts w:cs="Calibri"/>
          <w:b/>
          <w:szCs w:val="22"/>
        </w:rPr>
        <w:t xml:space="preserve">the Concept for transition of the Republic of </w:t>
      </w:r>
      <w:r w:rsidR="007F030A" w:rsidRPr="00D35619">
        <w:rPr>
          <w:rFonts w:cs="Calibri"/>
          <w:b/>
          <w:szCs w:val="22"/>
        </w:rPr>
        <w:t>Kazakhstan to green economy</w:t>
      </w:r>
      <w:r w:rsidRPr="007F030A">
        <w:rPr>
          <w:rFonts w:cs="Calibri"/>
          <w:szCs w:val="22"/>
        </w:rPr>
        <w:t xml:space="preserve">. As written in the Concept: “Transition to Green Economy will enable Kazakhstan </w:t>
      </w:r>
      <w:r w:rsidR="00F94488">
        <w:rPr>
          <w:rFonts w:cs="Calibri"/>
          <w:szCs w:val="22"/>
        </w:rPr>
        <w:t xml:space="preserve">to </w:t>
      </w:r>
      <w:r w:rsidRPr="007F030A">
        <w:rPr>
          <w:rFonts w:cs="Calibri"/>
          <w:szCs w:val="22"/>
        </w:rPr>
        <w:t xml:space="preserve">achieve the proclaimed goal of entering the top 30 developed countries of the world. According to estimates, the transformations to be implemented as a part of a Green Economy will additionally increase the GDP by 3%, create more than 500,000 new jobs, develop new industries and services and generally provide higher living standards all over the country by 2050. Overall investments required for transition to a Green Economy will be about 1% of GDP per annum, which is equivalent to $3-4 billion”. </w:t>
      </w:r>
      <w:r w:rsidR="007F030A">
        <w:rPr>
          <w:rFonts w:cs="Calibri"/>
          <w:szCs w:val="22"/>
        </w:rPr>
        <w:t>The Concept of Transition to Green Economy of Kazakhstan serves as the main document for state planning and target setting in the area of renewable energy (Government decree N79, May 30, 2013). The concept established the following ambitious targets:</w:t>
      </w:r>
    </w:p>
    <w:p w14:paraId="07BCA55A" w14:textId="77777777" w:rsidR="007F030A" w:rsidRPr="007F030A" w:rsidRDefault="007F030A" w:rsidP="0020322F">
      <w:pPr>
        <w:widowControl w:val="0"/>
        <w:numPr>
          <w:ilvl w:val="0"/>
          <w:numId w:val="12"/>
        </w:numPr>
        <w:autoSpaceDE w:val="0"/>
        <w:autoSpaceDN w:val="0"/>
        <w:adjustRightInd w:val="0"/>
        <w:spacing w:after="120"/>
        <w:contextualSpacing/>
        <w:rPr>
          <w:rFonts w:cs="Calibri"/>
          <w:szCs w:val="22"/>
        </w:rPr>
      </w:pPr>
      <w:r w:rsidRPr="007F030A">
        <w:rPr>
          <w:rFonts w:cs="Calibri"/>
          <w:szCs w:val="22"/>
        </w:rPr>
        <w:t>10% share of renewable energy in generation by 2030;</w:t>
      </w:r>
    </w:p>
    <w:p w14:paraId="6B2030AE" w14:textId="77777777" w:rsidR="007F030A" w:rsidRPr="007F030A" w:rsidRDefault="007F030A" w:rsidP="0020322F">
      <w:pPr>
        <w:widowControl w:val="0"/>
        <w:numPr>
          <w:ilvl w:val="0"/>
          <w:numId w:val="12"/>
        </w:numPr>
        <w:autoSpaceDE w:val="0"/>
        <w:autoSpaceDN w:val="0"/>
        <w:adjustRightInd w:val="0"/>
        <w:spacing w:after="120"/>
        <w:contextualSpacing/>
        <w:rPr>
          <w:rFonts w:cs="Calibri"/>
          <w:szCs w:val="22"/>
        </w:rPr>
      </w:pPr>
      <w:r w:rsidRPr="007F030A">
        <w:rPr>
          <w:rFonts w:cs="Calibri"/>
          <w:szCs w:val="22"/>
        </w:rPr>
        <w:t>40% share of renewable energy in generation by 2050</w:t>
      </w:r>
      <w:r w:rsidR="008A26BD">
        <w:rPr>
          <w:rFonts w:cs="Calibri"/>
          <w:szCs w:val="22"/>
        </w:rPr>
        <w:t>;</w:t>
      </w:r>
      <w:r w:rsidRPr="007F030A">
        <w:rPr>
          <w:rFonts w:cs="Calibri"/>
          <w:szCs w:val="22"/>
        </w:rPr>
        <w:t xml:space="preserve"> </w:t>
      </w:r>
    </w:p>
    <w:p w14:paraId="4CF86BE3" w14:textId="77777777" w:rsidR="007F030A" w:rsidRPr="004622EC" w:rsidRDefault="007F030A" w:rsidP="0020322F">
      <w:pPr>
        <w:widowControl w:val="0"/>
        <w:numPr>
          <w:ilvl w:val="0"/>
          <w:numId w:val="12"/>
        </w:numPr>
        <w:autoSpaceDE w:val="0"/>
        <w:autoSpaceDN w:val="0"/>
        <w:adjustRightInd w:val="0"/>
        <w:spacing w:after="120"/>
        <w:contextualSpacing/>
      </w:pPr>
      <w:r w:rsidRPr="007F030A">
        <w:rPr>
          <w:rFonts w:cs="Calibri"/>
          <w:szCs w:val="22"/>
        </w:rPr>
        <w:t xml:space="preserve">reduce CO2 emissions in electricity production by 40% in 2050. </w:t>
      </w:r>
    </w:p>
    <w:p w14:paraId="714FB3DC" w14:textId="77777777" w:rsidR="008A26BD" w:rsidRPr="007F030A" w:rsidRDefault="008A26BD" w:rsidP="004622EC">
      <w:pPr>
        <w:widowControl w:val="0"/>
        <w:autoSpaceDE w:val="0"/>
        <w:autoSpaceDN w:val="0"/>
        <w:adjustRightInd w:val="0"/>
        <w:spacing w:after="120"/>
        <w:ind w:left="720"/>
        <w:contextualSpacing/>
      </w:pPr>
    </w:p>
    <w:p w14:paraId="19B3FB4E" w14:textId="77777777" w:rsidR="007F030A" w:rsidRDefault="007F030A" w:rsidP="004622EC">
      <w:pPr>
        <w:widowControl w:val="0"/>
        <w:autoSpaceDE w:val="0"/>
        <w:autoSpaceDN w:val="0"/>
        <w:adjustRightInd w:val="0"/>
        <w:spacing w:after="120"/>
        <w:rPr>
          <w:rFonts w:cs="Calibri"/>
          <w:szCs w:val="22"/>
        </w:rPr>
      </w:pPr>
      <w:r w:rsidRPr="00594952">
        <w:rPr>
          <w:rFonts w:cs="Calibri"/>
          <w:b/>
          <w:szCs w:val="22"/>
        </w:rPr>
        <w:t>Action plan for 2013-2020</w:t>
      </w:r>
      <w:r w:rsidRPr="007F030A">
        <w:rPr>
          <w:rFonts w:cs="Calibri"/>
          <w:szCs w:val="22"/>
        </w:rPr>
        <w:t xml:space="preserve"> adopted by the Decree of the No750 dated July 31, 2013 was developed to implement the Concept. According to the Action plan, energy conservation and improvement of energy efficiency in residential and commercial buildings should be reached through measures including review of heat tariffs, introduction of tax breaks, financial support, facilitating local production of construction materials, conducting energy audit of all buildings every 5 years, the</w:t>
      </w:r>
      <w:r>
        <w:rPr>
          <w:rFonts w:cs="Calibri"/>
          <w:szCs w:val="22"/>
        </w:rPr>
        <w:t xml:space="preserve"> </w:t>
      </w:r>
      <w:r w:rsidRPr="007F030A">
        <w:rPr>
          <w:rFonts w:cs="Calibri"/>
          <w:szCs w:val="22"/>
        </w:rPr>
        <w:t>modernisation of buildings, and improving normative documentation for design cons</w:t>
      </w:r>
      <w:r w:rsidR="00DD016D">
        <w:rPr>
          <w:rFonts w:cs="Calibri"/>
          <w:szCs w:val="22"/>
        </w:rPr>
        <w:t xml:space="preserve">truction. In terms of renewable </w:t>
      </w:r>
      <w:r w:rsidRPr="007F030A">
        <w:rPr>
          <w:rFonts w:cs="Calibri"/>
          <w:szCs w:val="22"/>
        </w:rPr>
        <w:t xml:space="preserve">energy sources (RES), it is planned to establish an interagency committee on RES in Kazakhstan. </w:t>
      </w:r>
    </w:p>
    <w:p w14:paraId="28BCA6E5" w14:textId="77777777" w:rsidR="007F030A" w:rsidRDefault="007F030A" w:rsidP="004622EC">
      <w:pPr>
        <w:widowControl w:val="0"/>
        <w:autoSpaceDE w:val="0"/>
        <w:autoSpaceDN w:val="0"/>
        <w:adjustRightInd w:val="0"/>
        <w:spacing w:after="120"/>
        <w:rPr>
          <w:rFonts w:cs="Calibri"/>
          <w:szCs w:val="22"/>
        </w:rPr>
      </w:pPr>
      <w:r>
        <w:rPr>
          <w:rFonts w:cs="Calibri"/>
          <w:szCs w:val="22"/>
        </w:rPr>
        <w:t xml:space="preserve">To facilitate the achievement of RES targets the </w:t>
      </w:r>
      <w:r w:rsidRPr="00594952">
        <w:rPr>
          <w:rFonts w:cs="Calibri"/>
          <w:b/>
          <w:szCs w:val="22"/>
        </w:rPr>
        <w:t>Law on Renewable Energy Sources</w:t>
      </w:r>
      <w:r>
        <w:rPr>
          <w:rFonts w:cs="Calibri"/>
          <w:szCs w:val="22"/>
        </w:rPr>
        <w:t xml:space="preserve"> </w:t>
      </w:r>
      <w:r w:rsidR="00811F4D">
        <w:rPr>
          <w:rFonts w:cs="Calibri"/>
          <w:szCs w:val="22"/>
        </w:rPr>
        <w:t>was</w:t>
      </w:r>
      <w:r>
        <w:rPr>
          <w:rFonts w:cs="Calibri"/>
          <w:szCs w:val="22"/>
        </w:rPr>
        <w:t xml:space="preserve"> adopted in 2009</w:t>
      </w:r>
      <w:r w:rsidR="00811F4D">
        <w:rPr>
          <w:rFonts w:cs="Calibri"/>
          <w:szCs w:val="22"/>
        </w:rPr>
        <w:t>.</w:t>
      </w:r>
      <w:r>
        <w:rPr>
          <w:rFonts w:cs="Calibri"/>
          <w:szCs w:val="22"/>
        </w:rPr>
        <w:t xml:space="preserve"> </w:t>
      </w:r>
      <w:r w:rsidR="00811F4D">
        <w:rPr>
          <w:rFonts w:cs="Calibri"/>
          <w:szCs w:val="22"/>
        </w:rPr>
        <w:t>The Law</w:t>
      </w:r>
      <w:r w:rsidR="00E3258D">
        <w:rPr>
          <w:rFonts w:cs="Calibri"/>
          <w:szCs w:val="22"/>
        </w:rPr>
        <w:t xml:space="preserve"> </w:t>
      </w:r>
      <w:r>
        <w:rPr>
          <w:rFonts w:cs="Calibri"/>
          <w:szCs w:val="22"/>
        </w:rPr>
        <w:t>put</w:t>
      </w:r>
      <w:r w:rsidR="00E3258D">
        <w:rPr>
          <w:rFonts w:cs="Calibri"/>
          <w:szCs w:val="22"/>
        </w:rPr>
        <w:t>s</w:t>
      </w:r>
      <w:r>
        <w:rPr>
          <w:rFonts w:cs="Calibri"/>
          <w:szCs w:val="22"/>
        </w:rPr>
        <w:t xml:space="preserve"> in place following important provisions: </w:t>
      </w:r>
    </w:p>
    <w:p w14:paraId="685B6493" w14:textId="77777777" w:rsidR="007F030A" w:rsidRDefault="007F030A" w:rsidP="0020322F">
      <w:pPr>
        <w:widowControl w:val="0"/>
        <w:numPr>
          <w:ilvl w:val="0"/>
          <w:numId w:val="13"/>
        </w:numPr>
        <w:autoSpaceDE w:val="0"/>
        <w:autoSpaceDN w:val="0"/>
        <w:adjustRightInd w:val="0"/>
        <w:spacing w:after="120"/>
        <w:contextualSpacing/>
        <w:rPr>
          <w:rFonts w:cs="Calibri"/>
          <w:szCs w:val="22"/>
        </w:rPr>
      </w:pPr>
      <w:r>
        <w:rPr>
          <w:rFonts w:cs="Calibri"/>
          <w:szCs w:val="22"/>
        </w:rPr>
        <w:t xml:space="preserve">Establishment of feed-in-tariffs for different </w:t>
      </w:r>
      <w:r w:rsidR="00C953AA">
        <w:rPr>
          <w:rFonts w:cs="Calibri"/>
          <w:szCs w:val="22"/>
        </w:rPr>
        <w:t>categories</w:t>
      </w:r>
      <w:r>
        <w:rPr>
          <w:rFonts w:cs="Calibri"/>
          <w:szCs w:val="22"/>
        </w:rPr>
        <w:t xml:space="preserve"> of renewables fixed for 15 years</w:t>
      </w:r>
      <w:r w:rsidR="008A26BD">
        <w:rPr>
          <w:rFonts w:cs="Calibri"/>
          <w:szCs w:val="22"/>
        </w:rPr>
        <w:t>;</w:t>
      </w:r>
    </w:p>
    <w:p w14:paraId="152E3CE3" w14:textId="77777777" w:rsidR="007F030A" w:rsidRDefault="007F030A" w:rsidP="0020322F">
      <w:pPr>
        <w:widowControl w:val="0"/>
        <w:numPr>
          <w:ilvl w:val="0"/>
          <w:numId w:val="13"/>
        </w:numPr>
        <w:autoSpaceDE w:val="0"/>
        <w:autoSpaceDN w:val="0"/>
        <w:adjustRightInd w:val="0"/>
        <w:spacing w:after="120"/>
        <w:contextualSpacing/>
        <w:rPr>
          <w:rFonts w:cs="Calibri"/>
          <w:szCs w:val="22"/>
        </w:rPr>
      </w:pPr>
      <w:r>
        <w:rPr>
          <w:rFonts w:cs="Calibri"/>
          <w:szCs w:val="22"/>
        </w:rPr>
        <w:t>Establishing priority dispatch and grid access for RES projects</w:t>
      </w:r>
      <w:r w:rsidR="008A26BD">
        <w:rPr>
          <w:rFonts w:cs="Calibri"/>
          <w:szCs w:val="22"/>
        </w:rPr>
        <w:t>;</w:t>
      </w:r>
    </w:p>
    <w:p w14:paraId="29E29001" w14:textId="77777777" w:rsidR="007F030A" w:rsidRDefault="007F030A" w:rsidP="0020322F">
      <w:pPr>
        <w:widowControl w:val="0"/>
        <w:numPr>
          <w:ilvl w:val="0"/>
          <w:numId w:val="13"/>
        </w:numPr>
        <w:autoSpaceDE w:val="0"/>
        <w:autoSpaceDN w:val="0"/>
        <w:adjustRightInd w:val="0"/>
        <w:spacing w:after="120"/>
        <w:contextualSpacing/>
        <w:rPr>
          <w:rFonts w:cs="Calibri"/>
          <w:szCs w:val="22"/>
        </w:rPr>
      </w:pPr>
      <w:r>
        <w:rPr>
          <w:rFonts w:cs="Calibri"/>
          <w:szCs w:val="22"/>
        </w:rPr>
        <w:t>Establishing obligatory purchase of RE</w:t>
      </w:r>
      <w:r w:rsidR="0009751A">
        <w:rPr>
          <w:rFonts w:cs="Calibri"/>
          <w:szCs w:val="22"/>
        </w:rPr>
        <w:t>S</w:t>
      </w:r>
      <w:r>
        <w:rPr>
          <w:rFonts w:cs="Calibri"/>
          <w:szCs w:val="22"/>
        </w:rPr>
        <w:t xml:space="preserve"> power by the Settlement Center</w:t>
      </w:r>
      <w:r w:rsidR="008A26BD">
        <w:rPr>
          <w:rFonts w:cs="Calibri"/>
          <w:szCs w:val="22"/>
        </w:rPr>
        <w:t>;</w:t>
      </w:r>
    </w:p>
    <w:p w14:paraId="73BB5166" w14:textId="77777777" w:rsidR="007F030A" w:rsidRDefault="007F030A" w:rsidP="0020322F">
      <w:pPr>
        <w:widowControl w:val="0"/>
        <w:numPr>
          <w:ilvl w:val="0"/>
          <w:numId w:val="13"/>
        </w:numPr>
        <w:autoSpaceDE w:val="0"/>
        <w:autoSpaceDN w:val="0"/>
        <w:adjustRightInd w:val="0"/>
        <w:spacing w:after="120"/>
        <w:contextualSpacing/>
        <w:rPr>
          <w:rFonts w:cs="Calibri"/>
          <w:szCs w:val="22"/>
        </w:rPr>
      </w:pPr>
      <w:r>
        <w:rPr>
          <w:rFonts w:cs="Calibri"/>
          <w:szCs w:val="22"/>
        </w:rPr>
        <w:t xml:space="preserve">Adoption of </w:t>
      </w:r>
      <w:r w:rsidR="0009751A">
        <w:rPr>
          <w:rFonts w:cs="Calibri"/>
          <w:szCs w:val="22"/>
        </w:rPr>
        <w:t xml:space="preserve">a </w:t>
      </w:r>
      <w:r>
        <w:rPr>
          <w:rFonts w:cs="Calibri"/>
          <w:szCs w:val="22"/>
        </w:rPr>
        <w:t>prototype Power Purchase Agreement (PPA);</w:t>
      </w:r>
    </w:p>
    <w:p w14:paraId="742EAA7E" w14:textId="77777777" w:rsidR="00DD016D" w:rsidRDefault="00D9596A" w:rsidP="0020322F">
      <w:pPr>
        <w:widowControl w:val="0"/>
        <w:numPr>
          <w:ilvl w:val="0"/>
          <w:numId w:val="13"/>
        </w:numPr>
        <w:autoSpaceDE w:val="0"/>
        <w:autoSpaceDN w:val="0"/>
        <w:adjustRightInd w:val="0"/>
        <w:spacing w:after="120"/>
        <w:contextualSpacing/>
        <w:rPr>
          <w:rFonts w:cs="Calibri"/>
          <w:szCs w:val="22"/>
        </w:rPr>
      </w:pPr>
      <w:r>
        <w:rPr>
          <w:rFonts w:cs="Calibri"/>
          <w:szCs w:val="22"/>
        </w:rPr>
        <w:t>Introduces net-metering</w:t>
      </w:r>
      <w:r w:rsidR="008A26BD">
        <w:rPr>
          <w:rFonts w:cs="Calibri"/>
          <w:szCs w:val="22"/>
        </w:rPr>
        <w:t>.</w:t>
      </w:r>
    </w:p>
    <w:p w14:paraId="3D4F881A" w14:textId="77777777" w:rsidR="008A26BD" w:rsidRDefault="008A26BD" w:rsidP="004622EC">
      <w:pPr>
        <w:widowControl w:val="0"/>
        <w:autoSpaceDE w:val="0"/>
        <w:autoSpaceDN w:val="0"/>
        <w:adjustRightInd w:val="0"/>
        <w:spacing w:after="120"/>
        <w:ind w:left="720"/>
        <w:contextualSpacing/>
        <w:rPr>
          <w:rFonts w:cs="Calibri"/>
          <w:szCs w:val="22"/>
        </w:rPr>
      </w:pPr>
    </w:p>
    <w:p w14:paraId="2F252FAD" w14:textId="77777777" w:rsidR="00C776C3" w:rsidRDefault="00156DD9" w:rsidP="004622EC">
      <w:pPr>
        <w:widowControl w:val="0"/>
        <w:autoSpaceDE w:val="0"/>
        <w:autoSpaceDN w:val="0"/>
        <w:adjustRightInd w:val="0"/>
        <w:spacing w:after="120"/>
        <w:rPr>
          <w:rFonts w:cs="Calibri"/>
          <w:szCs w:val="22"/>
        </w:rPr>
      </w:pPr>
      <w:r w:rsidRPr="00156DD9">
        <w:rPr>
          <w:rFonts w:cs="Calibri"/>
          <w:szCs w:val="22"/>
        </w:rPr>
        <w:t xml:space="preserve">The Law on support of RES (No.165-IV dated July 4, 2009) </w:t>
      </w:r>
      <w:r w:rsidR="00D13D7B">
        <w:rPr>
          <w:rFonts w:cs="Calibri"/>
          <w:szCs w:val="22"/>
        </w:rPr>
        <w:t>provides definition for net-metering and stipulates that</w:t>
      </w:r>
      <w:r w:rsidRPr="00156DD9">
        <w:rPr>
          <w:rFonts w:cs="Calibri"/>
          <w:szCs w:val="22"/>
        </w:rPr>
        <w:t xml:space="preserve"> consumers who generate their own electricity </w:t>
      </w:r>
      <w:r w:rsidR="00D307E4">
        <w:rPr>
          <w:rFonts w:cs="Calibri"/>
          <w:szCs w:val="22"/>
        </w:rPr>
        <w:t>are allowed to</w:t>
      </w:r>
      <w:r w:rsidR="00D307E4" w:rsidRPr="00156DD9">
        <w:rPr>
          <w:rFonts w:cs="Calibri"/>
          <w:szCs w:val="22"/>
        </w:rPr>
        <w:t xml:space="preserve"> </w:t>
      </w:r>
      <w:r w:rsidRPr="00156DD9">
        <w:rPr>
          <w:rFonts w:cs="Calibri"/>
          <w:szCs w:val="22"/>
        </w:rPr>
        <w:t>se</w:t>
      </w:r>
      <w:r w:rsidR="00D13D7B">
        <w:rPr>
          <w:rFonts w:cs="Calibri"/>
          <w:szCs w:val="22"/>
        </w:rPr>
        <w:t xml:space="preserve">ll this electricity to the grid, </w:t>
      </w:r>
      <w:r w:rsidRPr="00156DD9">
        <w:rPr>
          <w:rFonts w:cs="Calibri"/>
          <w:szCs w:val="22"/>
        </w:rPr>
        <w:t xml:space="preserve">however not more than five hundred kilowatt-hours </w:t>
      </w:r>
      <w:r>
        <w:rPr>
          <w:rFonts w:cs="Calibri"/>
          <w:szCs w:val="22"/>
        </w:rPr>
        <w:t>per month coul</w:t>
      </w:r>
      <w:r w:rsidR="00D13D7B">
        <w:rPr>
          <w:rFonts w:cs="Calibri"/>
          <w:szCs w:val="22"/>
        </w:rPr>
        <w:t xml:space="preserve">d be sold. </w:t>
      </w:r>
      <w:r w:rsidR="00C776C3">
        <w:rPr>
          <w:rFonts w:cs="Calibri"/>
          <w:szCs w:val="22"/>
        </w:rPr>
        <w:t xml:space="preserve">The </w:t>
      </w:r>
      <w:r w:rsidR="00D13D7B">
        <w:rPr>
          <w:rFonts w:cs="Calibri"/>
          <w:szCs w:val="22"/>
        </w:rPr>
        <w:t xml:space="preserve">detailed </w:t>
      </w:r>
      <w:r w:rsidR="00C776C3">
        <w:rPr>
          <w:rFonts w:cs="Calibri"/>
          <w:szCs w:val="22"/>
        </w:rPr>
        <w:t xml:space="preserve">Law on net-metering </w:t>
      </w:r>
      <w:r w:rsidR="00D67BB5">
        <w:rPr>
          <w:rFonts w:cs="Calibri"/>
          <w:szCs w:val="22"/>
        </w:rPr>
        <w:t>was</w:t>
      </w:r>
      <w:r w:rsidR="00C776C3">
        <w:rPr>
          <w:rFonts w:cs="Calibri"/>
          <w:szCs w:val="22"/>
        </w:rPr>
        <w:t xml:space="preserve"> submitted to the Government </w:t>
      </w:r>
      <w:r w:rsidR="00D67BB5">
        <w:rPr>
          <w:rFonts w:cs="Calibri"/>
          <w:szCs w:val="22"/>
        </w:rPr>
        <w:t xml:space="preserve">of Kazakhstan </w:t>
      </w:r>
      <w:r w:rsidR="00C776C3">
        <w:rPr>
          <w:rFonts w:cs="Calibri"/>
          <w:szCs w:val="22"/>
        </w:rPr>
        <w:t>on 12</w:t>
      </w:r>
      <w:r w:rsidR="00C776C3" w:rsidRPr="006E6CBE">
        <w:rPr>
          <w:rFonts w:cs="Calibri"/>
          <w:szCs w:val="22"/>
        </w:rPr>
        <w:t>th</w:t>
      </w:r>
      <w:r w:rsidR="00C776C3">
        <w:rPr>
          <w:rFonts w:cs="Calibri"/>
          <w:szCs w:val="22"/>
        </w:rPr>
        <w:t xml:space="preserve"> July 2016 and defines the rules and procedures for </w:t>
      </w:r>
      <w:r w:rsidR="00C776C3" w:rsidRPr="006E6CBE">
        <w:rPr>
          <w:rFonts w:cs="Calibri"/>
          <w:szCs w:val="22"/>
        </w:rPr>
        <w:t xml:space="preserve">consumers who generate their own electricity. The requirement </w:t>
      </w:r>
      <w:r w:rsidR="000B496C">
        <w:rPr>
          <w:rFonts w:cs="Calibri"/>
          <w:szCs w:val="22"/>
        </w:rPr>
        <w:t>for net-</w:t>
      </w:r>
      <w:r w:rsidR="00C776C3" w:rsidRPr="006E6CBE">
        <w:rPr>
          <w:rFonts w:cs="Calibri"/>
          <w:szCs w:val="22"/>
        </w:rPr>
        <w:t xml:space="preserve">producers are: not more than five hundred kilowatt-hours per month could be sold; and the installation must be of less than 100 KW capacity, while </w:t>
      </w:r>
      <w:r w:rsidR="00D307E4">
        <w:rPr>
          <w:rFonts w:cs="Calibri"/>
          <w:szCs w:val="22"/>
        </w:rPr>
        <w:t>a</w:t>
      </w:r>
      <w:r w:rsidR="00D307E4" w:rsidRPr="006E6CBE">
        <w:rPr>
          <w:rFonts w:cs="Calibri"/>
          <w:szCs w:val="22"/>
        </w:rPr>
        <w:t xml:space="preserve"> </w:t>
      </w:r>
      <w:r w:rsidR="00C776C3" w:rsidRPr="006E6CBE">
        <w:rPr>
          <w:rFonts w:cs="Calibri"/>
          <w:szCs w:val="22"/>
        </w:rPr>
        <w:t>seller could be a physical person or a company.</w:t>
      </w:r>
    </w:p>
    <w:p w14:paraId="40A2DEB5" w14:textId="77777777" w:rsidR="00205F76" w:rsidRPr="00205F76" w:rsidRDefault="00205F76" w:rsidP="004622EC">
      <w:pPr>
        <w:widowControl w:val="0"/>
        <w:autoSpaceDE w:val="0"/>
        <w:autoSpaceDN w:val="0"/>
        <w:adjustRightInd w:val="0"/>
        <w:spacing w:after="120"/>
        <w:rPr>
          <w:rFonts w:cs="Calibri"/>
          <w:szCs w:val="22"/>
        </w:rPr>
      </w:pPr>
      <w:r w:rsidRPr="00205F76">
        <w:rPr>
          <w:rFonts w:cs="Calibri"/>
          <w:szCs w:val="22"/>
        </w:rPr>
        <w:t>Changes made in 2016 to the "Law on RES" provide for a siting plan on the recommended allocation of RES facilities. This plan should be adopted by taking into account the development targets of renewable energy sector</w:t>
      </w:r>
      <w:r w:rsidR="00F94488">
        <w:rPr>
          <w:rFonts w:cs="Calibri"/>
          <w:szCs w:val="22"/>
        </w:rPr>
        <w:t>.</w:t>
      </w:r>
      <w:r w:rsidRPr="00205F76">
        <w:rPr>
          <w:rFonts w:cs="Calibri"/>
          <w:szCs w:val="22"/>
        </w:rPr>
        <w:t xml:space="preserve"> </w:t>
      </w:r>
      <w:r w:rsidR="00F94488">
        <w:rPr>
          <w:rFonts w:cs="Calibri"/>
          <w:szCs w:val="22"/>
        </w:rPr>
        <w:t>I</w:t>
      </w:r>
      <w:r w:rsidRPr="00205F76">
        <w:rPr>
          <w:rFonts w:cs="Calibri"/>
          <w:szCs w:val="22"/>
        </w:rPr>
        <w:t>ts objective will be to identify the areas of recommended placement of RES facilities for the effective state regulation and RES support. The procedure for the development of the siting plan of RES objects should be approved by a separate order of the Ministry of Energy of the RK.</w:t>
      </w:r>
    </w:p>
    <w:p w14:paraId="43469DF2" w14:textId="77777777" w:rsidR="00205F76" w:rsidRPr="00205F76" w:rsidRDefault="00205F76" w:rsidP="004622EC">
      <w:pPr>
        <w:widowControl w:val="0"/>
        <w:autoSpaceDE w:val="0"/>
        <w:autoSpaceDN w:val="0"/>
        <w:adjustRightInd w:val="0"/>
        <w:spacing w:after="120"/>
        <w:rPr>
          <w:rFonts w:cs="Calibri"/>
          <w:szCs w:val="22"/>
        </w:rPr>
      </w:pPr>
      <w:r w:rsidRPr="00205F76">
        <w:rPr>
          <w:rFonts w:cs="Calibri"/>
          <w:szCs w:val="22"/>
        </w:rPr>
        <w:t xml:space="preserve">The RES law specifies two tariffs:  fixed tariffs established for solar, wind, </w:t>
      </w:r>
      <w:r w:rsidR="00C953AA" w:rsidRPr="00205F76">
        <w:rPr>
          <w:rFonts w:cs="Calibri"/>
          <w:szCs w:val="22"/>
        </w:rPr>
        <w:t>etc.</w:t>
      </w:r>
      <w:r w:rsidRPr="00205F76">
        <w:rPr>
          <w:rFonts w:cs="Calibri"/>
          <w:szCs w:val="22"/>
        </w:rPr>
        <w:t>, which is used by the Settlement Center in the PPA when acquiring the power from the RE</w:t>
      </w:r>
      <w:r w:rsidR="00590CC2">
        <w:rPr>
          <w:rFonts w:cs="Calibri"/>
          <w:szCs w:val="22"/>
        </w:rPr>
        <w:t>S</w:t>
      </w:r>
      <w:r w:rsidRPr="00205F76">
        <w:rPr>
          <w:rFonts w:cs="Calibri"/>
          <w:szCs w:val="22"/>
        </w:rPr>
        <w:t xml:space="preserve"> producers; and feed-in-</w:t>
      </w:r>
      <w:r w:rsidR="00C953AA" w:rsidRPr="00205F76">
        <w:rPr>
          <w:rFonts w:cs="Calibri"/>
          <w:szCs w:val="22"/>
        </w:rPr>
        <w:t>tariff</w:t>
      </w:r>
      <w:r w:rsidRPr="00205F76">
        <w:rPr>
          <w:rFonts w:cs="Calibri"/>
          <w:szCs w:val="22"/>
        </w:rPr>
        <w:t xml:space="preserve"> – which is used by the Settlement Center for further sale of acquired RE power to the traditional energy companies. In this connection, the terminology on FiT used worldwide and the terminology used in Kazakhstan RES law may not be the same.</w:t>
      </w:r>
    </w:p>
    <w:p w14:paraId="07261EBD" w14:textId="77777777" w:rsidR="00205F76" w:rsidRPr="00205F76" w:rsidRDefault="00205F76" w:rsidP="004622EC">
      <w:pPr>
        <w:widowControl w:val="0"/>
        <w:autoSpaceDE w:val="0"/>
        <w:autoSpaceDN w:val="0"/>
        <w:adjustRightInd w:val="0"/>
        <w:spacing w:after="120"/>
        <w:rPr>
          <w:rFonts w:cs="Calibri"/>
          <w:szCs w:val="22"/>
        </w:rPr>
      </w:pPr>
      <w:r w:rsidRPr="00205F76">
        <w:rPr>
          <w:rFonts w:cs="Calibri"/>
          <w:szCs w:val="22"/>
        </w:rPr>
        <w:t>Also, according to the 2016 amendments to the RES Law, to encourage the integration of low-power RES objects, fixed tariffs will be differentiated in proportion to their capacity. This rule does not apply to existing sale contracts of Settlement Centre concluded with the energy-producing organizations.  The procedure / mechanism of such differentiation should be determined in the Decree of the Government of the Republic of Kazakhstan "On approval of determining the fixed tariffs of the Rules.</w:t>
      </w:r>
    </w:p>
    <w:p w14:paraId="5C75F99F" w14:textId="77777777" w:rsidR="004E7124" w:rsidRDefault="004E7124" w:rsidP="004622EC">
      <w:pPr>
        <w:widowControl w:val="0"/>
        <w:autoSpaceDE w:val="0"/>
        <w:autoSpaceDN w:val="0"/>
        <w:adjustRightInd w:val="0"/>
        <w:spacing w:after="120"/>
        <w:rPr>
          <w:rFonts w:cs="Calibri"/>
          <w:szCs w:val="22"/>
        </w:rPr>
      </w:pPr>
      <w:r w:rsidRPr="00205F76">
        <w:rPr>
          <w:rFonts w:cs="Calibri"/>
          <w:b/>
          <w:szCs w:val="22"/>
        </w:rPr>
        <w:t>The Rules on support of individual consumers No.10083</w:t>
      </w:r>
      <w:r w:rsidRPr="004E7124">
        <w:rPr>
          <w:rFonts w:cs="Calibri"/>
          <w:szCs w:val="22"/>
        </w:rPr>
        <w:t xml:space="preserve"> dated January 13, 2015 provides 50% subsidy to cover the technology costs (with a total capacity of five kilowatts or less), providing that the technology is made by a local producer. </w:t>
      </w:r>
    </w:p>
    <w:p w14:paraId="34F6351C" w14:textId="77777777" w:rsidR="00132796" w:rsidRPr="00411090" w:rsidRDefault="00132796" w:rsidP="004622EC">
      <w:pPr>
        <w:widowControl w:val="0"/>
        <w:autoSpaceDE w:val="0"/>
        <w:autoSpaceDN w:val="0"/>
        <w:adjustRightInd w:val="0"/>
        <w:spacing w:after="120"/>
        <w:rPr>
          <w:rFonts w:cs="Calibri"/>
          <w:szCs w:val="22"/>
        </w:rPr>
      </w:pPr>
      <w:r w:rsidRPr="00411090">
        <w:rPr>
          <w:rFonts w:cs="Calibri"/>
          <w:szCs w:val="22"/>
        </w:rPr>
        <w:t xml:space="preserve">Additionally, there </w:t>
      </w:r>
      <w:r w:rsidR="00043685">
        <w:rPr>
          <w:rFonts w:cs="Calibri"/>
          <w:szCs w:val="22"/>
        </w:rPr>
        <w:t>are</w:t>
      </w:r>
      <w:r w:rsidRPr="00411090">
        <w:rPr>
          <w:rFonts w:cs="Calibri"/>
          <w:szCs w:val="22"/>
        </w:rPr>
        <w:t xml:space="preserve"> </w:t>
      </w:r>
      <w:r w:rsidR="00043685" w:rsidRPr="00411090">
        <w:rPr>
          <w:rFonts w:cs="Calibri"/>
          <w:szCs w:val="22"/>
        </w:rPr>
        <w:t>several</w:t>
      </w:r>
      <w:r w:rsidRPr="00411090">
        <w:rPr>
          <w:rFonts w:cs="Calibri"/>
          <w:szCs w:val="22"/>
        </w:rPr>
        <w:t xml:space="preserve"> governmental programs oriented towards agricultural and social development</w:t>
      </w:r>
      <w:r w:rsidR="00043685">
        <w:rPr>
          <w:rFonts w:cs="Calibri"/>
          <w:szCs w:val="22"/>
        </w:rPr>
        <w:t>,</w:t>
      </w:r>
      <w:r w:rsidRPr="00411090">
        <w:rPr>
          <w:rFonts w:cs="Calibri"/>
          <w:szCs w:val="22"/>
        </w:rPr>
        <w:t xml:space="preserve"> which support indirectly development of small-scale RES.</w:t>
      </w:r>
    </w:p>
    <w:p w14:paraId="64603FAC" w14:textId="77777777" w:rsidR="00132796" w:rsidRPr="00411090" w:rsidRDefault="00132796" w:rsidP="004622EC">
      <w:pPr>
        <w:widowControl w:val="0"/>
        <w:autoSpaceDE w:val="0"/>
        <w:autoSpaceDN w:val="0"/>
        <w:adjustRightInd w:val="0"/>
        <w:spacing w:after="120"/>
        <w:rPr>
          <w:rFonts w:eastAsia="Times New Roman" w:cs="Arial"/>
          <w:szCs w:val="22"/>
        </w:rPr>
      </w:pPr>
      <w:r w:rsidRPr="00411090">
        <w:rPr>
          <w:rFonts w:cs="Arial"/>
          <w:szCs w:val="22"/>
          <w:lang w:val="en-GB"/>
        </w:rPr>
        <w:t xml:space="preserve">For instance, the </w:t>
      </w:r>
      <w:r w:rsidRPr="006D5ED9">
        <w:rPr>
          <w:rFonts w:cs="Arial"/>
          <w:b/>
          <w:szCs w:val="22"/>
          <w:lang w:val="en-GB"/>
        </w:rPr>
        <w:t>programme on Employment 2020</w:t>
      </w:r>
      <w:r w:rsidRPr="00411090">
        <w:rPr>
          <w:rFonts w:cs="Arial"/>
          <w:szCs w:val="22"/>
          <w:lang w:val="en-GB"/>
        </w:rPr>
        <w:t xml:space="preserve"> was adopted on 19 June 2013 and stipulates state support measures </w:t>
      </w:r>
      <w:r w:rsidR="00411090">
        <w:rPr>
          <w:rFonts w:cs="Arial"/>
          <w:szCs w:val="22"/>
          <w:lang w:val="en-GB"/>
        </w:rPr>
        <w:t>improving</w:t>
      </w:r>
      <w:r w:rsidR="00411090">
        <w:rPr>
          <w:rFonts w:eastAsia="Times New Roman" w:cs="Arial"/>
          <w:szCs w:val="22"/>
        </w:rPr>
        <w:t xml:space="preserve"> </w:t>
      </w:r>
      <w:r w:rsidR="000A4495">
        <w:rPr>
          <w:rFonts w:eastAsia="Times New Roman" w:cs="Arial"/>
          <w:szCs w:val="22"/>
        </w:rPr>
        <w:t>infrastructure</w:t>
      </w:r>
      <w:r w:rsidR="00411090">
        <w:rPr>
          <w:rFonts w:eastAsia="Times New Roman" w:cs="Arial"/>
          <w:szCs w:val="22"/>
        </w:rPr>
        <w:t xml:space="preserve"> in the rural areas. </w:t>
      </w:r>
      <w:r w:rsidRPr="00411090">
        <w:rPr>
          <w:rFonts w:cs="Arial"/>
          <w:szCs w:val="22"/>
        </w:rPr>
        <w:t>A few small-scale hybrid wind and solar projects have been supported in remote farms of Kazakhstan through this programme.</w:t>
      </w:r>
    </w:p>
    <w:p w14:paraId="5B7794C8" w14:textId="77777777" w:rsidR="00132796" w:rsidRDefault="00132796" w:rsidP="004622EC">
      <w:pPr>
        <w:widowControl w:val="0"/>
        <w:autoSpaceDE w:val="0"/>
        <w:autoSpaceDN w:val="0"/>
        <w:adjustRightInd w:val="0"/>
        <w:spacing w:after="120"/>
        <w:rPr>
          <w:rFonts w:cs="Arial"/>
          <w:szCs w:val="22"/>
          <w:lang w:val="en-GB"/>
        </w:rPr>
      </w:pPr>
      <w:r w:rsidRPr="006D5ED9">
        <w:rPr>
          <w:rFonts w:cs="Arial"/>
          <w:b/>
          <w:szCs w:val="22"/>
          <w:lang w:val="en-GB"/>
        </w:rPr>
        <w:t>The Agricultural Development Programme 2013-2020</w:t>
      </w:r>
      <w:r w:rsidRPr="00411090">
        <w:rPr>
          <w:rFonts w:cs="Arial"/>
          <w:szCs w:val="22"/>
          <w:lang w:val="en-GB"/>
        </w:rPr>
        <w:t xml:space="preserve"> aims at supporting producers, improving the yield of land and livestock, increasing competitiveness of agricultural produce and create </w:t>
      </w:r>
      <w:r w:rsidR="00411090" w:rsidRPr="00411090">
        <w:rPr>
          <w:rFonts w:cs="Arial"/>
          <w:szCs w:val="22"/>
          <w:lang w:val="en-GB"/>
        </w:rPr>
        <w:t>favourable</w:t>
      </w:r>
      <w:r w:rsidRPr="00411090">
        <w:rPr>
          <w:rFonts w:cs="Arial"/>
          <w:szCs w:val="22"/>
          <w:lang w:val="en-GB"/>
        </w:rPr>
        <w:t xml:space="preserve"> conditions for development of agribusiness development. Application of small wind and solar technologies in farms and pastures is encouraged by The Agricultural Development Program, which triggered adoption of the </w:t>
      </w:r>
      <w:r w:rsidR="00411090" w:rsidRPr="00411090">
        <w:rPr>
          <w:rFonts w:cs="Arial"/>
          <w:szCs w:val="22"/>
          <w:lang w:val="en-GB"/>
        </w:rPr>
        <w:t>program</w:t>
      </w:r>
      <w:r w:rsidRPr="00411090">
        <w:rPr>
          <w:rFonts w:cs="Arial"/>
          <w:szCs w:val="22"/>
          <w:lang w:val="en-GB"/>
        </w:rPr>
        <w:t xml:space="preserve"> on investment subsidies for agricultural developments (Decree N 9-3/</w:t>
      </w:r>
      <w:r w:rsidR="00C953AA" w:rsidRPr="00411090">
        <w:rPr>
          <w:rFonts w:cs="Arial"/>
          <w:szCs w:val="22"/>
          <w:lang w:val="en-GB"/>
        </w:rPr>
        <w:t>726 dated</w:t>
      </w:r>
      <w:r w:rsidRPr="00411090">
        <w:rPr>
          <w:rFonts w:cs="Arial"/>
          <w:szCs w:val="22"/>
          <w:lang w:val="en-GB"/>
        </w:rPr>
        <w:t xml:space="preserve"> 7th of August 2015), which also offers 80% subsidi</w:t>
      </w:r>
      <w:r w:rsidR="00F60C0B">
        <w:rPr>
          <w:rFonts w:cs="Arial"/>
          <w:szCs w:val="22"/>
          <w:lang w:val="en-GB"/>
        </w:rPr>
        <w:t>es for the farmers who purchase</w:t>
      </w:r>
      <w:r w:rsidRPr="00411090">
        <w:rPr>
          <w:rFonts w:cs="Arial"/>
          <w:szCs w:val="22"/>
          <w:lang w:val="en-GB"/>
        </w:rPr>
        <w:t xml:space="preserve"> wind or solar equipment to support their activities. According to the Ministry of agriculture, 30% of applications submitted for this programme included development of small wind turbines. </w:t>
      </w:r>
    </w:p>
    <w:p w14:paraId="15939AB2" w14:textId="77777777" w:rsidR="00D91063" w:rsidRDefault="00D91063" w:rsidP="004622EC">
      <w:pPr>
        <w:widowControl w:val="0"/>
        <w:autoSpaceDE w:val="0"/>
        <w:autoSpaceDN w:val="0"/>
        <w:adjustRightInd w:val="0"/>
        <w:spacing w:after="120"/>
        <w:rPr>
          <w:rFonts w:cs="Calibri"/>
          <w:szCs w:val="20"/>
        </w:rPr>
      </w:pPr>
      <w:r w:rsidRPr="00DD016D">
        <w:rPr>
          <w:rFonts w:cs="Calibri"/>
          <w:szCs w:val="22"/>
        </w:rPr>
        <w:t xml:space="preserve">The </w:t>
      </w:r>
      <w:r w:rsidRPr="00DD016D">
        <w:rPr>
          <w:rFonts w:cs="Calibri"/>
          <w:b/>
          <w:i/>
          <w:szCs w:val="22"/>
        </w:rPr>
        <w:t>National Program for Development of Wind Energy until 2015 and up to 2030</w:t>
      </w:r>
      <w:r w:rsidRPr="00DD016D">
        <w:rPr>
          <w:rFonts w:cs="Calibri"/>
          <w:szCs w:val="22"/>
        </w:rPr>
        <w:t xml:space="preserve"> sets the target to produce 900 million kWh per year by 2015 and 5 billion KWh per year by 2024 of the wind energy. The Program also provides for wind energy support in rural areas and specifies the list of measures to achieve the targets</w:t>
      </w:r>
      <w:r>
        <w:rPr>
          <w:rFonts w:cs="Calibri"/>
          <w:szCs w:val="20"/>
        </w:rPr>
        <w:t>.</w:t>
      </w:r>
    </w:p>
    <w:p w14:paraId="5AA25091" w14:textId="77777777" w:rsidR="00D91063" w:rsidRDefault="00D91063" w:rsidP="004622EC">
      <w:pPr>
        <w:widowControl w:val="0"/>
        <w:autoSpaceDE w:val="0"/>
        <w:autoSpaceDN w:val="0"/>
        <w:adjustRightInd w:val="0"/>
        <w:spacing w:after="120"/>
        <w:rPr>
          <w:rFonts w:cs="Calibri"/>
          <w:szCs w:val="22"/>
        </w:rPr>
      </w:pPr>
      <w:r w:rsidRPr="00B4394E">
        <w:rPr>
          <w:rFonts w:cs="Calibri"/>
          <w:b/>
          <w:i/>
          <w:szCs w:val="22"/>
        </w:rPr>
        <w:t>Strategic Development Plan of the Republic of Kazakhstan to 2020</w:t>
      </w:r>
      <w:r w:rsidRPr="00B4394E">
        <w:rPr>
          <w:rFonts w:cs="Calibri"/>
          <w:szCs w:val="22"/>
        </w:rPr>
        <w:t xml:space="preserve">  stipulates that the share of RES in the total share of energy consumption should reach 1.5% by 2015, and more than 3% by 2020. </w:t>
      </w:r>
    </w:p>
    <w:p w14:paraId="1FF9A378" w14:textId="77777777" w:rsidR="00D91063" w:rsidRPr="00594952" w:rsidRDefault="00D91063" w:rsidP="004622EC">
      <w:pPr>
        <w:widowControl w:val="0"/>
        <w:autoSpaceDE w:val="0"/>
        <w:autoSpaceDN w:val="0"/>
        <w:adjustRightInd w:val="0"/>
        <w:spacing w:after="120"/>
        <w:rPr>
          <w:rFonts w:cs="Calibri"/>
          <w:szCs w:val="22"/>
        </w:rPr>
      </w:pPr>
      <w:r>
        <w:rPr>
          <w:rFonts w:cs="Calibri"/>
          <w:szCs w:val="22"/>
        </w:rPr>
        <w:t>The</w:t>
      </w:r>
      <w:r w:rsidRPr="00594952">
        <w:rPr>
          <w:rFonts w:cs="Calibri"/>
          <w:szCs w:val="22"/>
        </w:rPr>
        <w:t xml:space="preserve"> </w:t>
      </w:r>
      <w:r w:rsidRPr="00594952">
        <w:rPr>
          <w:rFonts w:cs="Calibri"/>
          <w:b/>
          <w:i/>
          <w:szCs w:val="22"/>
        </w:rPr>
        <w:t xml:space="preserve">Concept of development of the fuel and energy complex of Kazakhstan </w:t>
      </w:r>
      <w:r>
        <w:rPr>
          <w:rFonts w:cs="Calibri"/>
          <w:szCs w:val="22"/>
        </w:rPr>
        <w:t>until 2030 (</w:t>
      </w:r>
      <w:r w:rsidRPr="00594952">
        <w:rPr>
          <w:rFonts w:cs="Calibri"/>
          <w:szCs w:val="22"/>
        </w:rPr>
        <w:t>decree No. 724 dated 28 June 2014)</w:t>
      </w:r>
      <w:r>
        <w:rPr>
          <w:rFonts w:cs="Calibri"/>
          <w:szCs w:val="22"/>
        </w:rPr>
        <w:t xml:space="preserve"> </w:t>
      </w:r>
      <w:r w:rsidRPr="00594952">
        <w:rPr>
          <w:rFonts w:cs="Calibri"/>
          <w:szCs w:val="22"/>
        </w:rPr>
        <w:t xml:space="preserve">includes the following tasks: </w:t>
      </w:r>
    </w:p>
    <w:p w14:paraId="4700EF6F" w14:textId="77777777" w:rsidR="00D91063" w:rsidRPr="00594952" w:rsidRDefault="00D91063" w:rsidP="0020322F">
      <w:pPr>
        <w:widowControl w:val="0"/>
        <w:numPr>
          <w:ilvl w:val="0"/>
          <w:numId w:val="13"/>
        </w:numPr>
        <w:autoSpaceDE w:val="0"/>
        <w:autoSpaceDN w:val="0"/>
        <w:adjustRightInd w:val="0"/>
        <w:spacing w:after="120"/>
        <w:contextualSpacing/>
        <w:rPr>
          <w:rFonts w:cs="Calibri"/>
          <w:szCs w:val="22"/>
        </w:rPr>
      </w:pPr>
      <w:r w:rsidRPr="00594952">
        <w:rPr>
          <w:rFonts w:cs="Calibri"/>
          <w:szCs w:val="22"/>
        </w:rPr>
        <w:t xml:space="preserve">Ensure energy security of the country by increasing self-sufficiency in resources and FEC products; </w:t>
      </w:r>
    </w:p>
    <w:p w14:paraId="09EE620C" w14:textId="77777777" w:rsidR="00D91063" w:rsidRPr="00594952" w:rsidRDefault="00D91063" w:rsidP="0020322F">
      <w:pPr>
        <w:widowControl w:val="0"/>
        <w:numPr>
          <w:ilvl w:val="0"/>
          <w:numId w:val="13"/>
        </w:numPr>
        <w:autoSpaceDE w:val="0"/>
        <w:autoSpaceDN w:val="0"/>
        <w:adjustRightInd w:val="0"/>
        <w:spacing w:after="120"/>
        <w:contextualSpacing/>
        <w:rPr>
          <w:rFonts w:cs="Calibri"/>
          <w:szCs w:val="22"/>
        </w:rPr>
      </w:pPr>
      <w:r w:rsidRPr="00594952">
        <w:rPr>
          <w:rFonts w:cs="Calibri"/>
          <w:szCs w:val="22"/>
        </w:rPr>
        <w:t xml:space="preserve">Increase geopolitical influence in the region by addressing energy consumption growth in the economies of the region; </w:t>
      </w:r>
    </w:p>
    <w:p w14:paraId="19342F58" w14:textId="77777777" w:rsidR="00D91063" w:rsidRPr="00594952" w:rsidRDefault="00D91063" w:rsidP="0020322F">
      <w:pPr>
        <w:widowControl w:val="0"/>
        <w:numPr>
          <w:ilvl w:val="0"/>
          <w:numId w:val="13"/>
        </w:numPr>
        <w:autoSpaceDE w:val="0"/>
        <w:autoSpaceDN w:val="0"/>
        <w:adjustRightInd w:val="0"/>
        <w:spacing w:after="120"/>
        <w:contextualSpacing/>
        <w:rPr>
          <w:rFonts w:cs="Calibri"/>
          <w:szCs w:val="22"/>
        </w:rPr>
      </w:pPr>
      <w:r w:rsidRPr="00594952">
        <w:rPr>
          <w:rFonts w:cs="Calibri"/>
          <w:szCs w:val="22"/>
        </w:rPr>
        <w:t xml:space="preserve">Develop the economic potential of the country; </w:t>
      </w:r>
    </w:p>
    <w:p w14:paraId="0208F34D" w14:textId="77777777" w:rsidR="00D91063" w:rsidRPr="00594952" w:rsidRDefault="00D91063" w:rsidP="0020322F">
      <w:pPr>
        <w:widowControl w:val="0"/>
        <w:numPr>
          <w:ilvl w:val="0"/>
          <w:numId w:val="13"/>
        </w:numPr>
        <w:autoSpaceDE w:val="0"/>
        <w:autoSpaceDN w:val="0"/>
        <w:adjustRightInd w:val="0"/>
        <w:spacing w:after="120"/>
        <w:contextualSpacing/>
        <w:rPr>
          <w:rFonts w:cs="Calibri"/>
          <w:szCs w:val="22"/>
        </w:rPr>
      </w:pPr>
      <w:r w:rsidRPr="00594952">
        <w:rPr>
          <w:rFonts w:cs="Calibri"/>
          <w:szCs w:val="22"/>
        </w:rPr>
        <w:t xml:space="preserve">Develop scientific potential; </w:t>
      </w:r>
    </w:p>
    <w:p w14:paraId="2C6A8A85" w14:textId="77777777" w:rsidR="00D91063" w:rsidRPr="00594952" w:rsidRDefault="00D91063" w:rsidP="0020322F">
      <w:pPr>
        <w:widowControl w:val="0"/>
        <w:numPr>
          <w:ilvl w:val="0"/>
          <w:numId w:val="13"/>
        </w:numPr>
        <w:autoSpaceDE w:val="0"/>
        <w:autoSpaceDN w:val="0"/>
        <w:adjustRightInd w:val="0"/>
        <w:spacing w:after="120"/>
        <w:contextualSpacing/>
        <w:rPr>
          <w:rFonts w:cs="Calibri"/>
          <w:szCs w:val="22"/>
        </w:rPr>
      </w:pPr>
      <w:r w:rsidRPr="00594952">
        <w:rPr>
          <w:rFonts w:cs="Calibri"/>
          <w:szCs w:val="22"/>
        </w:rPr>
        <w:t xml:space="preserve">Improve safety and reliability of electrical equipment and power facilities; </w:t>
      </w:r>
    </w:p>
    <w:p w14:paraId="0E50D6FB" w14:textId="77777777" w:rsidR="00D91063" w:rsidRPr="00594952" w:rsidRDefault="00D91063" w:rsidP="0020322F">
      <w:pPr>
        <w:widowControl w:val="0"/>
        <w:numPr>
          <w:ilvl w:val="0"/>
          <w:numId w:val="13"/>
        </w:numPr>
        <w:autoSpaceDE w:val="0"/>
        <w:autoSpaceDN w:val="0"/>
        <w:adjustRightInd w:val="0"/>
        <w:spacing w:after="120"/>
        <w:contextualSpacing/>
        <w:rPr>
          <w:rFonts w:cs="Calibri"/>
          <w:szCs w:val="22"/>
        </w:rPr>
      </w:pPr>
      <w:r w:rsidRPr="00594952">
        <w:rPr>
          <w:rFonts w:cs="Calibri"/>
          <w:szCs w:val="22"/>
        </w:rPr>
        <w:t xml:space="preserve">Intensively develop the fuel and energy sector by utilizing the technologies of the </w:t>
      </w:r>
      <w:r w:rsidR="005A1734">
        <w:rPr>
          <w:rFonts w:cs="Calibri"/>
          <w:szCs w:val="22"/>
        </w:rPr>
        <w:t>21</w:t>
      </w:r>
      <w:r w:rsidR="005A1734" w:rsidRPr="005A1734">
        <w:rPr>
          <w:rFonts w:cs="Calibri"/>
          <w:szCs w:val="22"/>
          <w:vertAlign w:val="superscript"/>
        </w:rPr>
        <w:t>st</w:t>
      </w:r>
      <w:r w:rsidR="005A1734">
        <w:rPr>
          <w:rFonts w:cs="Calibri"/>
          <w:szCs w:val="22"/>
        </w:rPr>
        <w:t xml:space="preserve"> </w:t>
      </w:r>
      <w:r w:rsidRPr="00594952">
        <w:rPr>
          <w:rFonts w:cs="Calibri"/>
          <w:szCs w:val="22"/>
        </w:rPr>
        <w:t xml:space="preserve">century; </w:t>
      </w:r>
    </w:p>
    <w:p w14:paraId="4E540A50" w14:textId="77777777" w:rsidR="00D91063" w:rsidRPr="00594952" w:rsidRDefault="00D91063" w:rsidP="0020322F">
      <w:pPr>
        <w:widowControl w:val="0"/>
        <w:numPr>
          <w:ilvl w:val="0"/>
          <w:numId w:val="13"/>
        </w:numPr>
        <w:autoSpaceDE w:val="0"/>
        <w:autoSpaceDN w:val="0"/>
        <w:adjustRightInd w:val="0"/>
        <w:spacing w:after="120"/>
        <w:contextualSpacing/>
        <w:rPr>
          <w:rFonts w:cs="Calibri"/>
          <w:szCs w:val="22"/>
        </w:rPr>
      </w:pPr>
      <w:r w:rsidRPr="00594952">
        <w:rPr>
          <w:rFonts w:cs="Calibri"/>
          <w:szCs w:val="22"/>
        </w:rPr>
        <w:t xml:space="preserve">Actively involve renewable energy and alternative energy sources in the energy mix; </w:t>
      </w:r>
    </w:p>
    <w:p w14:paraId="091C8292" w14:textId="77777777" w:rsidR="00D91063" w:rsidRDefault="00D91063" w:rsidP="0020322F">
      <w:pPr>
        <w:widowControl w:val="0"/>
        <w:numPr>
          <w:ilvl w:val="0"/>
          <w:numId w:val="13"/>
        </w:numPr>
        <w:autoSpaceDE w:val="0"/>
        <w:autoSpaceDN w:val="0"/>
        <w:adjustRightInd w:val="0"/>
        <w:spacing w:after="120"/>
        <w:contextualSpacing/>
        <w:rPr>
          <w:rFonts w:cs="Calibri"/>
          <w:szCs w:val="22"/>
        </w:rPr>
      </w:pPr>
      <w:r w:rsidRPr="00594952">
        <w:rPr>
          <w:rFonts w:cs="Calibri"/>
          <w:szCs w:val="22"/>
        </w:rPr>
        <w:t xml:space="preserve">Conserve energy and resources, and improve energy efficiency. </w:t>
      </w:r>
    </w:p>
    <w:p w14:paraId="25C9D6E9" w14:textId="77777777" w:rsidR="00E40745" w:rsidRPr="00594952" w:rsidRDefault="00E40745" w:rsidP="004622EC">
      <w:pPr>
        <w:widowControl w:val="0"/>
        <w:autoSpaceDE w:val="0"/>
        <w:autoSpaceDN w:val="0"/>
        <w:adjustRightInd w:val="0"/>
        <w:spacing w:after="120"/>
        <w:ind w:left="720"/>
        <w:contextualSpacing/>
        <w:rPr>
          <w:rFonts w:cs="Calibri"/>
          <w:szCs w:val="22"/>
        </w:rPr>
      </w:pPr>
    </w:p>
    <w:p w14:paraId="4B466124" w14:textId="77777777" w:rsidR="00D91063" w:rsidRPr="00594952" w:rsidRDefault="00D91063" w:rsidP="004622EC">
      <w:pPr>
        <w:widowControl w:val="0"/>
        <w:autoSpaceDE w:val="0"/>
        <w:autoSpaceDN w:val="0"/>
        <w:adjustRightInd w:val="0"/>
        <w:spacing w:after="120"/>
        <w:rPr>
          <w:rFonts w:cs="Calibri"/>
          <w:szCs w:val="22"/>
        </w:rPr>
      </w:pPr>
      <w:r w:rsidRPr="00DD016D">
        <w:rPr>
          <w:rFonts w:cs="Calibri"/>
          <w:szCs w:val="22"/>
        </w:rPr>
        <w:t xml:space="preserve">The </w:t>
      </w:r>
      <w:r w:rsidRPr="00DD016D">
        <w:rPr>
          <w:rFonts w:cs="Calibri"/>
          <w:b/>
          <w:i/>
          <w:szCs w:val="22"/>
        </w:rPr>
        <w:t>Concept for Transition to Sustainable Development for 2007-2024</w:t>
      </w:r>
      <w:r w:rsidRPr="00DD016D">
        <w:rPr>
          <w:rFonts w:cs="Calibri"/>
          <w:szCs w:val="22"/>
        </w:rPr>
        <w:t xml:space="preserve"> (Decree of the President of the Republic of Kazakhstan No.216 dated November 14, 2006) was adopted to support implementation of the Strategy for development of Kazakhstan until 2030. The concept explicitly refers to importance of development of renewable energy to improve social economic and environmental conditions in Kazakhstan. </w:t>
      </w:r>
    </w:p>
    <w:p w14:paraId="66097A44" w14:textId="77777777" w:rsidR="00D91063" w:rsidRPr="007F030A" w:rsidRDefault="00D91063" w:rsidP="004622EC">
      <w:pPr>
        <w:widowControl w:val="0"/>
        <w:autoSpaceDE w:val="0"/>
        <w:autoSpaceDN w:val="0"/>
        <w:adjustRightInd w:val="0"/>
        <w:spacing w:after="120"/>
        <w:rPr>
          <w:rFonts w:cs="Calibri"/>
          <w:szCs w:val="22"/>
        </w:rPr>
      </w:pPr>
      <w:r w:rsidRPr="00DD016D">
        <w:rPr>
          <w:rFonts w:cs="Calibri"/>
          <w:b/>
          <w:szCs w:val="22"/>
        </w:rPr>
        <w:t>State programme “Energy Efficiency 2020”</w:t>
      </w:r>
      <w:r w:rsidRPr="007F030A">
        <w:rPr>
          <w:rFonts w:cs="Calibri"/>
          <w:szCs w:val="22"/>
        </w:rPr>
        <w:t xml:space="preserve"> was adopted on August 29, 2013 by the Decree No 904 [30]. The objective of the Programme is to reduce consumption by 10% every year until 2015 and decrease energy intensity of GDP by 40% in 2020 comparing to the level of 2008. There are nine main streams for the Programme implementation: EE industry, EE innovative energy, EE housing and utilities, EE construction, EE transport, EE lighting, EE society, EE budget s</w:t>
      </w:r>
      <w:r>
        <w:rPr>
          <w:rFonts w:cs="Calibri"/>
          <w:szCs w:val="22"/>
        </w:rPr>
        <w:t>ector, and economic payment</w:t>
      </w:r>
      <w:r w:rsidRPr="007F030A">
        <w:rPr>
          <w:rFonts w:cs="Calibri"/>
          <w:szCs w:val="22"/>
        </w:rPr>
        <w:t xml:space="preserve">. </w:t>
      </w:r>
    </w:p>
    <w:p w14:paraId="14A47AE4" w14:textId="77777777" w:rsidR="00D91063" w:rsidRPr="00DD016D" w:rsidRDefault="00D91063" w:rsidP="004622EC">
      <w:pPr>
        <w:widowControl w:val="0"/>
        <w:autoSpaceDE w:val="0"/>
        <w:autoSpaceDN w:val="0"/>
        <w:adjustRightInd w:val="0"/>
        <w:spacing w:after="120"/>
        <w:rPr>
          <w:rFonts w:cs="Calibri"/>
          <w:szCs w:val="22"/>
        </w:rPr>
      </w:pPr>
      <w:r w:rsidRPr="00DD016D">
        <w:rPr>
          <w:rFonts w:cs="Calibri"/>
          <w:b/>
          <w:i/>
          <w:szCs w:val="22"/>
        </w:rPr>
        <w:t>The Concept for Ecological Safety</w:t>
      </w:r>
      <w:r w:rsidRPr="00DD016D">
        <w:rPr>
          <w:rFonts w:cs="Calibri"/>
          <w:szCs w:val="22"/>
        </w:rPr>
        <w:t xml:space="preserve"> (Decree N1241 dated 3d December 2003) alerts about increased air pollution in cities and town of Kazakhstan and calls for development of renewable energy as an important measure to improve air quality and health of the population. </w:t>
      </w:r>
    </w:p>
    <w:p w14:paraId="050B3DCB" w14:textId="77777777" w:rsidR="00D91063" w:rsidRPr="00DD016D" w:rsidRDefault="00D91063" w:rsidP="00043685">
      <w:pPr>
        <w:keepNext/>
        <w:keepLines/>
        <w:widowControl w:val="0"/>
        <w:autoSpaceDE w:val="0"/>
        <w:autoSpaceDN w:val="0"/>
        <w:adjustRightInd w:val="0"/>
        <w:spacing w:after="120"/>
        <w:rPr>
          <w:rFonts w:cs="Calibri"/>
          <w:szCs w:val="22"/>
        </w:rPr>
      </w:pPr>
      <w:r w:rsidRPr="00DD016D">
        <w:rPr>
          <w:rFonts w:cs="Calibri"/>
          <w:b/>
          <w:i/>
          <w:szCs w:val="22"/>
        </w:rPr>
        <w:t>The Concept of Industrial and Innovation Development of the Republic of Kazakhstan for 2015-2019 years</w:t>
      </w:r>
      <w:r w:rsidRPr="00DD016D">
        <w:rPr>
          <w:rFonts w:cs="Calibri"/>
          <w:szCs w:val="22"/>
        </w:rPr>
        <w:t xml:space="preserve"> (Resolution of the Government of the Republic of Kazakhstan dated December 31, 2013 No 1497) states that Kazakhstan needs to implement structural changes in the economy necessary to maintain high rates of economic growth. Renewable energy is identified as one of the priority innovation sectors, for which support should be sought including inter alia through creation of world-class</w:t>
      </w:r>
      <w:r>
        <w:rPr>
          <w:rFonts w:cs="Calibri"/>
          <w:szCs w:val="22"/>
        </w:rPr>
        <w:t xml:space="preserve"> </w:t>
      </w:r>
      <w:r w:rsidRPr="00DD016D">
        <w:rPr>
          <w:rFonts w:cs="Calibri"/>
          <w:szCs w:val="22"/>
        </w:rPr>
        <w:t>infrastructure, technology parks and research centres.</w:t>
      </w:r>
      <w:r>
        <w:rPr>
          <w:rFonts w:cs="Calibri"/>
          <w:szCs w:val="22"/>
        </w:rPr>
        <w:t xml:space="preserve"> </w:t>
      </w:r>
      <w:r w:rsidRPr="00DD016D">
        <w:rPr>
          <w:rFonts w:cs="Calibri"/>
          <w:szCs w:val="22"/>
        </w:rPr>
        <w:t>It is targeted that the energy intensity of gross domestic product should be reduced by at least 10% by 2015 and 25% by 2020</w:t>
      </w:r>
      <w:r>
        <w:rPr>
          <w:sz w:val="26"/>
          <w:szCs w:val="26"/>
        </w:rPr>
        <w:t xml:space="preserve">. </w:t>
      </w:r>
    </w:p>
    <w:p w14:paraId="1B4E5ABB" w14:textId="77777777" w:rsidR="00D91063" w:rsidRDefault="00D91063" w:rsidP="004622EC">
      <w:pPr>
        <w:widowControl w:val="0"/>
        <w:autoSpaceDE w:val="0"/>
        <w:autoSpaceDN w:val="0"/>
        <w:adjustRightInd w:val="0"/>
        <w:spacing w:after="120"/>
        <w:rPr>
          <w:rFonts w:cs="Calibri"/>
          <w:szCs w:val="22"/>
        </w:rPr>
      </w:pPr>
      <w:r w:rsidRPr="00D35619">
        <w:rPr>
          <w:rFonts w:cs="Calibri"/>
          <w:b/>
          <w:i/>
          <w:szCs w:val="22"/>
        </w:rPr>
        <w:t xml:space="preserve">Modernization of housing and communal services between 2011 and 2020 </w:t>
      </w:r>
      <w:r>
        <w:rPr>
          <w:rFonts w:cs="Calibri"/>
          <w:b/>
          <w:i/>
          <w:szCs w:val="22"/>
        </w:rPr>
        <w:t xml:space="preserve">- </w:t>
      </w:r>
      <w:r w:rsidRPr="00D35619">
        <w:rPr>
          <w:rFonts w:cs="Calibri"/>
          <w:szCs w:val="22"/>
        </w:rPr>
        <w:t xml:space="preserve">One of the priority objectives of the program for 2011-2020 is to update the country's housing stock </w:t>
      </w:r>
      <w:r w:rsidR="005A1734">
        <w:rPr>
          <w:rFonts w:cs="Calibri"/>
          <w:szCs w:val="22"/>
        </w:rPr>
        <w:t>by</w:t>
      </w:r>
      <w:r w:rsidR="005A1734" w:rsidRPr="00D35619">
        <w:rPr>
          <w:rFonts w:cs="Calibri"/>
          <w:szCs w:val="22"/>
        </w:rPr>
        <w:t xml:space="preserve"> </w:t>
      </w:r>
      <w:r w:rsidRPr="00D35619">
        <w:rPr>
          <w:rFonts w:cs="Calibri"/>
          <w:szCs w:val="22"/>
        </w:rPr>
        <w:t xml:space="preserve">increasing </w:t>
      </w:r>
      <w:r w:rsidR="005A1734">
        <w:rPr>
          <w:rFonts w:cs="Calibri"/>
          <w:szCs w:val="22"/>
        </w:rPr>
        <w:t xml:space="preserve">he number of </w:t>
      </w:r>
      <w:r w:rsidR="00C953AA" w:rsidRPr="00D35619">
        <w:rPr>
          <w:rFonts w:cs="Calibri"/>
          <w:szCs w:val="22"/>
        </w:rPr>
        <w:t>thermo-residential buildings</w:t>
      </w:r>
      <w:r w:rsidRPr="00D35619">
        <w:rPr>
          <w:rFonts w:cs="Calibri"/>
          <w:szCs w:val="22"/>
        </w:rPr>
        <w:t>.</w:t>
      </w:r>
      <w:r w:rsidR="002D41F0">
        <w:rPr>
          <w:rFonts w:cs="Calibri"/>
          <w:szCs w:val="22"/>
        </w:rPr>
        <w:t xml:space="preserve"> </w:t>
      </w:r>
      <w:r w:rsidRPr="00D35619">
        <w:rPr>
          <w:rFonts w:cs="Calibri"/>
          <w:szCs w:val="22"/>
        </w:rPr>
        <w:t xml:space="preserve">In 2014 more than 11 billion </w:t>
      </w:r>
      <w:r w:rsidR="00C953AA" w:rsidRPr="00D35619">
        <w:rPr>
          <w:rFonts w:cs="Calibri"/>
          <w:szCs w:val="22"/>
        </w:rPr>
        <w:t>Tenge</w:t>
      </w:r>
      <w:r w:rsidRPr="00D35619">
        <w:rPr>
          <w:rFonts w:cs="Calibri"/>
          <w:szCs w:val="22"/>
        </w:rPr>
        <w:t xml:space="preserve"> was provided for repair of apartment houses in Kazakhstan in the framework of modernization program of housing and communal services of Kazakhstan for 2011-2020.</w:t>
      </w:r>
      <w:r>
        <w:rPr>
          <w:rFonts w:cs="Calibri"/>
          <w:szCs w:val="22"/>
        </w:rPr>
        <w:t xml:space="preserve"> </w:t>
      </w:r>
      <w:r w:rsidRPr="00D35619">
        <w:rPr>
          <w:rFonts w:cs="Calibri"/>
          <w:szCs w:val="22"/>
        </w:rPr>
        <w:t>It is planned that interest-free loans will be allocated from the state budget for renovation of apartment buildings.</w:t>
      </w:r>
    </w:p>
    <w:p w14:paraId="27FB8470" w14:textId="77777777" w:rsidR="00D91063" w:rsidRDefault="00D91063" w:rsidP="004622EC">
      <w:pPr>
        <w:widowControl w:val="0"/>
        <w:autoSpaceDE w:val="0"/>
        <w:autoSpaceDN w:val="0"/>
        <w:adjustRightInd w:val="0"/>
        <w:spacing w:after="120"/>
        <w:rPr>
          <w:rFonts w:cs="Calibri"/>
          <w:szCs w:val="22"/>
        </w:rPr>
      </w:pPr>
      <w:r>
        <w:rPr>
          <w:rFonts w:cs="Calibri"/>
          <w:szCs w:val="22"/>
        </w:rPr>
        <w:t xml:space="preserve">In 1995 Kazakhstan ratified the UNFCCC as a non-Annex I party, and in 1999 committed to join industrialized nations in their effort to limit GHG emissions and accept a binding and quantified emission limitation of 100% over a 1992 baseline. Further, in 2010 Kazakhstan announced and communicated to the Parties its additional voluntary commitments to reduce GHG emissions by 15% by 2020 below 1990 emissions and by 25% by 2050.  </w:t>
      </w:r>
    </w:p>
    <w:p w14:paraId="7714819E" w14:textId="77777777" w:rsidR="00D91063" w:rsidRPr="00DD016D" w:rsidRDefault="00D91063" w:rsidP="004622EC">
      <w:pPr>
        <w:widowControl w:val="0"/>
        <w:autoSpaceDE w:val="0"/>
        <w:autoSpaceDN w:val="0"/>
        <w:adjustRightInd w:val="0"/>
        <w:spacing w:after="120"/>
        <w:rPr>
          <w:rFonts w:cs="Calibri"/>
          <w:szCs w:val="22"/>
        </w:rPr>
      </w:pPr>
      <w:r w:rsidRPr="00EF4297">
        <w:rPr>
          <w:rFonts w:cs="Calibri"/>
          <w:szCs w:val="22"/>
        </w:rPr>
        <w:t xml:space="preserve">The development of the Kazakh Emission Trading Scheme was enacted into law on 3 December 2011 through an amendment to Kazakhstan’s “Ecological Code”, thereby establishing a national market mechanism for </w:t>
      </w:r>
      <w:r w:rsidR="005A1734">
        <w:rPr>
          <w:rFonts w:cs="Calibri"/>
          <w:szCs w:val="22"/>
        </w:rPr>
        <w:t xml:space="preserve">the </w:t>
      </w:r>
      <w:r w:rsidRPr="00EF4297">
        <w:rPr>
          <w:rFonts w:cs="Calibri"/>
          <w:szCs w:val="22"/>
        </w:rPr>
        <w:t xml:space="preserve">reduction of GHG emissions which should allow for both national and international trade in emissions allowances, in addition to initiating the development of a domestic offset scheme. Since </w:t>
      </w:r>
      <w:r w:rsidR="005A1734">
        <w:rPr>
          <w:rFonts w:cs="Calibri"/>
          <w:szCs w:val="22"/>
        </w:rPr>
        <w:t xml:space="preserve">the </w:t>
      </w:r>
      <w:r w:rsidRPr="00EF4297">
        <w:rPr>
          <w:rFonts w:cs="Calibri"/>
          <w:szCs w:val="22"/>
        </w:rPr>
        <w:t xml:space="preserve">adoption of the amendment to the Ecological Code, 17 Government decrees and 14 Ministerial orders have been drafted </w:t>
      </w:r>
      <w:r w:rsidR="005A1734">
        <w:rPr>
          <w:rFonts w:cs="Calibri"/>
          <w:szCs w:val="22"/>
        </w:rPr>
        <w:t>to</w:t>
      </w:r>
      <w:r w:rsidR="005A1734" w:rsidRPr="00EF4297">
        <w:rPr>
          <w:rFonts w:cs="Calibri"/>
          <w:szCs w:val="22"/>
        </w:rPr>
        <w:t xml:space="preserve"> </w:t>
      </w:r>
      <w:r w:rsidRPr="00EF4297">
        <w:rPr>
          <w:rFonts w:cs="Calibri"/>
          <w:szCs w:val="22"/>
        </w:rPr>
        <w:t xml:space="preserve">regulate the Kazakh ETS and the domestic offset scheme, and to date all but one of these have been adopted. In accordance with the Ecological Code the pilot phase of the Kazakh ETS started on 1 January 2013, and </w:t>
      </w:r>
      <w:r w:rsidR="005A1734">
        <w:rPr>
          <w:rFonts w:cs="Calibri"/>
          <w:szCs w:val="22"/>
        </w:rPr>
        <w:t>was</w:t>
      </w:r>
      <w:r w:rsidR="005A1734" w:rsidRPr="00EF4297">
        <w:rPr>
          <w:rFonts w:cs="Calibri"/>
          <w:szCs w:val="22"/>
        </w:rPr>
        <w:t xml:space="preserve"> </w:t>
      </w:r>
      <w:r w:rsidRPr="00EF4297">
        <w:rPr>
          <w:rFonts w:cs="Calibri"/>
          <w:szCs w:val="22"/>
        </w:rPr>
        <w:t xml:space="preserve">currently intended to last one year. The pilot phase is to be followed by the “second trade period”, the duration of which is still to be officially determined, but </w:t>
      </w:r>
      <w:r w:rsidR="005A1734">
        <w:rPr>
          <w:rFonts w:cs="Calibri"/>
          <w:szCs w:val="22"/>
        </w:rPr>
        <w:t>was</w:t>
      </w:r>
      <w:r w:rsidR="005A1734" w:rsidRPr="00EF4297">
        <w:rPr>
          <w:rFonts w:cs="Calibri"/>
          <w:szCs w:val="22"/>
        </w:rPr>
        <w:t xml:space="preserve"> </w:t>
      </w:r>
      <w:r w:rsidRPr="00EF4297">
        <w:rPr>
          <w:rFonts w:cs="Calibri"/>
          <w:szCs w:val="22"/>
        </w:rPr>
        <w:t xml:space="preserve">expected to cover the years 2014 to 2020. </w:t>
      </w:r>
      <w:r w:rsidR="005A1734">
        <w:rPr>
          <w:rFonts w:cs="Calibri"/>
          <w:szCs w:val="22"/>
        </w:rPr>
        <w:t>Given changes in priorities of the government the ETS system is currently on hold.</w:t>
      </w:r>
    </w:p>
    <w:p w14:paraId="68BD8ECB" w14:textId="77777777" w:rsidR="008E4A1B" w:rsidRPr="00F72874" w:rsidRDefault="00F72874" w:rsidP="004622EC">
      <w:pPr>
        <w:widowControl w:val="0"/>
        <w:autoSpaceDE w:val="0"/>
        <w:autoSpaceDN w:val="0"/>
        <w:adjustRightInd w:val="0"/>
        <w:spacing w:after="120"/>
        <w:rPr>
          <w:rFonts w:cs="Calibri"/>
          <w:szCs w:val="22"/>
        </w:rPr>
      </w:pPr>
      <w:r w:rsidRPr="00F72874">
        <w:rPr>
          <w:rFonts w:cs="Calibri"/>
          <w:szCs w:val="22"/>
        </w:rPr>
        <w:t xml:space="preserve">A grid code has been in place since 1996. According to the "grid code" both generators and customers have the right to non-discriminatory access to the power grids. A separate fee for access to power grids is currently not provided. Until January 2009 there was a procedure under which if connection to the network was leading to its expansion and reconstruction, the owner of the connection had to compensate the grid company. The fee was set pursuant to the methodology approved by </w:t>
      </w:r>
      <w:r w:rsidR="008E4A1B" w:rsidRPr="00F72874">
        <w:rPr>
          <w:rFonts w:cs="Calibri"/>
          <w:szCs w:val="22"/>
        </w:rPr>
        <w:t xml:space="preserve">Agency of the Republic of Kazakhstan on Regulation of Natural Monopolies </w:t>
      </w:r>
      <w:r w:rsidR="008E4A1B">
        <w:rPr>
          <w:rFonts w:cs="Calibri"/>
          <w:szCs w:val="22"/>
        </w:rPr>
        <w:t>(</w:t>
      </w:r>
      <w:r w:rsidRPr="00F72874">
        <w:rPr>
          <w:rFonts w:cs="Calibri"/>
          <w:szCs w:val="22"/>
        </w:rPr>
        <w:t>ANMR</w:t>
      </w:r>
      <w:r w:rsidR="008E4A1B">
        <w:rPr>
          <w:rFonts w:cs="Calibri"/>
          <w:szCs w:val="22"/>
        </w:rPr>
        <w:t>)</w:t>
      </w:r>
      <w:r w:rsidRPr="00F72874">
        <w:rPr>
          <w:rFonts w:cs="Calibri"/>
          <w:szCs w:val="22"/>
        </w:rPr>
        <w:t>, subject to the connected capacity and payment per unit of power, set forth in the grid company’s approved network development plan. Subject to entrepreneurship support measures, such payments were abolished in December 2008. Separate transmission, distribution and end-user tariffs are in place.</w:t>
      </w:r>
      <w:r>
        <w:rPr>
          <w:rStyle w:val="afa"/>
          <w:szCs w:val="22"/>
        </w:rPr>
        <w:footnoteReference w:id="21"/>
      </w:r>
      <w:r w:rsidR="008E4A1B">
        <w:rPr>
          <w:rFonts w:cs="Calibri"/>
          <w:szCs w:val="22"/>
        </w:rPr>
        <w:t xml:space="preserve"> Currently, t</w:t>
      </w:r>
      <w:r w:rsidR="008E4A1B" w:rsidRPr="008E4A1B">
        <w:rPr>
          <w:rFonts w:cs="Calibri"/>
          <w:szCs w:val="22"/>
        </w:rPr>
        <w:t>he RES law adopted in 2016 requires that such costs</w:t>
      </w:r>
      <w:r w:rsidR="008E4A1B">
        <w:rPr>
          <w:rFonts w:cs="Calibri"/>
          <w:szCs w:val="22"/>
        </w:rPr>
        <w:t xml:space="preserve"> (</w:t>
      </w:r>
      <w:r w:rsidR="005A1734">
        <w:rPr>
          <w:rFonts w:cs="Calibri"/>
          <w:szCs w:val="22"/>
        </w:rPr>
        <w:t xml:space="preserve">as </w:t>
      </w:r>
      <w:r w:rsidR="008E4A1B" w:rsidRPr="00F72874">
        <w:rPr>
          <w:rFonts w:cs="Calibri"/>
          <w:szCs w:val="22"/>
        </w:rPr>
        <w:t xml:space="preserve">connection to the network was leading to </w:t>
      </w:r>
      <w:r w:rsidR="008E4A1B">
        <w:rPr>
          <w:rFonts w:cs="Calibri"/>
          <w:szCs w:val="22"/>
        </w:rPr>
        <w:t xml:space="preserve">its expansion and reconstruction, </w:t>
      </w:r>
      <w:r w:rsidR="008E4A1B" w:rsidRPr="008E4A1B">
        <w:rPr>
          <w:rFonts w:cs="Calibri"/>
          <w:szCs w:val="22"/>
        </w:rPr>
        <w:t>should be paid by the RE developer.</w:t>
      </w:r>
    </w:p>
    <w:p w14:paraId="4B1C0073" w14:textId="77777777" w:rsidR="0003375B" w:rsidRPr="00411090" w:rsidRDefault="0003375B">
      <w:pPr>
        <w:rPr>
          <w:rFonts w:ascii="Arial Narrow" w:hAnsi="Arial Narrow"/>
          <w:b/>
          <w:bCs/>
          <w:szCs w:val="22"/>
        </w:rPr>
      </w:pPr>
      <w:r w:rsidRPr="00411090">
        <w:rPr>
          <w:szCs w:val="22"/>
        </w:rPr>
        <w:br w:type="page"/>
      </w:r>
    </w:p>
    <w:p w14:paraId="0C4A1B8A" w14:textId="77777777" w:rsidR="003A0D2D" w:rsidRPr="004622EC" w:rsidRDefault="004417C9" w:rsidP="004622EC">
      <w:pPr>
        <w:pStyle w:val="2"/>
        <w:numPr>
          <w:ilvl w:val="0"/>
          <w:numId w:val="0"/>
        </w:numPr>
        <w:rPr>
          <w:rFonts w:asciiTheme="majorHAnsi" w:hAnsiTheme="majorHAnsi"/>
        </w:rPr>
      </w:pPr>
      <w:bookmarkStart w:id="151" w:name="_Ref332975511"/>
      <w:bookmarkStart w:id="152" w:name="_Ref476654904"/>
      <w:bookmarkStart w:id="153" w:name="_Toc479693903"/>
      <w:r w:rsidRPr="004622EC">
        <w:rPr>
          <w:rFonts w:asciiTheme="majorHAnsi" w:hAnsiTheme="majorHAnsi"/>
        </w:rPr>
        <w:t xml:space="preserve">Annex </w:t>
      </w:r>
      <w:r w:rsidR="002228BE">
        <w:rPr>
          <w:rFonts w:asciiTheme="majorHAnsi" w:hAnsiTheme="majorHAnsi"/>
        </w:rPr>
        <w:t>M</w:t>
      </w:r>
      <w:r w:rsidR="0027583B" w:rsidRPr="004622EC">
        <w:rPr>
          <w:rFonts w:asciiTheme="majorHAnsi" w:hAnsiTheme="majorHAnsi"/>
        </w:rPr>
        <w:t xml:space="preserve">. </w:t>
      </w:r>
      <w:bookmarkEnd w:id="151"/>
      <w:r w:rsidR="003A0D2D" w:rsidRPr="004622EC">
        <w:rPr>
          <w:rFonts w:asciiTheme="majorHAnsi" w:hAnsiTheme="majorHAnsi"/>
        </w:rPr>
        <w:t xml:space="preserve">GHG </w:t>
      </w:r>
      <w:r w:rsidR="00E12602">
        <w:rPr>
          <w:rFonts w:asciiTheme="majorHAnsi" w:hAnsiTheme="majorHAnsi"/>
        </w:rPr>
        <w:t>C</w:t>
      </w:r>
      <w:r w:rsidR="003A0D2D" w:rsidRPr="004622EC">
        <w:rPr>
          <w:rFonts w:asciiTheme="majorHAnsi" w:hAnsiTheme="majorHAnsi"/>
        </w:rPr>
        <w:t>alculations</w:t>
      </w:r>
      <w:bookmarkEnd w:id="152"/>
      <w:bookmarkEnd w:id="153"/>
    </w:p>
    <w:p w14:paraId="120F35DB" w14:textId="035180DA" w:rsidR="003A0D2D" w:rsidRPr="00913A03" w:rsidRDefault="003A0D2D" w:rsidP="004622EC">
      <w:pPr>
        <w:widowControl w:val="0"/>
        <w:autoSpaceDE w:val="0"/>
        <w:autoSpaceDN w:val="0"/>
        <w:adjustRightInd w:val="0"/>
        <w:spacing w:after="120"/>
        <w:rPr>
          <w:szCs w:val="22"/>
        </w:rPr>
      </w:pPr>
      <w:r w:rsidRPr="00913A03">
        <w:rPr>
          <w:szCs w:val="22"/>
        </w:rPr>
        <w:t xml:space="preserve">Emission reductions for this project were calculated based on current guidance from the GEF Secretariat.  </w:t>
      </w:r>
      <w:r w:rsidRPr="00720A1B">
        <w:rPr>
          <w:szCs w:val="22"/>
        </w:rPr>
        <w:t xml:space="preserve">Specifically, the calculations are based on methodologies introduced for GEF-funded energy efficiency and renewable energy projects </w:t>
      </w:r>
      <w:r w:rsidR="00BC17B6" w:rsidRPr="00720A1B">
        <w:t>as per the latest guidelines (GEF/C.48/Inf.09 from the June 2015 Council</w:t>
      </w:r>
      <w:r w:rsidR="00DF5BE1">
        <w:t>)</w:t>
      </w:r>
      <w:r w:rsidR="00726718">
        <w:t xml:space="preserve">, and </w:t>
      </w:r>
      <w:r w:rsidRPr="00720A1B">
        <w:rPr>
          <w:szCs w:val="22"/>
        </w:rPr>
        <w:t xml:space="preserve">direct and </w:t>
      </w:r>
      <w:r w:rsidR="00BC17B6" w:rsidRPr="00720A1B">
        <w:rPr>
          <w:szCs w:val="22"/>
        </w:rPr>
        <w:t xml:space="preserve">consequential </w:t>
      </w:r>
      <w:r w:rsidRPr="00720A1B">
        <w:rPr>
          <w:szCs w:val="22"/>
        </w:rPr>
        <w:t xml:space="preserve">emission reductions were estimated. </w:t>
      </w:r>
      <w:r w:rsidR="00726718">
        <w:rPr>
          <w:szCs w:val="22"/>
        </w:rPr>
        <w:t xml:space="preserve">These estimates </w:t>
      </w:r>
      <w:r w:rsidRPr="00720A1B">
        <w:rPr>
          <w:szCs w:val="22"/>
        </w:rPr>
        <w:t xml:space="preserve">are </w:t>
      </w:r>
      <w:r w:rsidR="00726718">
        <w:rPr>
          <w:szCs w:val="22"/>
        </w:rPr>
        <w:t>reflect</w:t>
      </w:r>
      <w:r w:rsidR="00726718" w:rsidRPr="00720A1B">
        <w:rPr>
          <w:szCs w:val="22"/>
        </w:rPr>
        <w:t xml:space="preserve">ed </w:t>
      </w:r>
      <w:r w:rsidRPr="00720A1B">
        <w:rPr>
          <w:szCs w:val="22"/>
        </w:rPr>
        <w:t>in the GEF</w:t>
      </w:r>
      <w:r w:rsidRPr="00913A03">
        <w:rPr>
          <w:szCs w:val="22"/>
        </w:rPr>
        <w:t xml:space="preserve"> Climate Change </w:t>
      </w:r>
      <w:r w:rsidR="00726718">
        <w:rPr>
          <w:szCs w:val="22"/>
        </w:rPr>
        <w:t xml:space="preserve">Mitigation </w:t>
      </w:r>
      <w:r w:rsidRPr="00913A03">
        <w:rPr>
          <w:szCs w:val="22"/>
        </w:rPr>
        <w:t xml:space="preserve">Tracking </w:t>
      </w:r>
      <w:r w:rsidR="00726718">
        <w:rPr>
          <w:szCs w:val="22"/>
        </w:rPr>
        <w:t>Tool</w:t>
      </w:r>
      <w:r w:rsidRPr="00913A03">
        <w:rPr>
          <w:szCs w:val="22"/>
        </w:rPr>
        <w:t xml:space="preserve">, which has been submitted concurrently with this document to the GEF. </w:t>
      </w:r>
    </w:p>
    <w:p w14:paraId="6C91D94A" w14:textId="68C8E869" w:rsidR="003A0D2D" w:rsidRPr="00473D26" w:rsidRDefault="003A0D2D" w:rsidP="004622EC">
      <w:pPr>
        <w:widowControl w:val="0"/>
        <w:autoSpaceDE w:val="0"/>
        <w:autoSpaceDN w:val="0"/>
        <w:adjustRightInd w:val="0"/>
        <w:spacing w:after="120"/>
        <w:rPr>
          <w:szCs w:val="22"/>
          <w:lang w:val="en-GB"/>
        </w:rPr>
      </w:pPr>
      <w:r w:rsidRPr="00913A03">
        <w:rPr>
          <w:szCs w:val="22"/>
        </w:rPr>
        <w:t xml:space="preserve">Overall, the project calculations assume two primary sources of emission reductions: 1) direct emission reductions from small-scale renewable energy projects implemented under the project’s Component 3, and 2) </w:t>
      </w:r>
      <w:r w:rsidR="00BC17B6">
        <w:rPr>
          <w:szCs w:val="22"/>
        </w:rPr>
        <w:t>consequential</w:t>
      </w:r>
      <w:r w:rsidR="00BC17B6" w:rsidRPr="00913A03">
        <w:rPr>
          <w:szCs w:val="22"/>
        </w:rPr>
        <w:t xml:space="preserve"> </w:t>
      </w:r>
      <w:r w:rsidRPr="00913A03">
        <w:rPr>
          <w:szCs w:val="22"/>
        </w:rPr>
        <w:t xml:space="preserve">emission reductions from development of policy derisking instruments for large and small-scale renewable energy developments under Component 1, Component 2 and Component 3. </w:t>
      </w:r>
    </w:p>
    <w:p w14:paraId="3249D7B5" w14:textId="7E88ED58" w:rsidR="003A0D2D" w:rsidRPr="00913A03" w:rsidRDefault="003A0D2D" w:rsidP="004622EC">
      <w:pPr>
        <w:widowControl w:val="0"/>
        <w:autoSpaceDE w:val="0"/>
        <w:autoSpaceDN w:val="0"/>
        <w:adjustRightInd w:val="0"/>
        <w:spacing w:after="120"/>
        <w:rPr>
          <w:szCs w:val="22"/>
        </w:rPr>
      </w:pPr>
      <w:r w:rsidRPr="00913A03">
        <w:rPr>
          <w:szCs w:val="22"/>
        </w:rPr>
        <w:t xml:space="preserve">Direct GHG reductions are 0.46 million tonnes CO2 over the lifetime of investments. </w:t>
      </w:r>
      <w:r w:rsidR="00BC17B6">
        <w:rPr>
          <w:szCs w:val="22"/>
        </w:rPr>
        <w:t>Consequential</w:t>
      </w:r>
      <w:r w:rsidR="00BC17B6" w:rsidRPr="00913A03">
        <w:rPr>
          <w:szCs w:val="22"/>
        </w:rPr>
        <w:t xml:space="preserve"> </w:t>
      </w:r>
      <w:r w:rsidRPr="00913A03">
        <w:rPr>
          <w:szCs w:val="22"/>
        </w:rPr>
        <w:t xml:space="preserve">GHG reductions are estimated between 1.8 million tonnes CO2 (estimate using bottom-up methodology) and 8 million tonnes CO2 (estimated using top-down methodology). The total reductions are presented in </w:t>
      </w:r>
      <w:r w:rsidR="004622EC">
        <w:rPr>
          <w:szCs w:val="22"/>
        </w:rPr>
        <w:t xml:space="preserve">the </w:t>
      </w:r>
      <w:r w:rsidRPr="00913A03">
        <w:rPr>
          <w:szCs w:val="22"/>
        </w:rPr>
        <w:t>table below.</w:t>
      </w:r>
    </w:p>
    <w:p w14:paraId="55E4FCEA" w14:textId="77777777" w:rsidR="003A0D2D" w:rsidRPr="00913A03" w:rsidRDefault="004622EC" w:rsidP="00863DD5">
      <w:pPr>
        <w:pStyle w:val="aff3"/>
        <w:rPr>
          <w:szCs w:val="22"/>
        </w:rPr>
      </w:pPr>
      <w:bookmarkStart w:id="154" w:name="_Toc479693917"/>
      <w:r>
        <w:t xml:space="preserve">Table </w:t>
      </w:r>
      <w:r w:rsidR="00AA15A7">
        <w:fldChar w:fldCharType="begin"/>
      </w:r>
      <w:r w:rsidR="00AA15A7">
        <w:instrText xml:space="preserve"> SEQ Table \* ARABIC </w:instrText>
      </w:r>
      <w:r w:rsidR="00AA15A7">
        <w:fldChar w:fldCharType="separate"/>
      </w:r>
      <w:r w:rsidR="00921873">
        <w:rPr>
          <w:noProof/>
        </w:rPr>
        <w:t>10</w:t>
      </w:r>
      <w:r w:rsidR="00AA15A7">
        <w:rPr>
          <w:noProof/>
        </w:rPr>
        <w:fldChar w:fldCharType="end"/>
      </w:r>
      <w:r>
        <w:t xml:space="preserve">: </w:t>
      </w:r>
      <w:r w:rsidR="00C953AA" w:rsidRPr="00913A03">
        <w:rPr>
          <w:szCs w:val="22"/>
        </w:rPr>
        <w:t>Overview</w:t>
      </w:r>
      <w:r w:rsidR="003A0D2D" w:rsidRPr="00913A03">
        <w:rPr>
          <w:szCs w:val="22"/>
        </w:rPr>
        <w:t xml:space="preserve"> of GHG calculations.</w:t>
      </w:r>
      <w:bookmarkEnd w:id="154"/>
    </w:p>
    <w:tbl>
      <w:tblPr>
        <w:tblStyle w:val="TableGrid4"/>
        <w:tblW w:w="7020" w:type="dxa"/>
        <w:tblLook w:val="04A0" w:firstRow="1" w:lastRow="0" w:firstColumn="1" w:lastColumn="0" w:noHBand="0" w:noVBand="1"/>
      </w:tblPr>
      <w:tblGrid>
        <w:gridCol w:w="5280"/>
        <w:gridCol w:w="1740"/>
      </w:tblGrid>
      <w:tr w:rsidR="003A0D2D" w:rsidRPr="004622EC" w14:paraId="02D26280" w14:textId="77777777" w:rsidTr="004622EC">
        <w:trPr>
          <w:trHeight w:val="255"/>
        </w:trPr>
        <w:tc>
          <w:tcPr>
            <w:tcW w:w="5280" w:type="dxa"/>
            <w:hideMark/>
          </w:tcPr>
          <w:p w14:paraId="4CC785C2" w14:textId="77777777" w:rsidR="003A0D2D" w:rsidRPr="004622EC" w:rsidRDefault="003A0D2D" w:rsidP="003B443C">
            <w:pPr>
              <w:rPr>
                <w:rFonts w:asciiTheme="majorHAnsi" w:hAnsiTheme="majorHAnsi" w:cs="Arial"/>
                <w:b/>
                <w:bCs/>
                <w:sz w:val="20"/>
                <w:szCs w:val="22"/>
              </w:rPr>
            </w:pPr>
            <w:r w:rsidRPr="004622EC">
              <w:rPr>
                <w:rFonts w:asciiTheme="majorHAnsi" w:hAnsiTheme="majorHAnsi" w:cs="Arial"/>
                <w:b/>
                <w:bCs/>
                <w:sz w:val="20"/>
                <w:szCs w:val="22"/>
              </w:rPr>
              <w:t>Results</w:t>
            </w:r>
          </w:p>
        </w:tc>
        <w:tc>
          <w:tcPr>
            <w:tcW w:w="1740" w:type="dxa"/>
            <w:hideMark/>
          </w:tcPr>
          <w:p w14:paraId="1D633AC5" w14:textId="77777777" w:rsidR="003A0D2D" w:rsidRPr="004622EC" w:rsidRDefault="003A0D2D" w:rsidP="003B443C">
            <w:pPr>
              <w:jc w:val="right"/>
              <w:rPr>
                <w:rFonts w:asciiTheme="majorHAnsi" w:hAnsiTheme="majorHAnsi" w:cs="Arial"/>
                <w:b/>
                <w:bCs/>
                <w:sz w:val="20"/>
                <w:szCs w:val="22"/>
              </w:rPr>
            </w:pPr>
            <w:r w:rsidRPr="004622EC">
              <w:rPr>
                <w:rFonts w:asciiTheme="majorHAnsi" w:hAnsiTheme="majorHAnsi" w:cs="Arial"/>
                <w:b/>
                <w:bCs/>
                <w:sz w:val="20"/>
                <w:szCs w:val="22"/>
              </w:rPr>
              <w:t>t CO2e</w:t>
            </w:r>
          </w:p>
        </w:tc>
      </w:tr>
      <w:tr w:rsidR="003A0D2D" w:rsidRPr="004622EC" w14:paraId="15487149" w14:textId="77777777" w:rsidTr="004622EC">
        <w:trPr>
          <w:trHeight w:val="255"/>
        </w:trPr>
        <w:tc>
          <w:tcPr>
            <w:tcW w:w="5280" w:type="dxa"/>
            <w:noWrap/>
            <w:hideMark/>
          </w:tcPr>
          <w:p w14:paraId="5C196E30" w14:textId="77777777" w:rsidR="003A0D2D" w:rsidRPr="004622EC" w:rsidRDefault="003A0D2D" w:rsidP="003B443C">
            <w:pPr>
              <w:rPr>
                <w:rFonts w:asciiTheme="majorHAnsi" w:hAnsiTheme="majorHAnsi" w:cs="Arial"/>
                <w:sz w:val="20"/>
                <w:szCs w:val="22"/>
              </w:rPr>
            </w:pPr>
            <w:r w:rsidRPr="004622EC">
              <w:rPr>
                <w:rFonts w:asciiTheme="majorHAnsi" w:hAnsiTheme="majorHAnsi" w:cs="Arial"/>
                <w:sz w:val="20"/>
                <w:szCs w:val="22"/>
              </w:rPr>
              <w:t xml:space="preserve">Direct emissions reductions </w:t>
            </w:r>
          </w:p>
        </w:tc>
        <w:tc>
          <w:tcPr>
            <w:tcW w:w="1740" w:type="dxa"/>
            <w:noWrap/>
            <w:hideMark/>
          </w:tcPr>
          <w:p w14:paraId="56A50F4A" w14:textId="77777777" w:rsidR="003A0D2D" w:rsidRPr="004622EC" w:rsidRDefault="00170499" w:rsidP="003B443C">
            <w:pPr>
              <w:jc w:val="right"/>
              <w:rPr>
                <w:rFonts w:asciiTheme="majorHAnsi" w:hAnsiTheme="majorHAnsi" w:cs="Arial"/>
                <w:b/>
                <w:bCs/>
                <w:sz w:val="20"/>
                <w:szCs w:val="22"/>
              </w:rPr>
            </w:pPr>
            <w:r>
              <w:rPr>
                <w:rFonts w:asciiTheme="majorHAnsi" w:hAnsiTheme="majorHAnsi" w:cs="Arial"/>
                <w:b/>
                <w:bCs/>
                <w:sz w:val="20"/>
                <w:szCs w:val="22"/>
              </w:rPr>
              <w:t xml:space="preserve"> 460,373</w:t>
            </w:r>
            <w:r w:rsidR="003A0D2D" w:rsidRPr="004622EC">
              <w:rPr>
                <w:rFonts w:asciiTheme="majorHAnsi" w:hAnsiTheme="majorHAnsi" w:cs="Arial"/>
                <w:b/>
                <w:bCs/>
                <w:sz w:val="20"/>
                <w:szCs w:val="22"/>
              </w:rPr>
              <w:t xml:space="preserve"> </w:t>
            </w:r>
          </w:p>
        </w:tc>
      </w:tr>
      <w:tr w:rsidR="003A0D2D" w:rsidRPr="004622EC" w14:paraId="00EF6AEB" w14:textId="77777777" w:rsidTr="004622EC">
        <w:trPr>
          <w:trHeight w:val="255"/>
        </w:trPr>
        <w:tc>
          <w:tcPr>
            <w:tcW w:w="5280" w:type="dxa"/>
            <w:noWrap/>
            <w:hideMark/>
          </w:tcPr>
          <w:p w14:paraId="172ECA79" w14:textId="77777777" w:rsidR="003A0D2D" w:rsidRPr="004622EC" w:rsidRDefault="003A0D2D" w:rsidP="003B443C">
            <w:pPr>
              <w:rPr>
                <w:rFonts w:asciiTheme="majorHAnsi" w:hAnsiTheme="majorHAnsi" w:cs="Arial"/>
                <w:sz w:val="20"/>
                <w:szCs w:val="22"/>
              </w:rPr>
            </w:pPr>
            <w:r w:rsidRPr="004622EC">
              <w:rPr>
                <w:rFonts w:asciiTheme="majorHAnsi" w:hAnsiTheme="majorHAnsi" w:cs="Arial"/>
                <w:sz w:val="20"/>
                <w:szCs w:val="22"/>
              </w:rPr>
              <w:t>Direct post project emissions reductions</w:t>
            </w:r>
          </w:p>
        </w:tc>
        <w:tc>
          <w:tcPr>
            <w:tcW w:w="1740" w:type="dxa"/>
            <w:noWrap/>
            <w:hideMark/>
          </w:tcPr>
          <w:p w14:paraId="791A4C56" w14:textId="77777777" w:rsidR="003A0D2D" w:rsidRPr="004622EC" w:rsidRDefault="003A0D2D" w:rsidP="003B443C">
            <w:pPr>
              <w:jc w:val="right"/>
              <w:rPr>
                <w:rFonts w:asciiTheme="majorHAnsi" w:hAnsiTheme="majorHAnsi" w:cs="Arial"/>
                <w:b/>
                <w:bCs/>
                <w:sz w:val="20"/>
                <w:szCs w:val="22"/>
              </w:rPr>
            </w:pPr>
            <w:r w:rsidRPr="004622EC">
              <w:rPr>
                <w:rFonts w:asciiTheme="majorHAnsi" w:hAnsiTheme="majorHAnsi" w:cs="Arial"/>
                <w:b/>
                <w:bCs/>
                <w:sz w:val="20"/>
                <w:szCs w:val="22"/>
              </w:rPr>
              <w:t xml:space="preserve"> -   </w:t>
            </w:r>
          </w:p>
        </w:tc>
      </w:tr>
      <w:tr w:rsidR="003A0D2D" w:rsidRPr="004622EC" w14:paraId="3FFA66B3" w14:textId="77777777" w:rsidTr="004622EC">
        <w:trPr>
          <w:trHeight w:val="240"/>
        </w:trPr>
        <w:tc>
          <w:tcPr>
            <w:tcW w:w="5280" w:type="dxa"/>
            <w:noWrap/>
            <w:hideMark/>
          </w:tcPr>
          <w:p w14:paraId="7BE56D98" w14:textId="66063AB5" w:rsidR="003A0D2D" w:rsidRPr="004622EC" w:rsidRDefault="00BC17B6" w:rsidP="003B443C">
            <w:pPr>
              <w:rPr>
                <w:rFonts w:asciiTheme="majorHAnsi" w:hAnsiTheme="majorHAnsi" w:cs="Arial"/>
                <w:sz w:val="20"/>
                <w:szCs w:val="22"/>
              </w:rPr>
            </w:pPr>
            <w:r>
              <w:rPr>
                <w:rFonts w:asciiTheme="majorHAnsi" w:hAnsiTheme="majorHAnsi" w:cs="Arial"/>
                <w:sz w:val="20"/>
                <w:szCs w:val="22"/>
              </w:rPr>
              <w:t>C</w:t>
            </w:r>
            <w:r w:rsidRPr="00BC17B6">
              <w:rPr>
                <w:rFonts w:asciiTheme="majorHAnsi" w:hAnsiTheme="majorHAnsi" w:cs="Arial"/>
                <w:sz w:val="20"/>
                <w:szCs w:val="22"/>
              </w:rPr>
              <w:t>onsequential</w:t>
            </w:r>
            <w:r w:rsidRPr="004622EC" w:rsidDel="00BC17B6">
              <w:rPr>
                <w:rFonts w:asciiTheme="majorHAnsi" w:hAnsiTheme="majorHAnsi" w:cs="Arial"/>
                <w:sz w:val="20"/>
                <w:szCs w:val="22"/>
              </w:rPr>
              <w:t xml:space="preserve"> </w:t>
            </w:r>
            <w:r w:rsidR="003A0D2D" w:rsidRPr="004622EC">
              <w:rPr>
                <w:rFonts w:asciiTheme="majorHAnsi" w:hAnsiTheme="majorHAnsi" w:cs="Arial"/>
                <w:sz w:val="20"/>
                <w:szCs w:val="22"/>
              </w:rPr>
              <w:t>bottom-up emissions reductions</w:t>
            </w:r>
          </w:p>
        </w:tc>
        <w:tc>
          <w:tcPr>
            <w:tcW w:w="1740" w:type="dxa"/>
            <w:noWrap/>
            <w:hideMark/>
          </w:tcPr>
          <w:p w14:paraId="2BAA5137" w14:textId="77777777" w:rsidR="003A0D2D" w:rsidRPr="004622EC" w:rsidRDefault="00170499" w:rsidP="003B443C">
            <w:pPr>
              <w:jc w:val="right"/>
              <w:rPr>
                <w:rFonts w:asciiTheme="majorHAnsi" w:hAnsiTheme="majorHAnsi" w:cs="Arial"/>
                <w:b/>
                <w:bCs/>
                <w:sz w:val="20"/>
                <w:szCs w:val="22"/>
              </w:rPr>
            </w:pPr>
            <w:r>
              <w:rPr>
                <w:rFonts w:asciiTheme="majorHAnsi" w:hAnsiTheme="majorHAnsi" w:cs="Arial"/>
                <w:b/>
                <w:bCs/>
                <w:sz w:val="20"/>
                <w:szCs w:val="22"/>
              </w:rPr>
              <w:t xml:space="preserve"> 1,841,492</w:t>
            </w:r>
            <w:r w:rsidR="003A0D2D" w:rsidRPr="004622EC">
              <w:rPr>
                <w:rFonts w:asciiTheme="majorHAnsi" w:hAnsiTheme="majorHAnsi" w:cs="Arial"/>
                <w:b/>
                <w:bCs/>
                <w:sz w:val="20"/>
                <w:szCs w:val="22"/>
              </w:rPr>
              <w:t xml:space="preserve"> </w:t>
            </w:r>
          </w:p>
        </w:tc>
      </w:tr>
      <w:tr w:rsidR="003A0D2D" w:rsidRPr="004622EC" w14:paraId="7115F230" w14:textId="77777777" w:rsidTr="004622EC">
        <w:trPr>
          <w:trHeight w:val="240"/>
        </w:trPr>
        <w:tc>
          <w:tcPr>
            <w:tcW w:w="5280" w:type="dxa"/>
            <w:noWrap/>
            <w:hideMark/>
          </w:tcPr>
          <w:p w14:paraId="0442B1F4" w14:textId="180727C5" w:rsidR="003A0D2D" w:rsidRPr="004622EC" w:rsidRDefault="00BC17B6" w:rsidP="003B443C">
            <w:pPr>
              <w:rPr>
                <w:rFonts w:asciiTheme="majorHAnsi" w:hAnsiTheme="majorHAnsi" w:cs="Arial"/>
                <w:sz w:val="20"/>
                <w:szCs w:val="22"/>
              </w:rPr>
            </w:pPr>
            <w:r>
              <w:rPr>
                <w:rFonts w:asciiTheme="majorHAnsi" w:hAnsiTheme="majorHAnsi" w:cs="Arial"/>
                <w:sz w:val="20"/>
                <w:szCs w:val="22"/>
              </w:rPr>
              <w:t>C</w:t>
            </w:r>
            <w:r w:rsidRPr="00BC17B6">
              <w:rPr>
                <w:rFonts w:asciiTheme="majorHAnsi" w:hAnsiTheme="majorHAnsi" w:cs="Arial"/>
                <w:sz w:val="20"/>
                <w:szCs w:val="22"/>
              </w:rPr>
              <w:t>onsequential</w:t>
            </w:r>
            <w:r w:rsidR="003A0D2D" w:rsidRPr="004622EC">
              <w:rPr>
                <w:rFonts w:asciiTheme="majorHAnsi" w:hAnsiTheme="majorHAnsi" w:cs="Arial"/>
                <w:sz w:val="20"/>
                <w:szCs w:val="22"/>
              </w:rPr>
              <w:t xml:space="preserve"> top-down emissions reductions</w:t>
            </w:r>
          </w:p>
        </w:tc>
        <w:tc>
          <w:tcPr>
            <w:tcW w:w="1740" w:type="dxa"/>
            <w:noWrap/>
            <w:hideMark/>
          </w:tcPr>
          <w:p w14:paraId="0DB197B7" w14:textId="77777777" w:rsidR="003A0D2D" w:rsidRPr="004622EC" w:rsidRDefault="00170499" w:rsidP="003B443C">
            <w:pPr>
              <w:jc w:val="right"/>
              <w:rPr>
                <w:rFonts w:asciiTheme="majorHAnsi" w:hAnsiTheme="majorHAnsi" w:cs="Arial"/>
                <w:b/>
                <w:bCs/>
                <w:sz w:val="20"/>
                <w:szCs w:val="22"/>
              </w:rPr>
            </w:pPr>
            <w:r>
              <w:rPr>
                <w:rFonts w:asciiTheme="majorHAnsi" w:hAnsiTheme="majorHAnsi" w:cs="Arial"/>
                <w:b/>
                <w:bCs/>
                <w:sz w:val="20"/>
                <w:szCs w:val="22"/>
              </w:rPr>
              <w:t xml:space="preserve"> 8,021,400</w:t>
            </w:r>
            <w:r w:rsidR="003A0D2D" w:rsidRPr="004622EC">
              <w:rPr>
                <w:rFonts w:asciiTheme="majorHAnsi" w:hAnsiTheme="majorHAnsi" w:cs="Arial"/>
                <w:b/>
                <w:bCs/>
                <w:sz w:val="20"/>
                <w:szCs w:val="22"/>
              </w:rPr>
              <w:t xml:space="preserve"> </w:t>
            </w:r>
          </w:p>
        </w:tc>
      </w:tr>
      <w:tr w:rsidR="003A0D2D" w:rsidRPr="004622EC" w14:paraId="09BBC29C" w14:textId="77777777" w:rsidTr="004622EC">
        <w:trPr>
          <w:trHeight w:val="240"/>
        </w:trPr>
        <w:tc>
          <w:tcPr>
            <w:tcW w:w="5280" w:type="dxa"/>
            <w:noWrap/>
            <w:hideMark/>
          </w:tcPr>
          <w:p w14:paraId="71F909CE" w14:textId="77777777" w:rsidR="003A0D2D" w:rsidRPr="004622EC" w:rsidRDefault="003A0D2D" w:rsidP="003B443C">
            <w:pPr>
              <w:rPr>
                <w:rFonts w:asciiTheme="majorHAnsi" w:hAnsiTheme="majorHAnsi" w:cs="Arial"/>
                <w:b/>
                <w:bCs/>
                <w:sz w:val="20"/>
                <w:szCs w:val="22"/>
              </w:rPr>
            </w:pPr>
          </w:p>
        </w:tc>
        <w:tc>
          <w:tcPr>
            <w:tcW w:w="1740" w:type="dxa"/>
            <w:noWrap/>
            <w:hideMark/>
          </w:tcPr>
          <w:p w14:paraId="79FA131A" w14:textId="77777777" w:rsidR="003A0D2D" w:rsidRPr="004622EC" w:rsidRDefault="003A0D2D" w:rsidP="003B443C">
            <w:pPr>
              <w:rPr>
                <w:rFonts w:asciiTheme="majorHAnsi" w:hAnsiTheme="majorHAnsi" w:cs="Arial"/>
                <w:b/>
                <w:bCs/>
                <w:sz w:val="20"/>
                <w:szCs w:val="22"/>
              </w:rPr>
            </w:pPr>
          </w:p>
        </w:tc>
      </w:tr>
      <w:tr w:rsidR="003A0D2D" w:rsidRPr="004622EC" w14:paraId="67E05990" w14:textId="77777777" w:rsidTr="004622EC">
        <w:trPr>
          <w:trHeight w:val="240"/>
        </w:trPr>
        <w:tc>
          <w:tcPr>
            <w:tcW w:w="5280" w:type="dxa"/>
            <w:noWrap/>
            <w:hideMark/>
          </w:tcPr>
          <w:p w14:paraId="03259F63" w14:textId="77777777" w:rsidR="003A0D2D" w:rsidRPr="004622EC" w:rsidRDefault="003A0D2D" w:rsidP="003B443C">
            <w:pPr>
              <w:rPr>
                <w:rFonts w:asciiTheme="majorHAnsi" w:hAnsiTheme="majorHAnsi" w:cs="Arial"/>
                <w:b/>
                <w:bCs/>
                <w:sz w:val="20"/>
                <w:szCs w:val="22"/>
              </w:rPr>
            </w:pPr>
            <w:r w:rsidRPr="004622EC">
              <w:rPr>
                <w:rFonts w:asciiTheme="majorHAnsi" w:hAnsiTheme="majorHAnsi" w:cs="Arial"/>
                <w:b/>
                <w:bCs/>
                <w:sz w:val="20"/>
                <w:szCs w:val="22"/>
              </w:rPr>
              <w:t>Key Data</w:t>
            </w:r>
          </w:p>
        </w:tc>
        <w:tc>
          <w:tcPr>
            <w:tcW w:w="1740" w:type="dxa"/>
            <w:noWrap/>
            <w:hideMark/>
          </w:tcPr>
          <w:p w14:paraId="55603BBB" w14:textId="77777777" w:rsidR="003A0D2D" w:rsidRPr="004622EC" w:rsidRDefault="003A0D2D" w:rsidP="003B443C">
            <w:pPr>
              <w:rPr>
                <w:rFonts w:asciiTheme="majorHAnsi" w:hAnsiTheme="majorHAnsi" w:cs="Arial"/>
                <w:b/>
                <w:bCs/>
                <w:sz w:val="20"/>
                <w:szCs w:val="22"/>
              </w:rPr>
            </w:pPr>
            <w:r w:rsidRPr="004622EC">
              <w:rPr>
                <w:rFonts w:asciiTheme="majorHAnsi" w:hAnsiTheme="majorHAnsi" w:cs="Arial"/>
                <w:b/>
                <w:bCs/>
                <w:sz w:val="20"/>
                <w:szCs w:val="22"/>
              </w:rPr>
              <w:t> </w:t>
            </w:r>
          </w:p>
        </w:tc>
      </w:tr>
      <w:tr w:rsidR="003A0D2D" w:rsidRPr="004622EC" w14:paraId="69A98F19" w14:textId="77777777" w:rsidTr="004622EC">
        <w:trPr>
          <w:trHeight w:val="240"/>
        </w:trPr>
        <w:tc>
          <w:tcPr>
            <w:tcW w:w="5280" w:type="dxa"/>
            <w:noWrap/>
            <w:hideMark/>
          </w:tcPr>
          <w:p w14:paraId="24D8D7FC" w14:textId="77777777" w:rsidR="003A0D2D" w:rsidRPr="004622EC" w:rsidRDefault="003A0D2D" w:rsidP="003B443C">
            <w:pPr>
              <w:rPr>
                <w:rFonts w:asciiTheme="majorHAnsi" w:hAnsiTheme="majorHAnsi" w:cs="Arial"/>
                <w:sz w:val="20"/>
                <w:szCs w:val="22"/>
              </w:rPr>
            </w:pPr>
            <w:r w:rsidRPr="004622EC">
              <w:rPr>
                <w:rFonts w:asciiTheme="majorHAnsi" w:hAnsiTheme="majorHAnsi" w:cs="Arial"/>
                <w:sz w:val="20"/>
                <w:szCs w:val="22"/>
              </w:rPr>
              <w:t>Annual electricity saved / generated (MWh)</w:t>
            </w:r>
          </w:p>
        </w:tc>
        <w:tc>
          <w:tcPr>
            <w:tcW w:w="1740" w:type="dxa"/>
            <w:noWrap/>
            <w:hideMark/>
          </w:tcPr>
          <w:p w14:paraId="2DE29CE3" w14:textId="77777777" w:rsidR="003A0D2D" w:rsidRPr="004622EC" w:rsidRDefault="00170499" w:rsidP="003B443C">
            <w:pPr>
              <w:jc w:val="right"/>
              <w:rPr>
                <w:rFonts w:asciiTheme="majorHAnsi" w:hAnsiTheme="majorHAnsi" w:cs="Arial"/>
                <w:b/>
                <w:bCs/>
                <w:sz w:val="20"/>
                <w:szCs w:val="22"/>
              </w:rPr>
            </w:pPr>
            <w:r>
              <w:rPr>
                <w:rFonts w:asciiTheme="majorHAnsi" w:hAnsiTheme="majorHAnsi" w:cs="Arial"/>
                <w:b/>
                <w:bCs/>
                <w:sz w:val="20"/>
                <w:szCs w:val="22"/>
              </w:rPr>
              <w:t xml:space="preserve"> 24,966</w:t>
            </w:r>
            <w:r w:rsidR="003A0D2D" w:rsidRPr="004622EC">
              <w:rPr>
                <w:rFonts w:asciiTheme="majorHAnsi" w:hAnsiTheme="majorHAnsi" w:cs="Arial"/>
                <w:b/>
                <w:bCs/>
                <w:sz w:val="20"/>
                <w:szCs w:val="22"/>
              </w:rPr>
              <w:t xml:space="preserve"> </w:t>
            </w:r>
          </w:p>
        </w:tc>
      </w:tr>
      <w:tr w:rsidR="003A0D2D" w:rsidRPr="004622EC" w14:paraId="53E7EC1A" w14:textId="77777777" w:rsidTr="004622EC">
        <w:trPr>
          <w:trHeight w:val="240"/>
        </w:trPr>
        <w:tc>
          <w:tcPr>
            <w:tcW w:w="5280" w:type="dxa"/>
            <w:noWrap/>
            <w:hideMark/>
          </w:tcPr>
          <w:p w14:paraId="28E39BBC" w14:textId="77777777" w:rsidR="003A0D2D" w:rsidRPr="004622EC" w:rsidRDefault="003A0D2D" w:rsidP="003B443C">
            <w:pPr>
              <w:rPr>
                <w:rFonts w:asciiTheme="majorHAnsi" w:hAnsiTheme="majorHAnsi" w:cs="Arial"/>
                <w:sz w:val="20"/>
                <w:szCs w:val="22"/>
              </w:rPr>
            </w:pPr>
            <w:r w:rsidRPr="004622EC">
              <w:rPr>
                <w:rFonts w:asciiTheme="majorHAnsi" w:hAnsiTheme="majorHAnsi" w:cs="Arial"/>
                <w:sz w:val="20"/>
                <w:szCs w:val="22"/>
              </w:rPr>
              <w:t>Emissions factor (T CO2 e / MWh)</w:t>
            </w:r>
          </w:p>
        </w:tc>
        <w:tc>
          <w:tcPr>
            <w:tcW w:w="1740" w:type="dxa"/>
            <w:noWrap/>
            <w:hideMark/>
          </w:tcPr>
          <w:p w14:paraId="3EDA331E" w14:textId="77777777" w:rsidR="003A0D2D" w:rsidRPr="004622EC" w:rsidRDefault="003A0D2D" w:rsidP="003B443C">
            <w:pPr>
              <w:jc w:val="right"/>
              <w:rPr>
                <w:rFonts w:asciiTheme="majorHAnsi" w:hAnsiTheme="majorHAnsi" w:cs="Arial"/>
                <w:b/>
                <w:bCs/>
                <w:sz w:val="20"/>
                <w:szCs w:val="22"/>
              </w:rPr>
            </w:pPr>
            <w:r w:rsidRPr="004622EC">
              <w:rPr>
                <w:rFonts w:asciiTheme="majorHAnsi" w:hAnsiTheme="majorHAnsi" w:cs="Arial"/>
                <w:b/>
                <w:bCs/>
                <w:sz w:val="20"/>
                <w:szCs w:val="22"/>
              </w:rPr>
              <w:t xml:space="preserve"> 0.92 </w:t>
            </w:r>
          </w:p>
        </w:tc>
      </w:tr>
      <w:tr w:rsidR="003A0D2D" w:rsidRPr="004622EC" w14:paraId="0576F3C0" w14:textId="77777777" w:rsidTr="004622EC">
        <w:trPr>
          <w:trHeight w:val="240"/>
        </w:trPr>
        <w:tc>
          <w:tcPr>
            <w:tcW w:w="5280" w:type="dxa"/>
            <w:noWrap/>
            <w:hideMark/>
          </w:tcPr>
          <w:p w14:paraId="035971FF" w14:textId="77777777" w:rsidR="003A0D2D" w:rsidRPr="004622EC" w:rsidRDefault="003A0D2D" w:rsidP="003B443C">
            <w:pPr>
              <w:rPr>
                <w:rFonts w:asciiTheme="majorHAnsi" w:hAnsiTheme="majorHAnsi" w:cs="Arial"/>
                <w:sz w:val="20"/>
                <w:szCs w:val="22"/>
              </w:rPr>
            </w:pPr>
            <w:r w:rsidRPr="004622EC">
              <w:rPr>
                <w:rFonts w:asciiTheme="majorHAnsi" w:hAnsiTheme="majorHAnsi" w:cs="Arial"/>
                <w:sz w:val="20"/>
                <w:szCs w:val="22"/>
              </w:rPr>
              <w:t>Useful Investment Lifetime (years)</w:t>
            </w:r>
          </w:p>
        </w:tc>
        <w:tc>
          <w:tcPr>
            <w:tcW w:w="1740" w:type="dxa"/>
            <w:noWrap/>
            <w:hideMark/>
          </w:tcPr>
          <w:p w14:paraId="1977013B" w14:textId="77777777" w:rsidR="003A0D2D" w:rsidRPr="004622EC" w:rsidRDefault="003A0D2D" w:rsidP="003B443C">
            <w:pPr>
              <w:jc w:val="right"/>
              <w:rPr>
                <w:rFonts w:asciiTheme="majorHAnsi" w:hAnsiTheme="majorHAnsi" w:cs="Arial"/>
                <w:b/>
                <w:bCs/>
                <w:sz w:val="20"/>
                <w:szCs w:val="22"/>
              </w:rPr>
            </w:pPr>
            <w:r w:rsidRPr="004622EC">
              <w:rPr>
                <w:rFonts w:asciiTheme="majorHAnsi" w:hAnsiTheme="majorHAnsi" w:cs="Arial"/>
                <w:b/>
                <w:bCs/>
                <w:sz w:val="20"/>
                <w:szCs w:val="22"/>
              </w:rPr>
              <w:t xml:space="preserve"> 20.00 </w:t>
            </w:r>
          </w:p>
        </w:tc>
      </w:tr>
      <w:tr w:rsidR="003A0D2D" w:rsidRPr="004622EC" w14:paraId="70D24B2F" w14:textId="77777777" w:rsidTr="004622EC">
        <w:trPr>
          <w:trHeight w:val="240"/>
        </w:trPr>
        <w:tc>
          <w:tcPr>
            <w:tcW w:w="5280" w:type="dxa"/>
            <w:noWrap/>
            <w:hideMark/>
          </w:tcPr>
          <w:p w14:paraId="3F71D2E2" w14:textId="77777777" w:rsidR="003A0D2D" w:rsidRPr="004622EC" w:rsidRDefault="003A0D2D" w:rsidP="003B443C">
            <w:pPr>
              <w:rPr>
                <w:rFonts w:asciiTheme="majorHAnsi" w:hAnsiTheme="majorHAnsi" w:cs="Arial"/>
                <w:sz w:val="20"/>
                <w:szCs w:val="22"/>
              </w:rPr>
            </w:pPr>
            <w:r w:rsidRPr="004622EC">
              <w:rPr>
                <w:rFonts w:asciiTheme="majorHAnsi" w:hAnsiTheme="majorHAnsi" w:cs="Arial"/>
                <w:sz w:val="20"/>
                <w:szCs w:val="22"/>
              </w:rPr>
              <w:t>Replication Factor</w:t>
            </w:r>
          </w:p>
        </w:tc>
        <w:tc>
          <w:tcPr>
            <w:tcW w:w="1740" w:type="dxa"/>
            <w:noWrap/>
            <w:hideMark/>
          </w:tcPr>
          <w:p w14:paraId="0CB4028B" w14:textId="77777777" w:rsidR="003A0D2D" w:rsidRPr="004622EC" w:rsidRDefault="003A0D2D" w:rsidP="003B443C">
            <w:pPr>
              <w:jc w:val="right"/>
              <w:rPr>
                <w:rFonts w:asciiTheme="majorHAnsi" w:hAnsiTheme="majorHAnsi" w:cs="Arial"/>
                <w:b/>
                <w:bCs/>
                <w:sz w:val="20"/>
                <w:szCs w:val="22"/>
              </w:rPr>
            </w:pPr>
            <w:r w:rsidRPr="004622EC">
              <w:rPr>
                <w:rFonts w:asciiTheme="majorHAnsi" w:hAnsiTheme="majorHAnsi" w:cs="Arial"/>
                <w:b/>
                <w:bCs/>
                <w:sz w:val="20"/>
                <w:szCs w:val="22"/>
              </w:rPr>
              <w:t xml:space="preserve"> 4.00 </w:t>
            </w:r>
          </w:p>
        </w:tc>
      </w:tr>
      <w:tr w:rsidR="003A0D2D" w:rsidRPr="004622EC" w14:paraId="6FBB7646" w14:textId="77777777" w:rsidTr="004622EC">
        <w:trPr>
          <w:trHeight w:val="240"/>
        </w:trPr>
        <w:tc>
          <w:tcPr>
            <w:tcW w:w="5280" w:type="dxa"/>
            <w:noWrap/>
            <w:hideMark/>
          </w:tcPr>
          <w:p w14:paraId="4E9B4F39" w14:textId="77777777" w:rsidR="003A0D2D" w:rsidRPr="004622EC" w:rsidRDefault="003A0D2D" w:rsidP="003B443C">
            <w:pPr>
              <w:rPr>
                <w:rFonts w:asciiTheme="majorHAnsi" w:hAnsiTheme="majorHAnsi" w:cs="Arial"/>
                <w:sz w:val="20"/>
                <w:szCs w:val="22"/>
              </w:rPr>
            </w:pPr>
            <w:r w:rsidRPr="004622EC">
              <w:rPr>
                <w:rFonts w:asciiTheme="majorHAnsi" w:hAnsiTheme="majorHAnsi" w:cs="Arial"/>
                <w:sz w:val="20"/>
                <w:szCs w:val="22"/>
              </w:rPr>
              <w:t>P10 (t CO2)</w:t>
            </w:r>
          </w:p>
        </w:tc>
        <w:tc>
          <w:tcPr>
            <w:tcW w:w="1740" w:type="dxa"/>
            <w:noWrap/>
            <w:hideMark/>
          </w:tcPr>
          <w:p w14:paraId="373B0F01" w14:textId="77777777" w:rsidR="003A0D2D" w:rsidRPr="004622EC" w:rsidRDefault="00170499" w:rsidP="003B443C">
            <w:pPr>
              <w:jc w:val="right"/>
              <w:rPr>
                <w:rFonts w:asciiTheme="majorHAnsi" w:hAnsiTheme="majorHAnsi" w:cs="Arial"/>
                <w:b/>
                <w:bCs/>
                <w:sz w:val="20"/>
                <w:szCs w:val="22"/>
              </w:rPr>
            </w:pPr>
            <w:r>
              <w:rPr>
                <w:rFonts w:asciiTheme="majorHAnsi" w:hAnsiTheme="majorHAnsi" w:cs="Arial"/>
                <w:b/>
                <w:bCs/>
                <w:sz w:val="20"/>
                <w:szCs w:val="22"/>
              </w:rPr>
              <w:t xml:space="preserve"> 13,369,000</w:t>
            </w:r>
            <w:r w:rsidR="003A0D2D" w:rsidRPr="004622EC">
              <w:rPr>
                <w:rFonts w:asciiTheme="majorHAnsi" w:hAnsiTheme="majorHAnsi" w:cs="Arial"/>
                <w:b/>
                <w:bCs/>
                <w:sz w:val="20"/>
                <w:szCs w:val="22"/>
              </w:rPr>
              <w:t xml:space="preserve"> </w:t>
            </w:r>
          </w:p>
        </w:tc>
      </w:tr>
      <w:tr w:rsidR="003A0D2D" w:rsidRPr="004622EC" w14:paraId="61EED3CC" w14:textId="77777777" w:rsidTr="004622EC">
        <w:trPr>
          <w:trHeight w:val="240"/>
        </w:trPr>
        <w:tc>
          <w:tcPr>
            <w:tcW w:w="5280" w:type="dxa"/>
            <w:noWrap/>
            <w:hideMark/>
          </w:tcPr>
          <w:p w14:paraId="05B53E44" w14:textId="77777777" w:rsidR="003A0D2D" w:rsidRPr="004622EC" w:rsidRDefault="003A0D2D" w:rsidP="003B443C">
            <w:pPr>
              <w:rPr>
                <w:rFonts w:asciiTheme="majorHAnsi" w:hAnsiTheme="majorHAnsi" w:cs="Arial"/>
                <w:sz w:val="20"/>
                <w:szCs w:val="22"/>
              </w:rPr>
            </w:pPr>
            <w:r w:rsidRPr="004622EC">
              <w:rPr>
                <w:rFonts w:asciiTheme="majorHAnsi" w:hAnsiTheme="majorHAnsi" w:cs="Arial"/>
                <w:sz w:val="20"/>
                <w:szCs w:val="22"/>
              </w:rPr>
              <w:t>GEF Causality Factor (%)</w:t>
            </w:r>
          </w:p>
        </w:tc>
        <w:tc>
          <w:tcPr>
            <w:tcW w:w="1740" w:type="dxa"/>
            <w:noWrap/>
            <w:hideMark/>
          </w:tcPr>
          <w:p w14:paraId="15225A4C" w14:textId="77777777" w:rsidR="003A0D2D" w:rsidRPr="004622EC" w:rsidRDefault="00170499" w:rsidP="003B443C">
            <w:pPr>
              <w:jc w:val="right"/>
              <w:rPr>
                <w:rFonts w:asciiTheme="majorHAnsi" w:hAnsiTheme="majorHAnsi" w:cs="Arial"/>
                <w:b/>
                <w:bCs/>
                <w:sz w:val="20"/>
                <w:szCs w:val="22"/>
              </w:rPr>
            </w:pPr>
            <w:r>
              <w:rPr>
                <w:rFonts w:asciiTheme="majorHAnsi" w:hAnsiTheme="majorHAnsi" w:cs="Arial"/>
                <w:b/>
                <w:bCs/>
                <w:sz w:val="20"/>
                <w:szCs w:val="22"/>
              </w:rPr>
              <w:t xml:space="preserve"> 60</w:t>
            </w:r>
            <w:r w:rsidR="003A0D2D" w:rsidRPr="004622EC">
              <w:rPr>
                <w:rFonts w:asciiTheme="majorHAnsi" w:hAnsiTheme="majorHAnsi" w:cs="Arial"/>
                <w:b/>
                <w:bCs/>
                <w:sz w:val="20"/>
                <w:szCs w:val="22"/>
              </w:rPr>
              <w:t xml:space="preserve"> </w:t>
            </w:r>
          </w:p>
        </w:tc>
      </w:tr>
    </w:tbl>
    <w:p w14:paraId="2240302C" w14:textId="77777777" w:rsidR="003A0D2D" w:rsidRPr="00913A03" w:rsidRDefault="003A0D2D" w:rsidP="003A0D2D">
      <w:pPr>
        <w:pStyle w:val="a7"/>
        <w:rPr>
          <w:rFonts w:ascii="Times New Roman" w:hAnsi="Times New Roman"/>
          <w:szCs w:val="22"/>
        </w:rPr>
      </w:pPr>
    </w:p>
    <w:p w14:paraId="1384D384" w14:textId="77777777" w:rsidR="003A0D2D" w:rsidRPr="00913A03" w:rsidRDefault="003A0D2D" w:rsidP="003A0D2D">
      <w:pPr>
        <w:pStyle w:val="a7"/>
        <w:rPr>
          <w:rFonts w:cs="Arial"/>
          <w:b/>
          <w:i/>
          <w:szCs w:val="22"/>
        </w:rPr>
      </w:pPr>
      <w:r w:rsidRPr="00913A03">
        <w:rPr>
          <w:rFonts w:cs="Arial"/>
          <w:b/>
          <w:i/>
          <w:szCs w:val="22"/>
        </w:rPr>
        <w:t>Direct Emission Reductions</w:t>
      </w:r>
    </w:p>
    <w:p w14:paraId="69B32606" w14:textId="55BD01CF" w:rsidR="003A0D2D" w:rsidRPr="00913A03" w:rsidRDefault="003A0D2D" w:rsidP="004622EC">
      <w:pPr>
        <w:widowControl w:val="0"/>
        <w:autoSpaceDE w:val="0"/>
        <w:autoSpaceDN w:val="0"/>
        <w:adjustRightInd w:val="0"/>
        <w:spacing w:after="120"/>
        <w:rPr>
          <w:szCs w:val="22"/>
        </w:rPr>
      </w:pPr>
      <w:r w:rsidRPr="00913A03">
        <w:rPr>
          <w:szCs w:val="22"/>
        </w:rPr>
        <w:t>As projected in the project activities, under Component 3, the Project will provide incentive payments or performance based grants combined with financ</w:t>
      </w:r>
      <w:r w:rsidR="00394DD9">
        <w:rPr>
          <w:szCs w:val="22"/>
        </w:rPr>
        <w:t>ial instruments</w:t>
      </w:r>
      <w:r w:rsidRPr="00913A03">
        <w:rPr>
          <w:szCs w:val="22"/>
        </w:rPr>
        <w:t xml:space="preserve">, which will address the first-mover risks for small-scale renewable energy projects. The incentive payments </w:t>
      </w:r>
      <w:r w:rsidR="00197CBC">
        <w:rPr>
          <w:szCs w:val="22"/>
        </w:rPr>
        <w:t xml:space="preserve">to address incremental costs </w:t>
      </w:r>
      <w:r w:rsidRPr="00913A03">
        <w:rPr>
          <w:szCs w:val="22"/>
        </w:rPr>
        <w:t xml:space="preserve">could cover up to 20% of the project costs. The calculations assume that hybrid installations of 1 kW will be installed at the costs of US$ 10 000 (based on the interview with the local engineering companies). In such a way, 9500 installations will be installed as a result of the project interventions. The emission factor is 0.922 tCO2/GJ, which is a combined margin emission factor for </w:t>
      </w:r>
      <w:r w:rsidR="00C953AA" w:rsidRPr="00913A03">
        <w:rPr>
          <w:szCs w:val="22"/>
        </w:rPr>
        <w:t>Kazakhstan</w:t>
      </w:r>
      <w:r w:rsidRPr="00913A03">
        <w:rPr>
          <w:szCs w:val="22"/>
        </w:rPr>
        <w:t xml:space="preserve"> based on Lahmeyer International.</w:t>
      </w:r>
    </w:p>
    <w:p w14:paraId="18C6A16E" w14:textId="77777777" w:rsidR="003A0D2D" w:rsidRPr="00913A03" w:rsidRDefault="003A0D2D" w:rsidP="004622EC">
      <w:pPr>
        <w:spacing w:after="120"/>
        <w:rPr>
          <w:noProof/>
          <w:szCs w:val="22"/>
        </w:rPr>
      </w:pPr>
      <w:r w:rsidRPr="00913A03">
        <w:rPr>
          <w:noProof/>
          <w:szCs w:val="22"/>
        </w:rPr>
        <w:t>In total, the project is expected to result in a total of 13,000 tonnes CO</w:t>
      </w:r>
      <w:r w:rsidRPr="00913A03">
        <w:rPr>
          <w:noProof/>
          <w:szCs w:val="22"/>
          <w:vertAlign w:val="subscript"/>
        </w:rPr>
        <w:t>2</w:t>
      </w:r>
      <w:r w:rsidRPr="00913A03">
        <w:rPr>
          <w:noProof/>
          <w:szCs w:val="22"/>
        </w:rPr>
        <w:t xml:space="preserve"> per year in the last year of the project (2022) and 260,002 tonnes CO</w:t>
      </w:r>
      <w:r w:rsidRPr="00913A03">
        <w:rPr>
          <w:noProof/>
          <w:szCs w:val="22"/>
          <w:vertAlign w:val="subscript"/>
        </w:rPr>
        <w:t>2</w:t>
      </w:r>
      <w:r w:rsidRPr="00913A03">
        <w:rPr>
          <w:noProof/>
          <w:szCs w:val="22"/>
        </w:rPr>
        <w:t xml:space="preserve"> over the lifetime of investments – calculated in the table below.</w:t>
      </w:r>
    </w:p>
    <w:p w14:paraId="172BA5FF" w14:textId="77777777" w:rsidR="003A0D2D" w:rsidRPr="00913A03" w:rsidRDefault="003A0D2D" w:rsidP="003A0D2D">
      <w:pPr>
        <w:rPr>
          <w:noProof/>
          <w:szCs w:val="22"/>
        </w:rPr>
      </w:pPr>
    </w:p>
    <w:p w14:paraId="008BE17C" w14:textId="77777777" w:rsidR="003A0D2D" w:rsidRPr="00211162" w:rsidRDefault="004622EC" w:rsidP="00863DD5">
      <w:pPr>
        <w:pStyle w:val="aff3"/>
      </w:pPr>
      <w:bookmarkStart w:id="155" w:name="_Toc336628525"/>
      <w:bookmarkStart w:id="156" w:name="_Toc479693918"/>
      <w:r>
        <w:t xml:space="preserve">Table </w:t>
      </w:r>
      <w:r w:rsidR="00AA15A7">
        <w:fldChar w:fldCharType="begin"/>
      </w:r>
      <w:r w:rsidR="00AA15A7">
        <w:instrText xml:space="preserve"> SEQ Table \* ARABIC </w:instrText>
      </w:r>
      <w:r w:rsidR="00AA15A7">
        <w:fldChar w:fldCharType="separate"/>
      </w:r>
      <w:r w:rsidR="00921873">
        <w:rPr>
          <w:noProof/>
        </w:rPr>
        <w:t>11</w:t>
      </w:r>
      <w:r w:rsidR="00AA15A7">
        <w:rPr>
          <w:noProof/>
        </w:rPr>
        <w:fldChar w:fldCharType="end"/>
      </w:r>
      <w:r>
        <w:t xml:space="preserve">: </w:t>
      </w:r>
      <w:r w:rsidR="003A0D2D" w:rsidRPr="00211162">
        <w:t xml:space="preserve">Calculation 1: Reductions from </w:t>
      </w:r>
      <w:bookmarkEnd w:id="155"/>
      <w:r w:rsidR="003A0D2D" w:rsidRPr="00211162">
        <w:t>introduction of grants for small-scale developers</w:t>
      </w:r>
      <w:bookmarkEnd w:id="156"/>
    </w:p>
    <w:tbl>
      <w:tblPr>
        <w:tblW w:w="102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1815"/>
        <w:gridCol w:w="1280"/>
        <w:gridCol w:w="1189"/>
        <w:gridCol w:w="3200"/>
      </w:tblGrid>
      <w:tr w:rsidR="003A0D2D" w:rsidRPr="004323C3" w14:paraId="65B9E25E" w14:textId="77777777" w:rsidTr="003B443C">
        <w:trPr>
          <w:trHeight w:val="255"/>
        </w:trPr>
        <w:tc>
          <w:tcPr>
            <w:tcW w:w="2805" w:type="dxa"/>
            <w:shd w:val="clear" w:color="000000" w:fill="BFBFBF"/>
            <w:noWrap/>
            <w:vAlign w:val="bottom"/>
            <w:hideMark/>
          </w:tcPr>
          <w:p w14:paraId="11560E38" w14:textId="77777777" w:rsidR="003A0D2D" w:rsidRPr="004622EC" w:rsidRDefault="003A0D2D" w:rsidP="00A4185A">
            <w:pPr>
              <w:keepNext/>
              <w:keepLines/>
              <w:widowControl w:val="0"/>
              <w:autoSpaceDE w:val="0"/>
              <w:autoSpaceDN w:val="0"/>
              <w:adjustRightInd w:val="0"/>
              <w:contextualSpacing/>
              <w:rPr>
                <w:b/>
                <w:sz w:val="21"/>
                <w:szCs w:val="22"/>
              </w:rPr>
            </w:pPr>
            <w:r w:rsidRPr="004622EC">
              <w:rPr>
                <w:b/>
                <w:sz w:val="21"/>
                <w:szCs w:val="22"/>
              </w:rPr>
              <w:t>Parameter</w:t>
            </w:r>
          </w:p>
        </w:tc>
        <w:tc>
          <w:tcPr>
            <w:tcW w:w="1815" w:type="dxa"/>
            <w:shd w:val="clear" w:color="000000" w:fill="BFBFBF"/>
            <w:noWrap/>
            <w:vAlign w:val="bottom"/>
            <w:hideMark/>
          </w:tcPr>
          <w:p w14:paraId="2D6C285A" w14:textId="77777777" w:rsidR="003A0D2D" w:rsidRPr="004622EC" w:rsidRDefault="003A0D2D" w:rsidP="00A4185A">
            <w:pPr>
              <w:keepNext/>
              <w:keepLines/>
              <w:widowControl w:val="0"/>
              <w:autoSpaceDE w:val="0"/>
              <w:autoSpaceDN w:val="0"/>
              <w:adjustRightInd w:val="0"/>
              <w:contextualSpacing/>
              <w:rPr>
                <w:b/>
                <w:sz w:val="21"/>
                <w:szCs w:val="22"/>
              </w:rPr>
            </w:pPr>
            <w:r w:rsidRPr="004622EC">
              <w:rPr>
                <w:b/>
                <w:sz w:val="21"/>
                <w:szCs w:val="22"/>
              </w:rPr>
              <w:t>Units</w:t>
            </w:r>
          </w:p>
        </w:tc>
        <w:tc>
          <w:tcPr>
            <w:tcW w:w="1280" w:type="dxa"/>
            <w:shd w:val="clear" w:color="000000" w:fill="BFBFBF"/>
            <w:noWrap/>
            <w:vAlign w:val="bottom"/>
            <w:hideMark/>
          </w:tcPr>
          <w:p w14:paraId="2954D7E8" w14:textId="77777777" w:rsidR="003A0D2D" w:rsidRPr="004622EC" w:rsidRDefault="003A0D2D" w:rsidP="00A4185A">
            <w:pPr>
              <w:keepNext/>
              <w:keepLines/>
              <w:widowControl w:val="0"/>
              <w:autoSpaceDE w:val="0"/>
              <w:autoSpaceDN w:val="0"/>
              <w:adjustRightInd w:val="0"/>
              <w:contextualSpacing/>
              <w:rPr>
                <w:b/>
                <w:sz w:val="21"/>
                <w:szCs w:val="22"/>
              </w:rPr>
            </w:pPr>
            <w:r w:rsidRPr="004622EC">
              <w:rPr>
                <w:b/>
                <w:sz w:val="21"/>
                <w:szCs w:val="22"/>
              </w:rPr>
              <w:t>Value</w:t>
            </w:r>
          </w:p>
        </w:tc>
        <w:tc>
          <w:tcPr>
            <w:tcW w:w="1180" w:type="dxa"/>
            <w:shd w:val="clear" w:color="000000" w:fill="BFBFBF"/>
            <w:noWrap/>
            <w:vAlign w:val="bottom"/>
            <w:hideMark/>
          </w:tcPr>
          <w:p w14:paraId="36EB9AE3" w14:textId="77777777" w:rsidR="003A0D2D" w:rsidRPr="004622EC" w:rsidRDefault="003A0D2D" w:rsidP="00A4185A">
            <w:pPr>
              <w:keepNext/>
              <w:keepLines/>
              <w:widowControl w:val="0"/>
              <w:autoSpaceDE w:val="0"/>
              <w:autoSpaceDN w:val="0"/>
              <w:adjustRightInd w:val="0"/>
              <w:contextualSpacing/>
              <w:rPr>
                <w:b/>
                <w:sz w:val="21"/>
                <w:szCs w:val="22"/>
              </w:rPr>
            </w:pPr>
            <w:r w:rsidRPr="004622EC">
              <w:rPr>
                <w:b/>
                <w:sz w:val="21"/>
                <w:szCs w:val="22"/>
              </w:rPr>
              <w:t>Calculation</w:t>
            </w:r>
          </w:p>
        </w:tc>
        <w:tc>
          <w:tcPr>
            <w:tcW w:w="3200" w:type="dxa"/>
            <w:shd w:val="clear" w:color="000000" w:fill="BFBFBF"/>
            <w:noWrap/>
            <w:vAlign w:val="bottom"/>
            <w:hideMark/>
          </w:tcPr>
          <w:p w14:paraId="07A1D01F" w14:textId="77777777" w:rsidR="003A0D2D" w:rsidRPr="004622EC" w:rsidRDefault="003A0D2D" w:rsidP="00A4185A">
            <w:pPr>
              <w:keepNext/>
              <w:keepLines/>
              <w:widowControl w:val="0"/>
              <w:autoSpaceDE w:val="0"/>
              <w:autoSpaceDN w:val="0"/>
              <w:adjustRightInd w:val="0"/>
              <w:contextualSpacing/>
              <w:rPr>
                <w:b/>
                <w:sz w:val="21"/>
                <w:szCs w:val="22"/>
              </w:rPr>
            </w:pPr>
            <w:r w:rsidRPr="004622EC">
              <w:rPr>
                <w:b/>
                <w:sz w:val="21"/>
                <w:szCs w:val="22"/>
              </w:rPr>
              <w:t>Source of information</w:t>
            </w:r>
          </w:p>
        </w:tc>
      </w:tr>
      <w:tr w:rsidR="003A0D2D" w:rsidRPr="00E40745" w14:paraId="506185A6" w14:textId="77777777" w:rsidTr="003B443C">
        <w:trPr>
          <w:trHeight w:val="134"/>
        </w:trPr>
        <w:tc>
          <w:tcPr>
            <w:tcW w:w="2805" w:type="dxa"/>
            <w:shd w:val="clear" w:color="auto" w:fill="auto"/>
            <w:vAlign w:val="bottom"/>
            <w:hideMark/>
          </w:tcPr>
          <w:p w14:paraId="272E1754"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MW capacity</w:t>
            </w:r>
          </w:p>
        </w:tc>
        <w:tc>
          <w:tcPr>
            <w:tcW w:w="1815" w:type="dxa"/>
            <w:shd w:val="clear" w:color="auto" w:fill="auto"/>
            <w:vAlign w:val="bottom"/>
            <w:hideMark/>
          </w:tcPr>
          <w:p w14:paraId="2E41A990"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MW</w:t>
            </w:r>
          </w:p>
        </w:tc>
        <w:tc>
          <w:tcPr>
            <w:tcW w:w="1280" w:type="dxa"/>
            <w:shd w:val="clear" w:color="auto" w:fill="auto"/>
            <w:vAlign w:val="bottom"/>
            <w:hideMark/>
          </w:tcPr>
          <w:p w14:paraId="2812CE0F"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9.5</w:t>
            </w:r>
          </w:p>
        </w:tc>
        <w:tc>
          <w:tcPr>
            <w:tcW w:w="1180" w:type="dxa"/>
            <w:shd w:val="clear" w:color="auto" w:fill="auto"/>
            <w:vAlign w:val="bottom"/>
            <w:hideMark/>
          </w:tcPr>
          <w:p w14:paraId="7477D9A2"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A</w:t>
            </w:r>
          </w:p>
        </w:tc>
        <w:tc>
          <w:tcPr>
            <w:tcW w:w="3200" w:type="dxa"/>
            <w:shd w:val="clear" w:color="auto" w:fill="auto"/>
            <w:vAlign w:val="bottom"/>
            <w:hideMark/>
          </w:tcPr>
          <w:p w14:paraId="34E500EE"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Assumption</w:t>
            </w:r>
          </w:p>
        </w:tc>
      </w:tr>
      <w:tr w:rsidR="003A0D2D" w:rsidRPr="00E40745" w14:paraId="0050E66C" w14:textId="77777777" w:rsidTr="00A4185A">
        <w:trPr>
          <w:trHeight w:val="278"/>
        </w:trPr>
        <w:tc>
          <w:tcPr>
            <w:tcW w:w="2805" w:type="dxa"/>
            <w:shd w:val="clear" w:color="auto" w:fill="auto"/>
            <w:vAlign w:val="bottom"/>
            <w:hideMark/>
          </w:tcPr>
          <w:p w14:paraId="48510D51"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Capacity factor</w:t>
            </w:r>
          </w:p>
        </w:tc>
        <w:tc>
          <w:tcPr>
            <w:tcW w:w="1815" w:type="dxa"/>
            <w:shd w:val="clear" w:color="auto" w:fill="auto"/>
            <w:vAlign w:val="bottom"/>
            <w:hideMark/>
          </w:tcPr>
          <w:p w14:paraId="6878B85C"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w:t>
            </w:r>
          </w:p>
        </w:tc>
        <w:tc>
          <w:tcPr>
            <w:tcW w:w="1280" w:type="dxa"/>
            <w:shd w:val="clear" w:color="auto" w:fill="auto"/>
            <w:vAlign w:val="bottom"/>
            <w:hideMark/>
          </w:tcPr>
          <w:p w14:paraId="7A459CC0"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30</w:t>
            </w:r>
          </w:p>
        </w:tc>
        <w:tc>
          <w:tcPr>
            <w:tcW w:w="1180" w:type="dxa"/>
            <w:shd w:val="clear" w:color="auto" w:fill="auto"/>
            <w:vAlign w:val="bottom"/>
            <w:hideMark/>
          </w:tcPr>
          <w:p w14:paraId="5B9B7134"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B</w:t>
            </w:r>
          </w:p>
        </w:tc>
        <w:tc>
          <w:tcPr>
            <w:tcW w:w="3200" w:type="dxa"/>
            <w:shd w:val="clear" w:color="auto" w:fill="auto"/>
            <w:vAlign w:val="bottom"/>
            <w:hideMark/>
          </w:tcPr>
          <w:p w14:paraId="7552B0AD"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DREI Report for Kazakhstan</w:t>
            </w:r>
          </w:p>
        </w:tc>
      </w:tr>
      <w:tr w:rsidR="003A0D2D" w:rsidRPr="00E40745" w14:paraId="2D7228C1" w14:textId="77777777" w:rsidTr="00A4185A">
        <w:trPr>
          <w:trHeight w:val="332"/>
        </w:trPr>
        <w:tc>
          <w:tcPr>
            <w:tcW w:w="2805" w:type="dxa"/>
            <w:shd w:val="clear" w:color="auto" w:fill="auto"/>
            <w:vAlign w:val="bottom"/>
            <w:hideMark/>
          </w:tcPr>
          <w:p w14:paraId="3AA45D3B"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Electricity production</w:t>
            </w:r>
          </w:p>
        </w:tc>
        <w:tc>
          <w:tcPr>
            <w:tcW w:w="1815" w:type="dxa"/>
            <w:shd w:val="clear" w:color="auto" w:fill="auto"/>
            <w:vAlign w:val="bottom"/>
            <w:hideMark/>
          </w:tcPr>
          <w:p w14:paraId="4E99696A"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MWh/year</w:t>
            </w:r>
          </w:p>
        </w:tc>
        <w:tc>
          <w:tcPr>
            <w:tcW w:w="1280" w:type="dxa"/>
            <w:shd w:val="clear" w:color="auto" w:fill="auto"/>
            <w:vAlign w:val="bottom"/>
            <w:hideMark/>
          </w:tcPr>
          <w:p w14:paraId="6E6DEC95"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24966</w:t>
            </w:r>
          </w:p>
        </w:tc>
        <w:tc>
          <w:tcPr>
            <w:tcW w:w="1180" w:type="dxa"/>
            <w:shd w:val="clear" w:color="auto" w:fill="auto"/>
            <w:vAlign w:val="bottom"/>
            <w:hideMark/>
          </w:tcPr>
          <w:p w14:paraId="0A1A119C"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C = A x B x 365 x 24</w:t>
            </w:r>
          </w:p>
        </w:tc>
        <w:tc>
          <w:tcPr>
            <w:tcW w:w="3200" w:type="dxa"/>
            <w:shd w:val="clear" w:color="auto" w:fill="auto"/>
            <w:vAlign w:val="bottom"/>
            <w:hideMark/>
          </w:tcPr>
          <w:p w14:paraId="25223C5B"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Calculated</w:t>
            </w:r>
          </w:p>
        </w:tc>
      </w:tr>
      <w:tr w:rsidR="003A0D2D" w:rsidRPr="00E40745" w14:paraId="4B356E56" w14:textId="77777777" w:rsidTr="004622EC">
        <w:trPr>
          <w:trHeight w:val="548"/>
        </w:trPr>
        <w:tc>
          <w:tcPr>
            <w:tcW w:w="2805" w:type="dxa"/>
            <w:shd w:val="clear" w:color="auto" w:fill="auto"/>
            <w:vAlign w:val="bottom"/>
            <w:hideMark/>
          </w:tcPr>
          <w:p w14:paraId="0F9248B6"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Grid emissions factor</w:t>
            </w:r>
          </w:p>
        </w:tc>
        <w:tc>
          <w:tcPr>
            <w:tcW w:w="1815" w:type="dxa"/>
            <w:shd w:val="clear" w:color="auto" w:fill="auto"/>
            <w:vAlign w:val="bottom"/>
            <w:hideMark/>
          </w:tcPr>
          <w:p w14:paraId="79FC245D"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tonnes CO2eq/MWh</w:t>
            </w:r>
          </w:p>
        </w:tc>
        <w:tc>
          <w:tcPr>
            <w:tcW w:w="1280" w:type="dxa"/>
            <w:shd w:val="clear" w:color="auto" w:fill="auto"/>
            <w:vAlign w:val="bottom"/>
            <w:hideMark/>
          </w:tcPr>
          <w:p w14:paraId="590BF11B"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0.922</w:t>
            </w:r>
          </w:p>
        </w:tc>
        <w:tc>
          <w:tcPr>
            <w:tcW w:w="1180" w:type="dxa"/>
            <w:shd w:val="clear" w:color="auto" w:fill="auto"/>
            <w:vAlign w:val="bottom"/>
            <w:hideMark/>
          </w:tcPr>
          <w:p w14:paraId="3A2D733F"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D</w:t>
            </w:r>
          </w:p>
        </w:tc>
        <w:tc>
          <w:tcPr>
            <w:tcW w:w="3200" w:type="dxa"/>
            <w:shd w:val="clear" w:color="auto" w:fill="auto"/>
            <w:vAlign w:val="bottom"/>
            <w:hideMark/>
          </w:tcPr>
          <w:p w14:paraId="7CAB1AF0"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Lahmeyer International</w:t>
            </w:r>
            <w:r w:rsidR="00AF1880" w:rsidRPr="004622EC">
              <w:rPr>
                <w:sz w:val="21"/>
                <w:szCs w:val="22"/>
              </w:rPr>
              <w:t>, 2016</w:t>
            </w:r>
          </w:p>
        </w:tc>
      </w:tr>
      <w:tr w:rsidR="003A0D2D" w:rsidRPr="00E40745" w14:paraId="5E5F602F" w14:textId="77777777" w:rsidTr="00A4185A">
        <w:trPr>
          <w:trHeight w:val="296"/>
        </w:trPr>
        <w:tc>
          <w:tcPr>
            <w:tcW w:w="2805" w:type="dxa"/>
            <w:shd w:val="clear" w:color="auto" w:fill="auto"/>
            <w:vAlign w:val="bottom"/>
            <w:hideMark/>
          </w:tcPr>
          <w:p w14:paraId="5BD6AA8A"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Lifetime of investment</w:t>
            </w:r>
          </w:p>
        </w:tc>
        <w:tc>
          <w:tcPr>
            <w:tcW w:w="1815" w:type="dxa"/>
            <w:shd w:val="clear" w:color="auto" w:fill="auto"/>
            <w:vAlign w:val="bottom"/>
            <w:hideMark/>
          </w:tcPr>
          <w:p w14:paraId="55594D0B"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years</w:t>
            </w:r>
          </w:p>
        </w:tc>
        <w:tc>
          <w:tcPr>
            <w:tcW w:w="1280" w:type="dxa"/>
            <w:shd w:val="clear" w:color="auto" w:fill="auto"/>
            <w:vAlign w:val="bottom"/>
            <w:hideMark/>
          </w:tcPr>
          <w:p w14:paraId="5DED81D3"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20</w:t>
            </w:r>
          </w:p>
        </w:tc>
        <w:tc>
          <w:tcPr>
            <w:tcW w:w="1180" w:type="dxa"/>
            <w:shd w:val="clear" w:color="auto" w:fill="auto"/>
            <w:vAlign w:val="bottom"/>
            <w:hideMark/>
          </w:tcPr>
          <w:p w14:paraId="7B9A6BE4"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F</w:t>
            </w:r>
          </w:p>
        </w:tc>
        <w:tc>
          <w:tcPr>
            <w:tcW w:w="3200" w:type="dxa"/>
            <w:shd w:val="clear" w:color="auto" w:fill="auto"/>
            <w:vAlign w:val="bottom"/>
            <w:hideMark/>
          </w:tcPr>
          <w:p w14:paraId="6E2A0DC6"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 xml:space="preserve">Assumption for standard </w:t>
            </w:r>
          </w:p>
        </w:tc>
      </w:tr>
      <w:tr w:rsidR="003A0D2D" w:rsidRPr="00E40745" w14:paraId="15064148" w14:textId="77777777" w:rsidTr="003B443C">
        <w:trPr>
          <w:trHeight w:val="341"/>
        </w:trPr>
        <w:tc>
          <w:tcPr>
            <w:tcW w:w="2805" w:type="dxa"/>
            <w:shd w:val="clear" w:color="auto" w:fill="auto"/>
            <w:vAlign w:val="bottom"/>
            <w:hideMark/>
          </w:tcPr>
          <w:p w14:paraId="0BF9E3A3"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Lifetime GHG reductions from electricity production</w:t>
            </w:r>
          </w:p>
        </w:tc>
        <w:tc>
          <w:tcPr>
            <w:tcW w:w="1815" w:type="dxa"/>
            <w:shd w:val="clear" w:color="auto" w:fill="auto"/>
            <w:vAlign w:val="bottom"/>
            <w:hideMark/>
          </w:tcPr>
          <w:p w14:paraId="0C9EA1A9"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tonnes CO2eq</w:t>
            </w:r>
          </w:p>
        </w:tc>
        <w:tc>
          <w:tcPr>
            <w:tcW w:w="1280" w:type="dxa"/>
            <w:shd w:val="clear" w:color="auto" w:fill="auto"/>
            <w:vAlign w:val="bottom"/>
            <w:hideMark/>
          </w:tcPr>
          <w:p w14:paraId="3CAC81C6"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260,002</w:t>
            </w:r>
          </w:p>
        </w:tc>
        <w:tc>
          <w:tcPr>
            <w:tcW w:w="1180" w:type="dxa"/>
            <w:shd w:val="clear" w:color="auto" w:fill="auto"/>
            <w:vAlign w:val="bottom"/>
            <w:hideMark/>
          </w:tcPr>
          <w:p w14:paraId="40FB574E"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G = C x D x F</w:t>
            </w:r>
          </w:p>
        </w:tc>
        <w:tc>
          <w:tcPr>
            <w:tcW w:w="3200" w:type="dxa"/>
            <w:shd w:val="clear" w:color="auto" w:fill="auto"/>
            <w:vAlign w:val="bottom"/>
            <w:hideMark/>
          </w:tcPr>
          <w:p w14:paraId="05512507" w14:textId="77777777" w:rsidR="003A0D2D" w:rsidRPr="004622EC" w:rsidRDefault="003A0D2D" w:rsidP="00A4185A">
            <w:pPr>
              <w:keepNext/>
              <w:keepLines/>
              <w:widowControl w:val="0"/>
              <w:autoSpaceDE w:val="0"/>
              <w:autoSpaceDN w:val="0"/>
              <w:adjustRightInd w:val="0"/>
              <w:contextualSpacing/>
              <w:rPr>
                <w:sz w:val="21"/>
                <w:szCs w:val="22"/>
              </w:rPr>
            </w:pPr>
            <w:r w:rsidRPr="004622EC">
              <w:rPr>
                <w:sz w:val="21"/>
                <w:szCs w:val="22"/>
              </w:rPr>
              <w:t>Calculated</w:t>
            </w:r>
          </w:p>
        </w:tc>
      </w:tr>
    </w:tbl>
    <w:p w14:paraId="2C03226D" w14:textId="77777777" w:rsidR="003A0D2D" w:rsidRPr="00211162" w:rsidRDefault="003A0D2D" w:rsidP="003A0D2D">
      <w:pPr>
        <w:widowControl w:val="0"/>
        <w:autoSpaceDE w:val="0"/>
        <w:autoSpaceDN w:val="0"/>
        <w:adjustRightInd w:val="0"/>
        <w:spacing w:after="240" w:line="360" w:lineRule="atLeast"/>
        <w:rPr>
          <w:szCs w:val="22"/>
        </w:rPr>
      </w:pPr>
    </w:p>
    <w:p w14:paraId="0F4C7D14" w14:textId="4EFB4089" w:rsidR="003A0D2D" w:rsidRPr="00211162" w:rsidRDefault="00BC17B6" w:rsidP="003A0D2D">
      <w:pPr>
        <w:widowControl w:val="0"/>
        <w:autoSpaceDE w:val="0"/>
        <w:autoSpaceDN w:val="0"/>
        <w:adjustRightInd w:val="0"/>
        <w:spacing w:after="240" w:line="360" w:lineRule="atLeast"/>
        <w:rPr>
          <w:b/>
          <w:i/>
          <w:szCs w:val="22"/>
        </w:rPr>
      </w:pPr>
      <w:r>
        <w:rPr>
          <w:b/>
          <w:i/>
          <w:szCs w:val="22"/>
        </w:rPr>
        <w:t>Consequential</w:t>
      </w:r>
      <w:r w:rsidRPr="00211162">
        <w:rPr>
          <w:b/>
          <w:i/>
          <w:szCs w:val="22"/>
        </w:rPr>
        <w:t xml:space="preserve"> </w:t>
      </w:r>
      <w:r w:rsidR="003A0D2D" w:rsidRPr="00211162">
        <w:rPr>
          <w:b/>
          <w:i/>
          <w:szCs w:val="22"/>
        </w:rPr>
        <w:t>Emission Reductions</w:t>
      </w:r>
    </w:p>
    <w:p w14:paraId="046714B4" w14:textId="17E7958C" w:rsidR="003A0D2D" w:rsidRPr="00211162" w:rsidRDefault="00BC17B6" w:rsidP="004622EC">
      <w:pPr>
        <w:spacing w:after="120"/>
        <w:rPr>
          <w:noProof/>
          <w:szCs w:val="22"/>
        </w:rPr>
      </w:pPr>
      <w:r>
        <w:rPr>
          <w:szCs w:val="22"/>
        </w:rPr>
        <w:t>Consequential</w:t>
      </w:r>
      <w:r w:rsidR="003A0D2D" w:rsidRPr="00211162">
        <w:rPr>
          <w:noProof/>
          <w:szCs w:val="22"/>
        </w:rPr>
        <w:t xml:space="preserve"> reductions were estimated by using both bottom-up and top-down methods. </w:t>
      </w:r>
    </w:p>
    <w:p w14:paraId="0191E5DB" w14:textId="2A60E42B" w:rsidR="003A0D2D" w:rsidRPr="00211162" w:rsidRDefault="003A0D2D" w:rsidP="004622EC">
      <w:pPr>
        <w:spacing w:after="120"/>
        <w:rPr>
          <w:noProof/>
          <w:szCs w:val="22"/>
        </w:rPr>
      </w:pPr>
      <w:r w:rsidRPr="00211162">
        <w:rPr>
          <w:noProof/>
          <w:szCs w:val="22"/>
        </w:rPr>
        <w:t xml:space="preserve">The bottom-up estimate assumes a replication factor of 4, which reflects creation of </w:t>
      </w:r>
      <w:r w:rsidR="005707B3">
        <w:rPr>
          <w:noProof/>
          <w:szCs w:val="22"/>
        </w:rPr>
        <w:t xml:space="preserve">the </w:t>
      </w:r>
      <w:r w:rsidR="00394DD9">
        <w:rPr>
          <w:noProof/>
          <w:szCs w:val="22"/>
        </w:rPr>
        <w:t>financial instruments</w:t>
      </w:r>
      <w:r w:rsidRPr="00211162">
        <w:rPr>
          <w:noProof/>
          <w:szCs w:val="22"/>
        </w:rPr>
        <w:t xml:space="preserve"> under Component 3.</w:t>
      </w:r>
    </w:p>
    <w:p w14:paraId="552BB955" w14:textId="621E03F6" w:rsidR="003A0D2D" w:rsidRPr="00211162" w:rsidRDefault="004622EC" w:rsidP="00863DD5">
      <w:pPr>
        <w:pStyle w:val="aff3"/>
      </w:pPr>
      <w:bookmarkStart w:id="157" w:name="_Toc479693919"/>
      <w:r>
        <w:t xml:space="preserve">Table </w:t>
      </w:r>
      <w:r w:rsidR="00AA15A7">
        <w:fldChar w:fldCharType="begin"/>
      </w:r>
      <w:r w:rsidR="00AA15A7">
        <w:instrText xml:space="preserve"> SEQ Table \* ARABIC </w:instrText>
      </w:r>
      <w:r w:rsidR="00AA15A7">
        <w:fldChar w:fldCharType="separate"/>
      </w:r>
      <w:r w:rsidR="00921873">
        <w:rPr>
          <w:noProof/>
        </w:rPr>
        <w:t>12</w:t>
      </w:r>
      <w:r w:rsidR="00AA15A7">
        <w:rPr>
          <w:noProof/>
        </w:rPr>
        <w:fldChar w:fldCharType="end"/>
      </w:r>
      <w:r>
        <w:t xml:space="preserve">: </w:t>
      </w:r>
      <w:r w:rsidR="00BC17B6">
        <w:t>C</w:t>
      </w:r>
      <w:r w:rsidR="00BC17B6">
        <w:rPr>
          <w:szCs w:val="22"/>
        </w:rPr>
        <w:t>onsequential</w:t>
      </w:r>
      <w:r w:rsidR="00BC17B6" w:rsidRPr="00BC17B6">
        <w:rPr>
          <w:szCs w:val="22"/>
        </w:rPr>
        <w:t xml:space="preserve"> </w:t>
      </w:r>
      <w:r w:rsidR="00715086">
        <w:t xml:space="preserve">bottom-up </w:t>
      </w:r>
      <w:r w:rsidR="003A0D2D" w:rsidRPr="00211162">
        <w:t>emission reductions</w:t>
      </w:r>
      <w:bookmarkEnd w:id="157"/>
    </w:p>
    <w:tbl>
      <w:tblPr>
        <w:tblW w:w="6135" w:type="dxa"/>
        <w:tblInd w:w="93" w:type="dxa"/>
        <w:tblLook w:val="04A0" w:firstRow="1" w:lastRow="0" w:firstColumn="1" w:lastColumn="0" w:noHBand="0" w:noVBand="1"/>
      </w:tblPr>
      <w:tblGrid>
        <w:gridCol w:w="3075"/>
        <w:gridCol w:w="1399"/>
        <w:gridCol w:w="1890"/>
      </w:tblGrid>
      <w:tr w:rsidR="003A0D2D" w:rsidRPr="004323C3" w14:paraId="689BD8A0" w14:textId="77777777" w:rsidTr="003B443C">
        <w:trPr>
          <w:trHeight w:val="255"/>
        </w:trPr>
        <w:tc>
          <w:tcPr>
            <w:tcW w:w="3075"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971C341" w14:textId="77777777" w:rsidR="003A0D2D" w:rsidRPr="004622EC" w:rsidRDefault="003A0D2D" w:rsidP="004622EC">
            <w:pPr>
              <w:widowControl w:val="0"/>
              <w:autoSpaceDE w:val="0"/>
              <w:autoSpaceDN w:val="0"/>
              <w:adjustRightInd w:val="0"/>
              <w:rPr>
                <w:b/>
                <w:sz w:val="20"/>
                <w:szCs w:val="22"/>
              </w:rPr>
            </w:pPr>
            <w:r w:rsidRPr="004622EC">
              <w:rPr>
                <w:b/>
                <w:sz w:val="20"/>
                <w:szCs w:val="22"/>
              </w:rPr>
              <w:t>Label</w:t>
            </w:r>
          </w:p>
        </w:tc>
        <w:tc>
          <w:tcPr>
            <w:tcW w:w="1170" w:type="dxa"/>
            <w:tcBorders>
              <w:top w:val="single" w:sz="4" w:space="0" w:color="auto"/>
              <w:left w:val="nil"/>
              <w:bottom w:val="single" w:sz="4" w:space="0" w:color="auto"/>
              <w:right w:val="single" w:sz="4" w:space="0" w:color="auto"/>
            </w:tcBorders>
            <w:shd w:val="clear" w:color="000000" w:fill="BFBFBF"/>
            <w:noWrap/>
            <w:vAlign w:val="bottom"/>
            <w:hideMark/>
          </w:tcPr>
          <w:p w14:paraId="6C5C5D97" w14:textId="77777777" w:rsidR="003A0D2D" w:rsidRPr="004622EC" w:rsidRDefault="003A0D2D" w:rsidP="004622EC">
            <w:pPr>
              <w:widowControl w:val="0"/>
              <w:autoSpaceDE w:val="0"/>
              <w:autoSpaceDN w:val="0"/>
              <w:adjustRightInd w:val="0"/>
              <w:rPr>
                <w:b/>
                <w:sz w:val="20"/>
                <w:szCs w:val="22"/>
              </w:rPr>
            </w:pPr>
            <w:r w:rsidRPr="004622EC">
              <w:rPr>
                <w:b/>
                <w:sz w:val="20"/>
                <w:szCs w:val="22"/>
              </w:rPr>
              <w:t>Unit</w:t>
            </w:r>
          </w:p>
        </w:tc>
        <w:tc>
          <w:tcPr>
            <w:tcW w:w="1890" w:type="dxa"/>
            <w:tcBorders>
              <w:top w:val="single" w:sz="4" w:space="0" w:color="auto"/>
              <w:left w:val="nil"/>
              <w:bottom w:val="single" w:sz="4" w:space="0" w:color="auto"/>
              <w:right w:val="single" w:sz="4" w:space="0" w:color="auto"/>
            </w:tcBorders>
            <w:shd w:val="clear" w:color="000000" w:fill="BFBFBF"/>
            <w:noWrap/>
            <w:vAlign w:val="bottom"/>
            <w:hideMark/>
          </w:tcPr>
          <w:p w14:paraId="2E7F66EA" w14:textId="77777777" w:rsidR="003A0D2D" w:rsidRPr="004622EC" w:rsidRDefault="003A0D2D" w:rsidP="004622EC">
            <w:pPr>
              <w:widowControl w:val="0"/>
              <w:autoSpaceDE w:val="0"/>
              <w:autoSpaceDN w:val="0"/>
              <w:adjustRightInd w:val="0"/>
              <w:rPr>
                <w:b/>
                <w:sz w:val="20"/>
                <w:szCs w:val="22"/>
              </w:rPr>
            </w:pPr>
            <w:r w:rsidRPr="004622EC">
              <w:rPr>
                <w:b/>
                <w:sz w:val="20"/>
                <w:szCs w:val="22"/>
              </w:rPr>
              <w:t>Value</w:t>
            </w:r>
          </w:p>
        </w:tc>
      </w:tr>
      <w:tr w:rsidR="003A0D2D" w:rsidRPr="004323C3" w14:paraId="06400632" w14:textId="77777777" w:rsidTr="003B443C">
        <w:trPr>
          <w:trHeight w:val="73"/>
        </w:trPr>
        <w:tc>
          <w:tcPr>
            <w:tcW w:w="3075" w:type="dxa"/>
            <w:tcBorders>
              <w:top w:val="nil"/>
              <w:left w:val="single" w:sz="4" w:space="0" w:color="auto"/>
              <w:bottom w:val="single" w:sz="4" w:space="0" w:color="auto"/>
              <w:right w:val="single" w:sz="4" w:space="0" w:color="auto"/>
            </w:tcBorders>
            <w:shd w:val="clear" w:color="auto" w:fill="auto"/>
            <w:vAlign w:val="bottom"/>
            <w:hideMark/>
          </w:tcPr>
          <w:p w14:paraId="3DD2661D" w14:textId="77777777" w:rsidR="003A0D2D" w:rsidRPr="004622EC" w:rsidRDefault="003A0D2D" w:rsidP="004622EC">
            <w:pPr>
              <w:widowControl w:val="0"/>
              <w:autoSpaceDE w:val="0"/>
              <w:autoSpaceDN w:val="0"/>
              <w:adjustRightInd w:val="0"/>
              <w:rPr>
                <w:sz w:val="20"/>
                <w:szCs w:val="22"/>
              </w:rPr>
            </w:pPr>
            <w:r w:rsidRPr="004622EC">
              <w:rPr>
                <w:sz w:val="20"/>
                <w:szCs w:val="22"/>
              </w:rPr>
              <w:t>Direct emissions reductions</w:t>
            </w:r>
          </w:p>
        </w:tc>
        <w:tc>
          <w:tcPr>
            <w:tcW w:w="1170" w:type="dxa"/>
            <w:tcBorders>
              <w:top w:val="nil"/>
              <w:left w:val="nil"/>
              <w:bottom w:val="single" w:sz="4" w:space="0" w:color="auto"/>
              <w:right w:val="single" w:sz="4" w:space="0" w:color="auto"/>
            </w:tcBorders>
            <w:shd w:val="clear" w:color="auto" w:fill="auto"/>
            <w:noWrap/>
            <w:vAlign w:val="bottom"/>
            <w:hideMark/>
          </w:tcPr>
          <w:p w14:paraId="4BA44744" w14:textId="77777777" w:rsidR="003A0D2D" w:rsidRPr="004622EC" w:rsidRDefault="003A0D2D" w:rsidP="004622EC">
            <w:pPr>
              <w:widowControl w:val="0"/>
              <w:autoSpaceDE w:val="0"/>
              <w:autoSpaceDN w:val="0"/>
              <w:adjustRightInd w:val="0"/>
              <w:rPr>
                <w:sz w:val="20"/>
                <w:szCs w:val="22"/>
              </w:rPr>
            </w:pPr>
            <w:r w:rsidRPr="004622EC">
              <w:rPr>
                <w:sz w:val="20"/>
                <w:szCs w:val="22"/>
              </w:rPr>
              <w:t>tonnes/CO2eq</w:t>
            </w:r>
          </w:p>
        </w:tc>
        <w:tc>
          <w:tcPr>
            <w:tcW w:w="1890" w:type="dxa"/>
            <w:tcBorders>
              <w:top w:val="nil"/>
              <w:left w:val="nil"/>
              <w:bottom w:val="single" w:sz="4" w:space="0" w:color="auto"/>
              <w:right w:val="single" w:sz="4" w:space="0" w:color="auto"/>
            </w:tcBorders>
            <w:shd w:val="clear" w:color="auto" w:fill="auto"/>
            <w:noWrap/>
            <w:vAlign w:val="bottom"/>
            <w:hideMark/>
          </w:tcPr>
          <w:p w14:paraId="784EE8A5" w14:textId="77777777" w:rsidR="003A0D2D" w:rsidRPr="004622EC" w:rsidRDefault="00170499" w:rsidP="004622EC">
            <w:pPr>
              <w:widowControl w:val="0"/>
              <w:autoSpaceDE w:val="0"/>
              <w:autoSpaceDN w:val="0"/>
              <w:adjustRightInd w:val="0"/>
              <w:rPr>
                <w:sz w:val="20"/>
                <w:szCs w:val="22"/>
              </w:rPr>
            </w:pPr>
            <w:r>
              <w:rPr>
                <w:sz w:val="20"/>
                <w:szCs w:val="22"/>
              </w:rPr>
              <w:t>460,373</w:t>
            </w:r>
          </w:p>
        </w:tc>
      </w:tr>
      <w:tr w:rsidR="003A0D2D" w:rsidRPr="004323C3" w14:paraId="33CCB009" w14:textId="77777777" w:rsidTr="003B443C">
        <w:trPr>
          <w:trHeight w:val="332"/>
        </w:trPr>
        <w:tc>
          <w:tcPr>
            <w:tcW w:w="3075" w:type="dxa"/>
            <w:tcBorders>
              <w:top w:val="nil"/>
              <w:left w:val="single" w:sz="4" w:space="0" w:color="auto"/>
              <w:bottom w:val="single" w:sz="4" w:space="0" w:color="auto"/>
              <w:right w:val="single" w:sz="4" w:space="0" w:color="auto"/>
            </w:tcBorders>
            <w:shd w:val="clear" w:color="auto" w:fill="auto"/>
            <w:vAlign w:val="bottom"/>
            <w:hideMark/>
          </w:tcPr>
          <w:p w14:paraId="613A5034" w14:textId="77777777" w:rsidR="003A0D2D" w:rsidRPr="004622EC" w:rsidRDefault="003A0D2D" w:rsidP="004622EC">
            <w:pPr>
              <w:widowControl w:val="0"/>
              <w:autoSpaceDE w:val="0"/>
              <w:autoSpaceDN w:val="0"/>
              <w:adjustRightInd w:val="0"/>
              <w:rPr>
                <w:sz w:val="20"/>
                <w:szCs w:val="22"/>
              </w:rPr>
            </w:pPr>
            <w:r w:rsidRPr="004622EC">
              <w:rPr>
                <w:sz w:val="20"/>
                <w:szCs w:val="22"/>
              </w:rPr>
              <w:t>Replication factor</w:t>
            </w:r>
          </w:p>
        </w:tc>
        <w:tc>
          <w:tcPr>
            <w:tcW w:w="1170" w:type="dxa"/>
            <w:tcBorders>
              <w:top w:val="nil"/>
              <w:left w:val="nil"/>
              <w:bottom w:val="single" w:sz="4" w:space="0" w:color="auto"/>
              <w:right w:val="single" w:sz="4" w:space="0" w:color="auto"/>
            </w:tcBorders>
            <w:shd w:val="clear" w:color="auto" w:fill="auto"/>
            <w:noWrap/>
            <w:vAlign w:val="bottom"/>
            <w:hideMark/>
          </w:tcPr>
          <w:p w14:paraId="1523C2E5" w14:textId="77777777" w:rsidR="003A0D2D" w:rsidRPr="004622EC" w:rsidRDefault="003A0D2D" w:rsidP="004622EC">
            <w:pPr>
              <w:widowControl w:val="0"/>
              <w:autoSpaceDE w:val="0"/>
              <w:autoSpaceDN w:val="0"/>
              <w:adjustRightInd w:val="0"/>
              <w:rPr>
                <w:sz w:val="20"/>
                <w:szCs w:val="22"/>
              </w:rPr>
            </w:pPr>
            <w:r w:rsidRPr="004622EC">
              <w:rPr>
                <w:sz w:val="20"/>
                <w:szCs w:val="22"/>
              </w:rPr>
              <w:t>#</w:t>
            </w:r>
          </w:p>
        </w:tc>
        <w:tc>
          <w:tcPr>
            <w:tcW w:w="1890" w:type="dxa"/>
            <w:tcBorders>
              <w:top w:val="nil"/>
              <w:left w:val="nil"/>
              <w:bottom w:val="single" w:sz="4" w:space="0" w:color="auto"/>
              <w:right w:val="single" w:sz="4" w:space="0" w:color="auto"/>
            </w:tcBorders>
            <w:shd w:val="clear" w:color="auto" w:fill="auto"/>
            <w:noWrap/>
            <w:vAlign w:val="bottom"/>
            <w:hideMark/>
          </w:tcPr>
          <w:p w14:paraId="17F8832A" w14:textId="77777777" w:rsidR="003A0D2D" w:rsidRPr="004622EC" w:rsidRDefault="003A0D2D" w:rsidP="004622EC">
            <w:pPr>
              <w:widowControl w:val="0"/>
              <w:autoSpaceDE w:val="0"/>
              <w:autoSpaceDN w:val="0"/>
              <w:adjustRightInd w:val="0"/>
              <w:rPr>
                <w:sz w:val="20"/>
                <w:szCs w:val="22"/>
              </w:rPr>
            </w:pPr>
            <w:r w:rsidRPr="004622EC">
              <w:rPr>
                <w:sz w:val="20"/>
                <w:szCs w:val="22"/>
              </w:rPr>
              <w:t>4</w:t>
            </w:r>
          </w:p>
        </w:tc>
      </w:tr>
      <w:tr w:rsidR="003A0D2D" w:rsidRPr="004323C3" w14:paraId="06A07BB4" w14:textId="77777777" w:rsidTr="003B443C">
        <w:trPr>
          <w:trHeight w:val="161"/>
        </w:trPr>
        <w:tc>
          <w:tcPr>
            <w:tcW w:w="3075" w:type="dxa"/>
            <w:tcBorders>
              <w:top w:val="nil"/>
              <w:left w:val="single" w:sz="4" w:space="0" w:color="auto"/>
              <w:bottom w:val="single" w:sz="4" w:space="0" w:color="auto"/>
              <w:right w:val="single" w:sz="4" w:space="0" w:color="auto"/>
            </w:tcBorders>
            <w:shd w:val="clear" w:color="auto" w:fill="auto"/>
            <w:vAlign w:val="bottom"/>
            <w:hideMark/>
          </w:tcPr>
          <w:p w14:paraId="4E8A1193" w14:textId="77777777" w:rsidR="003A0D2D" w:rsidRPr="004622EC" w:rsidRDefault="003A0D2D" w:rsidP="004622EC">
            <w:pPr>
              <w:widowControl w:val="0"/>
              <w:autoSpaceDE w:val="0"/>
              <w:autoSpaceDN w:val="0"/>
              <w:adjustRightInd w:val="0"/>
              <w:rPr>
                <w:sz w:val="20"/>
                <w:szCs w:val="22"/>
              </w:rPr>
            </w:pPr>
            <w:r w:rsidRPr="004622EC">
              <w:rPr>
                <w:sz w:val="20"/>
                <w:szCs w:val="22"/>
              </w:rPr>
              <w:t>Indirect bottom up estimate</w:t>
            </w:r>
          </w:p>
        </w:tc>
        <w:tc>
          <w:tcPr>
            <w:tcW w:w="1170" w:type="dxa"/>
            <w:tcBorders>
              <w:top w:val="nil"/>
              <w:left w:val="nil"/>
              <w:bottom w:val="single" w:sz="4" w:space="0" w:color="auto"/>
              <w:right w:val="single" w:sz="4" w:space="0" w:color="auto"/>
            </w:tcBorders>
            <w:shd w:val="clear" w:color="auto" w:fill="auto"/>
            <w:noWrap/>
            <w:vAlign w:val="bottom"/>
            <w:hideMark/>
          </w:tcPr>
          <w:p w14:paraId="21D1191C" w14:textId="77777777" w:rsidR="003A0D2D" w:rsidRPr="004622EC" w:rsidRDefault="003A0D2D" w:rsidP="004622EC">
            <w:pPr>
              <w:widowControl w:val="0"/>
              <w:autoSpaceDE w:val="0"/>
              <w:autoSpaceDN w:val="0"/>
              <w:adjustRightInd w:val="0"/>
              <w:rPr>
                <w:sz w:val="20"/>
                <w:szCs w:val="22"/>
              </w:rPr>
            </w:pPr>
            <w:r w:rsidRPr="004622EC">
              <w:rPr>
                <w:sz w:val="20"/>
                <w:szCs w:val="22"/>
              </w:rPr>
              <w:t>tonnes/CO2eq</w:t>
            </w:r>
          </w:p>
        </w:tc>
        <w:tc>
          <w:tcPr>
            <w:tcW w:w="1890" w:type="dxa"/>
            <w:tcBorders>
              <w:top w:val="nil"/>
              <w:left w:val="nil"/>
              <w:bottom w:val="single" w:sz="4" w:space="0" w:color="auto"/>
              <w:right w:val="single" w:sz="4" w:space="0" w:color="auto"/>
            </w:tcBorders>
            <w:shd w:val="clear" w:color="auto" w:fill="auto"/>
            <w:noWrap/>
            <w:vAlign w:val="bottom"/>
            <w:hideMark/>
          </w:tcPr>
          <w:p w14:paraId="6DBCFF71" w14:textId="77777777" w:rsidR="003A0D2D" w:rsidRPr="004622EC" w:rsidRDefault="00170499" w:rsidP="004622EC">
            <w:pPr>
              <w:widowControl w:val="0"/>
              <w:autoSpaceDE w:val="0"/>
              <w:autoSpaceDN w:val="0"/>
              <w:adjustRightInd w:val="0"/>
              <w:rPr>
                <w:sz w:val="20"/>
                <w:szCs w:val="22"/>
              </w:rPr>
            </w:pPr>
            <w:r>
              <w:rPr>
                <w:sz w:val="20"/>
                <w:szCs w:val="22"/>
              </w:rPr>
              <w:t>1,841,492</w:t>
            </w:r>
          </w:p>
        </w:tc>
      </w:tr>
    </w:tbl>
    <w:p w14:paraId="55B6605C" w14:textId="77777777" w:rsidR="004323C3" w:rsidRPr="00211162" w:rsidRDefault="004323C3" w:rsidP="004622EC">
      <w:pPr>
        <w:spacing w:after="120"/>
        <w:rPr>
          <w:noProof/>
          <w:szCs w:val="22"/>
        </w:rPr>
      </w:pPr>
    </w:p>
    <w:p w14:paraId="509B9D8F" w14:textId="444A1BE2" w:rsidR="00E10B1F" w:rsidRDefault="007561B2" w:rsidP="004622EC">
      <w:pPr>
        <w:spacing w:after="120"/>
        <w:rPr>
          <w:noProof/>
          <w:szCs w:val="22"/>
        </w:rPr>
      </w:pPr>
      <w:r>
        <w:rPr>
          <w:noProof/>
          <w:szCs w:val="22"/>
        </w:rPr>
        <w:t>C</w:t>
      </w:r>
      <w:r>
        <w:rPr>
          <w:szCs w:val="22"/>
        </w:rPr>
        <w:t>onsequential</w:t>
      </w:r>
      <w:r w:rsidRPr="00211162">
        <w:rPr>
          <w:noProof/>
          <w:szCs w:val="22"/>
        </w:rPr>
        <w:t xml:space="preserve"> </w:t>
      </w:r>
      <w:r w:rsidR="003A0D2D" w:rsidRPr="00211162">
        <w:rPr>
          <w:noProof/>
          <w:szCs w:val="22"/>
        </w:rPr>
        <w:t xml:space="preserve">top-down emissions reductions estimate </w:t>
      </w:r>
      <w:r w:rsidR="003A0D2D">
        <w:rPr>
          <w:noProof/>
          <w:szCs w:val="22"/>
        </w:rPr>
        <w:t xml:space="preserve">are based on the assumption the Government adopts policy and financial d-risking measures developed within the Project, which will </w:t>
      </w:r>
      <w:r w:rsidR="003A0D2D" w:rsidRPr="00211162">
        <w:rPr>
          <w:noProof/>
          <w:szCs w:val="22"/>
        </w:rPr>
        <w:t>will allow Kazakhstan to achieve 10% target for renewable energy by 2030. It would result in approximately 14.5 TWh  of energy produced from renewable energy sources</w:t>
      </w:r>
      <w:r w:rsidR="003A0D2D">
        <w:rPr>
          <w:noProof/>
          <w:szCs w:val="22"/>
        </w:rPr>
        <w:t xml:space="preserve"> between 2017 and 2027 (based on </w:t>
      </w:r>
      <w:r w:rsidR="00856DB9">
        <w:rPr>
          <w:noProof/>
          <w:szCs w:val="22"/>
        </w:rPr>
        <w:t xml:space="preserve">the </w:t>
      </w:r>
      <w:r w:rsidR="003A0D2D">
        <w:rPr>
          <w:noProof/>
          <w:szCs w:val="22"/>
        </w:rPr>
        <w:t>projections made in the Concept to transition to green economy</w:t>
      </w:r>
      <w:r w:rsidR="00856DB9">
        <w:rPr>
          <w:noProof/>
          <w:szCs w:val="22"/>
        </w:rPr>
        <w:t xml:space="preserve"> of Kazakhstan</w:t>
      </w:r>
      <w:r w:rsidR="003A0D2D">
        <w:rPr>
          <w:noProof/>
          <w:szCs w:val="22"/>
        </w:rPr>
        <w:t xml:space="preserve">). </w:t>
      </w:r>
      <w:r w:rsidR="003A0D2D" w:rsidRPr="00211162">
        <w:rPr>
          <w:noProof/>
          <w:szCs w:val="22"/>
        </w:rPr>
        <w:t xml:space="preserve"> The causality factor was estimated to be 60% since there are activities by other donor’s contributing to development of policy and financial derisking tools. The calculation of the 10-year market potential and </w:t>
      </w:r>
      <w:r>
        <w:rPr>
          <w:szCs w:val="22"/>
        </w:rPr>
        <w:t>consequential</w:t>
      </w:r>
      <w:r w:rsidR="003A0D2D" w:rsidRPr="00211162">
        <w:rPr>
          <w:noProof/>
          <w:szCs w:val="22"/>
        </w:rPr>
        <w:t xml:space="preserve"> top-down estimate is described in the tables below.</w:t>
      </w:r>
    </w:p>
    <w:p w14:paraId="7CF8659D" w14:textId="6A1C8776" w:rsidR="00856DB9" w:rsidRPr="00856DB9" w:rsidRDefault="004622EC" w:rsidP="00863DD5">
      <w:pPr>
        <w:pStyle w:val="aff3"/>
      </w:pPr>
      <w:bookmarkStart w:id="158" w:name="_Toc336628528"/>
      <w:bookmarkStart w:id="159" w:name="_Toc479693920"/>
      <w:r>
        <w:t xml:space="preserve">Table </w:t>
      </w:r>
      <w:r w:rsidR="00AA15A7">
        <w:fldChar w:fldCharType="begin"/>
      </w:r>
      <w:r w:rsidR="00AA15A7">
        <w:instrText xml:space="preserve"> SEQ Table \* ARABIC </w:instrText>
      </w:r>
      <w:r w:rsidR="00AA15A7">
        <w:fldChar w:fldCharType="separate"/>
      </w:r>
      <w:r w:rsidR="00921873">
        <w:rPr>
          <w:noProof/>
        </w:rPr>
        <w:t>13</w:t>
      </w:r>
      <w:r w:rsidR="00AA15A7">
        <w:rPr>
          <w:noProof/>
        </w:rPr>
        <w:fldChar w:fldCharType="end"/>
      </w:r>
      <w:r>
        <w:t>:</w:t>
      </w:r>
      <w:r w:rsidR="009223CD" w:rsidRPr="00856DB9">
        <w:t xml:space="preserve"> </w:t>
      </w:r>
      <w:r w:rsidR="007561B2">
        <w:rPr>
          <w:szCs w:val="22"/>
        </w:rPr>
        <w:t>Consequential</w:t>
      </w:r>
      <w:r w:rsidR="007561B2" w:rsidRPr="00211162" w:rsidDel="007561B2">
        <w:t xml:space="preserve"> </w:t>
      </w:r>
      <w:r w:rsidR="00D75E1B">
        <w:t xml:space="preserve">top-down </w:t>
      </w:r>
      <w:r w:rsidR="00D75E1B" w:rsidRPr="00211162">
        <w:t>emission reductions</w:t>
      </w:r>
      <w:bookmarkEnd w:id="158"/>
      <w:bookmarkEnd w:id="159"/>
    </w:p>
    <w:tbl>
      <w:tblPr>
        <w:tblW w:w="0" w:type="auto"/>
        <w:tblLook w:val="04A0" w:firstRow="1" w:lastRow="0" w:firstColumn="1" w:lastColumn="0" w:noHBand="0" w:noVBand="1"/>
      </w:tblPr>
      <w:tblGrid>
        <w:gridCol w:w="2745"/>
        <w:gridCol w:w="1307"/>
        <w:gridCol w:w="1438"/>
        <w:gridCol w:w="1430"/>
        <w:gridCol w:w="3530"/>
      </w:tblGrid>
      <w:tr w:rsidR="009223CD" w:rsidRPr="004323C3" w14:paraId="3B31B6E9" w14:textId="77777777" w:rsidTr="004622EC">
        <w:trPr>
          <w:trHeight w:val="255"/>
        </w:trPr>
        <w:tc>
          <w:tcPr>
            <w:tcW w:w="2766"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05F431A" w14:textId="77777777" w:rsidR="009223CD" w:rsidRPr="004622EC" w:rsidRDefault="009223CD" w:rsidP="004622EC">
            <w:pPr>
              <w:rPr>
                <w:rFonts w:eastAsia="Times New Roman" w:cs="Arial"/>
                <w:b/>
                <w:bCs/>
                <w:sz w:val="20"/>
                <w:szCs w:val="20"/>
              </w:rPr>
            </w:pPr>
            <w:r w:rsidRPr="004622EC">
              <w:rPr>
                <w:rFonts w:eastAsia="Times New Roman" w:cs="Arial"/>
                <w:b/>
                <w:bCs/>
                <w:sz w:val="20"/>
                <w:szCs w:val="20"/>
              </w:rPr>
              <w:t>Parameter</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14:paraId="419E1B14" w14:textId="77777777" w:rsidR="009223CD" w:rsidRPr="004622EC" w:rsidRDefault="009223CD" w:rsidP="004622EC">
            <w:pPr>
              <w:rPr>
                <w:rFonts w:eastAsia="Times New Roman" w:cs="Arial"/>
                <w:b/>
                <w:bCs/>
                <w:sz w:val="20"/>
                <w:szCs w:val="20"/>
              </w:rPr>
            </w:pPr>
            <w:r w:rsidRPr="004622EC">
              <w:rPr>
                <w:rFonts w:eastAsia="Times New Roman" w:cs="Arial"/>
                <w:b/>
                <w:bCs/>
                <w:sz w:val="20"/>
                <w:szCs w:val="20"/>
              </w:rPr>
              <w:t>Units</w:t>
            </w:r>
          </w:p>
        </w:tc>
        <w:tc>
          <w:tcPr>
            <w:tcW w:w="1448" w:type="dxa"/>
            <w:tcBorders>
              <w:top w:val="single" w:sz="4" w:space="0" w:color="auto"/>
              <w:left w:val="nil"/>
              <w:bottom w:val="single" w:sz="4" w:space="0" w:color="auto"/>
              <w:right w:val="single" w:sz="4" w:space="0" w:color="auto"/>
            </w:tcBorders>
            <w:shd w:val="clear" w:color="000000" w:fill="BFBFBF"/>
            <w:noWrap/>
            <w:vAlign w:val="bottom"/>
            <w:hideMark/>
          </w:tcPr>
          <w:p w14:paraId="6981B7EA" w14:textId="77777777" w:rsidR="009223CD" w:rsidRPr="004622EC" w:rsidRDefault="009223CD" w:rsidP="004622EC">
            <w:pPr>
              <w:rPr>
                <w:rFonts w:eastAsia="Times New Roman" w:cs="Arial"/>
                <w:b/>
                <w:bCs/>
                <w:sz w:val="20"/>
                <w:szCs w:val="20"/>
              </w:rPr>
            </w:pPr>
            <w:r w:rsidRPr="004622EC">
              <w:rPr>
                <w:rFonts w:eastAsia="Times New Roman" w:cs="Arial"/>
                <w:b/>
                <w:bCs/>
                <w:sz w:val="20"/>
                <w:szCs w:val="20"/>
              </w:rPr>
              <w:t>Value</w:t>
            </w:r>
          </w:p>
        </w:tc>
        <w:tc>
          <w:tcPr>
            <w:tcW w:w="1440" w:type="dxa"/>
            <w:tcBorders>
              <w:top w:val="single" w:sz="4" w:space="0" w:color="auto"/>
              <w:left w:val="nil"/>
              <w:bottom w:val="single" w:sz="4" w:space="0" w:color="auto"/>
              <w:right w:val="single" w:sz="4" w:space="0" w:color="auto"/>
            </w:tcBorders>
            <w:shd w:val="clear" w:color="000000" w:fill="BFBFBF"/>
            <w:noWrap/>
            <w:vAlign w:val="bottom"/>
            <w:hideMark/>
          </w:tcPr>
          <w:p w14:paraId="30796A32" w14:textId="77777777" w:rsidR="009223CD" w:rsidRPr="004622EC" w:rsidRDefault="009223CD" w:rsidP="004622EC">
            <w:pPr>
              <w:rPr>
                <w:rFonts w:eastAsia="Times New Roman" w:cs="Arial"/>
                <w:b/>
                <w:bCs/>
                <w:sz w:val="20"/>
                <w:szCs w:val="20"/>
              </w:rPr>
            </w:pPr>
            <w:r w:rsidRPr="004622EC">
              <w:rPr>
                <w:rFonts w:eastAsia="Times New Roman" w:cs="Arial"/>
                <w:b/>
                <w:bCs/>
                <w:sz w:val="20"/>
                <w:szCs w:val="20"/>
              </w:rPr>
              <w:t>Calculation</w:t>
            </w:r>
          </w:p>
        </w:tc>
        <w:tc>
          <w:tcPr>
            <w:tcW w:w="3557" w:type="dxa"/>
            <w:tcBorders>
              <w:top w:val="single" w:sz="4" w:space="0" w:color="auto"/>
              <w:left w:val="nil"/>
              <w:bottom w:val="single" w:sz="4" w:space="0" w:color="auto"/>
              <w:right w:val="single" w:sz="4" w:space="0" w:color="auto"/>
            </w:tcBorders>
            <w:shd w:val="clear" w:color="000000" w:fill="BFBFBF"/>
            <w:noWrap/>
            <w:vAlign w:val="bottom"/>
            <w:hideMark/>
          </w:tcPr>
          <w:p w14:paraId="3CEBC001" w14:textId="77777777" w:rsidR="009223CD" w:rsidRPr="004622EC" w:rsidRDefault="009223CD" w:rsidP="004622EC">
            <w:pPr>
              <w:rPr>
                <w:rFonts w:eastAsia="Times New Roman" w:cs="Arial"/>
                <w:b/>
                <w:bCs/>
                <w:iCs/>
                <w:sz w:val="20"/>
                <w:szCs w:val="20"/>
              </w:rPr>
            </w:pPr>
            <w:r w:rsidRPr="004622EC">
              <w:rPr>
                <w:rFonts w:eastAsia="Times New Roman" w:cs="Arial"/>
                <w:b/>
                <w:bCs/>
                <w:iCs/>
                <w:sz w:val="20"/>
                <w:szCs w:val="20"/>
              </w:rPr>
              <w:t>Source of information</w:t>
            </w:r>
          </w:p>
        </w:tc>
      </w:tr>
      <w:tr w:rsidR="009223CD" w:rsidRPr="004323C3" w14:paraId="101C4A61" w14:textId="77777777" w:rsidTr="004622EC">
        <w:trPr>
          <w:trHeight w:val="510"/>
        </w:trPr>
        <w:tc>
          <w:tcPr>
            <w:tcW w:w="2766" w:type="dxa"/>
            <w:tcBorders>
              <w:top w:val="nil"/>
              <w:left w:val="single" w:sz="4" w:space="0" w:color="auto"/>
              <w:bottom w:val="single" w:sz="4" w:space="0" w:color="auto"/>
              <w:right w:val="single" w:sz="4" w:space="0" w:color="auto"/>
            </w:tcBorders>
            <w:shd w:val="clear" w:color="000000" w:fill="D9D9D9"/>
            <w:vAlign w:val="center"/>
            <w:hideMark/>
          </w:tcPr>
          <w:p w14:paraId="7D42EC98" w14:textId="77777777" w:rsidR="009223CD" w:rsidRPr="004622EC" w:rsidRDefault="00A008C4" w:rsidP="00A008C4">
            <w:pPr>
              <w:rPr>
                <w:rFonts w:eastAsia="Times New Roman" w:cs="Arial"/>
                <w:b/>
                <w:bCs/>
                <w:color w:val="000000"/>
                <w:sz w:val="20"/>
                <w:szCs w:val="20"/>
              </w:rPr>
            </w:pPr>
            <w:r w:rsidRPr="004622EC">
              <w:rPr>
                <w:rFonts w:eastAsia="Times New Roman" w:cs="Arial"/>
                <w:b/>
                <w:bCs/>
                <w:color w:val="000000"/>
                <w:sz w:val="20"/>
                <w:szCs w:val="20"/>
              </w:rPr>
              <w:t>10-year p</w:t>
            </w:r>
            <w:r w:rsidR="009223CD" w:rsidRPr="004622EC">
              <w:rPr>
                <w:rFonts w:eastAsia="Times New Roman" w:cs="Arial"/>
                <w:b/>
                <w:bCs/>
                <w:color w:val="000000"/>
                <w:sz w:val="20"/>
                <w:szCs w:val="20"/>
              </w:rPr>
              <w:t>ower production potential</w:t>
            </w:r>
          </w:p>
        </w:tc>
        <w:tc>
          <w:tcPr>
            <w:tcW w:w="0" w:type="auto"/>
            <w:tcBorders>
              <w:top w:val="nil"/>
              <w:left w:val="nil"/>
              <w:bottom w:val="single" w:sz="4" w:space="0" w:color="auto"/>
              <w:right w:val="single" w:sz="4" w:space="0" w:color="auto"/>
            </w:tcBorders>
            <w:shd w:val="clear" w:color="auto" w:fill="auto"/>
            <w:vAlign w:val="center"/>
            <w:hideMark/>
          </w:tcPr>
          <w:p w14:paraId="0B7B8F43" w14:textId="77777777" w:rsidR="009223CD" w:rsidRPr="004622EC" w:rsidRDefault="009223CD" w:rsidP="009223CD">
            <w:pPr>
              <w:jc w:val="center"/>
              <w:rPr>
                <w:rFonts w:eastAsia="Times New Roman" w:cs="Arial"/>
                <w:b/>
                <w:bCs/>
                <w:color w:val="000000"/>
                <w:sz w:val="20"/>
                <w:szCs w:val="20"/>
              </w:rPr>
            </w:pPr>
            <w:r w:rsidRPr="004622EC">
              <w:rPr>
                <w:rFonts w:eastAsia="Times New Roman" w:cs="Arial"/>
                <w:b/>
                <w:bCs/>
                <w:color w:val="000000"/>
                <w:sz w:val="20"/>
                <w:szCs w:val="20"/>
              </w:rPr>
              <w:t>TWh</w:t>
            </w:r>
          </w:p>
        </w:tc>
        <w:tc>
          <w:tcPr>
            <w:tcW w:w="1448" w:type="dxa"/>
            <w:tcBorders>
              <w:top w:val="nil"/>
              <w:left w:val="nil"/>
              <w:bottom w:val="single" w:sz="4" w:space="0" w:color="auto"/>
              <w:right w:val="single" w:sz="4" w:space="0" w:color="auto"/>
            </w:tcBorders>
            <w:shd w:val="clear" w:color="auto" w:fill="auto"/>
            <w:vAlign w:val="center"/>
            <w:hideMark/>
          </w:tcPr>
          <w:p w14:paraId="1E33C38D" w14:textId="77777777" w:rsidR="009223CD" w:rsidRPr="004622EC" w:rsidRDefault="009223CD" w:rsidP="00A008C4">
            <w:pPr>
              <w:jc w:val="center"/>
              <w:rPr>
                <w:rFonts w:eastAsia="Times New Roman" w:cs="Arial"/>
                <w:color w:val="000000"/>
                <w:sz w:val="20"/>
                <w:szCs w:val="20"/>
              </w:rPr>
            </w:pPr>
            <w:r w:rsidRPr="004622EC">
              <w:rPr>
                <w:rFonts w:eastAsia="Times New Roman" w:cs="Arial"/>
                <w:color w:val="000000"/>
                <w:sz w:val="20"/>
                <w:szCs w:val="20"/>
              </w:rPr>
              <w:t>14.5</w:t>
            </w:r>
          </w:p>
        </w:tc>
        <w:tc>
          <w:tcPr>
            <w:tcW w:w="1440" w:type="dxa"/>
            <w:tcBorders>
              <w:top w:val="nil"/>
              <w:left w:val="nil"/>
              <w:bottom w:val="single" w:sz="4" w:space="0" w:color="auto"/>
              <w:right w:val="single" w:sz="4" w:space="0" w:color="auto"/>
            </w:tcBorders>
            <w:shd w:val="clear" w:color="auto" w:fill="auto"/>
            <w:vAlign w:val="center"/>
            <w:hideMark/>
          </w:tcPr>
          <w:p w14:paraId="42E1B344" w14:textId="77777777" w:rsidR="009223CD" w:rsidRPr="004622EC" w:rsidRDefault="009223CD" w:rsidP="00A008C4">
            <w:pPr>
              <w:jc w:val="center"/>
              <w:rPr>
                <w:rFonts w:eastAsia="Times New Roman" w:cs="Arial"/>
                <w:sz w:val="20"/>
                <w:szCs w:val="20"/>
              </w:rPr>
            </w:pPr>
            <w:r w:rsidRPr="004622EC">
              <w:rPr>
                <w:rFonts w:eastAsia="Times New Roman" w:cs="Arial"/>
                <w:sz w:val="20"/>
                <w:szCs w:val="20"/>
              </w:rPr>
              <w:t>A</w:t>
            </w:r>
          </w:p>
        </w:tc>
        <w:tc>
          <w:tcPr>
            <w:tcW w:w="3557" w:type="dxa"/>
            <w:tcBorders>
              <w:top w:val="nil"/>
              <w:left w:val="nil"/>
              <w:bottom w:val="single" w:sz="4" w:space="0" w:color="auto"/>
              <w:right w:val="single" w:sz="4" w:space="0" w:color="auto"/>
            </w:tcBorders>
            <w:shd w:val="clear" w:color="auto" w:fill="auto"/>
            <w:vAlign w:val="center"/>
            <w:hideMark/>
          </w:tcPr>
          <w:p w14:paraId="67A716A3" w14:textId="77777777" w:rsidR="009223CD" w:rsidRPr="004622EC" w:rsidRDefault="009223CD" w:rsidP="00A008C4">
            <w:pPr>
              <w:rPr>
                <w:rFonts w:eastAsia="Times New Roman" w:cs="Arial"/>
                <w:i/>
                <w:iCs/>
                <w:sz w:val="20"/>
                <w:szCs w:val="20"/>
              </w:rPr>
            </w:pPr>
            <w:r w:rsidRPr="004622EC">
              <w:rPr>
                <w:rFonts w:eastAsia="Times New Roman" w:cs="Arial"/>
                <w:i/>
                <w:iCs/>
                <w:sz w:val="20"/>
                <w:szCs w:val="20"/>
              </w:rPr>
              <w:t>Concept to transition to green economy of Kazakhstan</w:t>
            </w:r>
          </w:p>
        </w:tc>
      </w:tr>
      <w:tr w:rsidR="009223CD" w:rsidRPr="004323C3" w14:paraId="61B871A7" w14:textId="77777777" w:rsidTr="004622EC">
        <w:trPr>
          <w:trHeight w:val="413"/>
        </w:trPr>
        <w:tc>
          <w:tcPr>
            <w:tcW w:w="2766" w:type="dxa"/>
            <w:tcBorders>
              <w:top w:val="nil"/>
              <w:left w:val="single" w:sz="4" w:space="0" w:color="auto"/>
              <w:bottom w:val="single" w:sz="4" w:space="0" w:color="auto"/>
              <w:right w:val="single" w:sz="4" w:space="0" w:color="auto"/>
            </w:tcBorders>
            <w:shd w:val="clear" w:color="000000" w:fill="D9D9D9"/>
            <w:vAlign w:val="center"/>
            <w:hideMark/>
          </w:tcPr>
          <w:p w14:paraId="285E1294" w14:textId="77777777" w:rsidR="009223CD" w:rsidRPr="004622EC" w:rsidRDefault="009223CD" w:rsidP="00A008C4">
            <w:pPr>
              <w:rPr>
                <w:rFonts w:eastAsia="Times New Roman" w:cs="Arial"/>
                <w:b/>
                <w:bCs/>
                <w:color w:val="000000"/>
                <w:sz w:val="20"/>
                <w:szCs w:val="20"/>
              </w:rPr>
            </w:pPr>
            <w:r w:rsidRPr="004622EC">
              <w:rPr>
                <w:rFonts w:eastAsia="Times New Roman" w:cs="Arial"/>
                <w:b/>
                <w:bCs/>
                <w:color w:val="000000"/>
                <w:sz w:val="20"/>
                <w:szCs w:val="20"/>
              </w:rPr>
              <w:t>Grid emissions factor</w:t>
            </w:r>
          </w:p>
        </w:tc>
        <w:tc>
          <w:tcPr>
            <w:tcW w:w="0" w:type="auto"/>
            <w:tcBorders>
              <w:top w:val="nil"/>
              <w:left w:val="nil"/>
              <w:bottom w:val="single" w:sz="4" w:space="0" w:color="auto"/>
              <w:right w:val="single" w:sz="4" w:space="0" w:color="auto"/>
            </w:tcBorders>
            <w:shd w:val="clear" w:color="auto" w:fill="auto"/>
            <w:vAlign w:val="center"/>
            <w:hideMark/>
          </w:tcPr>
          <w:p w14:paraId="3BFB791B" w14:textId="77777777" w:rsidR="009223CD" w:rsidRPr="004622EC" w:rsidRDefault="009223CD" w:rsidP="00A008C4">
            <w:pPr>
              <w:jc w:val="center"/>
              <w:rPr>
                <w:rFonts w:eastAsia="Times New Roman" w:cs="Arial"/>
                <w:b/>
                <w:bCs/>
                <w:color w:val="000000"/>
                <w:sz w:val="20"/>
                <w:szCs w:val="20"/>
              </w:rPr>
            </w:pPr>
            <w:r w:rsidRPr="004622EC">
              <w:rPr>
                <w:rFonts w:eastAsia="Times New Roman" w:cs="Arial"/>
                <w:b/>
                <w:bCs/>
                <w:color w:val="000000"/>
                <w:sz w:val="20"/>
                <w:szCs w:val="20"/>
              </w:rPr>
              <w:t>tonnes CO2eq/MWh</w:t>
            </w:r>
          </w:p>
        </w:tc>
        <w:tc>
          <w:tcPr>
            <w:tcW w:w="1448" w:type="dxa"/>
            <w:tcBorders>
              <w:top w:val="nil"/>
              <w:left w:val="nil"/>
              <w:bottom w:val="single" w:sz="4" w:space="0" w:color="auto"/>
              <w:right w:val="single" w:sz="4" w:space="0" w:color="auto"/>
            </w:tcBorders>
            <w:shd w:val="clear" w:color="auto" w:fill="auto"/>
            <w:vAlign w:val="center"/>
            <w:hideMark/>
          </w:tcPr>
          <w:p w14:paraId="3961C345" w14:textId="77777777" w:rsidR="009223CD" w:rsidRPr="004622EC" w:rsidRDefault="009223CD" w:rsidP="009223CD">
            <w:pPr>
              <w:jc w:val="center"/>
              <w:rPr>
                <w:rFonts w:eastAsia="Times New Roman" w:cs="Arial"/>
                <w:color w:val="000000"/>
                <w:sz w:val="20"/>
                <w:szCs w:val="20"/>
              </w:rPr>
            </w:pPr>
            <w:r w:rsidRPr="004622EC">
              <w:rPr>
                <w:rFonts w:eastAsia="Times New Roman" w:cs="Arial"/>
                <w:color w:val="000000"/>
                <w:sz w:val="20"/>
                <w:szCs w:val="20"/>
              </w:rPr>
              <w:t>0.922</w:t>
            </w:r>
          </w:p>
        </w:tc>
        <w:tc>
          <w:tcPr>
            <w:tcW w:w="1440" w:type="dxa"/>
            <w:tcBorders>
              <w:top w:val="nil"/>
              <w:left w:val="nil"/>
              <w:bottom w:val="single" w:sz="4" w:space="0" w:color="auto"/>
              <w:right w:val="single" w:sz="4" w:space="0" w:color="auto"/>
            </w:tcBorders>
            <w:shd w:val="clear" w:color="auto" w:fill="auto"/>
            <w:vAlign w:val="center"/>
            <w:hideMark/>
          </w:tcPr>
          <w:p w14:paraId="768D0C53" w14:textId="77777777" w:rsidR="009223CD" w:rsidRPr="004622EC" w:rsidRDefault="00AF1880" w:rsidP="00A008C4">
            <w:pPr>
              <w:jc w:val="center"/>
              <w:rPr>
                <w:rFonts w:eastAsia="Times New Roman" w:cs="Arial"/>
                <w:sz w:val="20"/>
                <w:szCs w:val="20"/>
              </w:rPr>
            </w:pPr>
            <w:r w:rsidRPr="004622EC">
              <w:rPr>
                <w:rFonts w:eastAsia="Times New Roman" w:cs="Arial"/>
                <w:sz w:val="20"/>
                <w:szCs w:val="20"/>
              </w:rPr>
              <w:t>B</w:t>
            </w:r>
          </w:p>
        </w:tc>
        <w:tc>
          <w:tcPr>
            <w:tcW w:w="3557" w:type="dxa"/>
            <w:tcBorders>
              <w:top w:val="nil"/>
              <w:left w:val="nil"/>
              <w:bottom w:val="single" w:sz="4" w:space="0" w:color="auto"/>
              <w:right w:val="single" w:sz="4" w:space="0" w:color="auto"/>
            </w:tcBorders>
            <w:shd w:val="clear" w:color="auto" w:fill="auto"/>
            <w:vAlign w:val="center"/>
            <w:hideMark/>
          </w:tcPr>
          <w:p w14:paraId="1C1EB953" w14:textId="77777777" w:rsidR="009223CD" w:rsidRPr="004622EC" w:rsidRDefault="00A008C4" w:rsidP="00A008C4">
            <w:pPr>
              <w:rPr>
                <w:rFonts w:eastAsia="Times New Roman" w:cs="Arial"/>
                <w:i/>
                <w:iCs/>
                <w:sz w:val="20"/>
                <w:szCs w:val="20"/>
              </w:rPr>
            </w:pPr>
            <w:r w:rsidRPr="004622EC">
              <w:rPr>
                <w:sz w:val="20"/>
                <w:szCs w:val="20"/>
              </w:rPr>
              <w:t>Lahmeyer International, 2016</w:t>
            </w:r>
          </w:p>
        </w:tc>
      </w:tr>
      <w:tr w:rsidR="009223CD" w:rsidRPr="004323C3" w14:paraId="6EDA83C2" w14:textId="77777777" w:rsidTr="004622EC">
        <w:trPr>
          <w:trHeight w:val="73"/>
        </w:trPr>
        <w:tc>
          <w:tcPr>
            <w:tcW w:w="2766" w:type="dxa"/>
            <w:tcBorders>
              <w:top w:val="nil"/>
              <w:left w:val="single" w:sz="4" w:space="0" w:color="auto"/>
              <w:bottom w:val="single" w:sz="4" w:space="0" w:color="auto"/>
              <w:right w:val="single" w:sz="4" w:space="0" w:color="auto"/>
            </w:tcBorders>
            <w:shd w:val="clear" w:color="000000" w:fill="D9D9D9"/>
            <w:vAlign w:val="center"/>
            <w:hideMark/>
          </w:tcPr>
          <w:p w14:paraId="7BECFEF6" w14:textId="77777777" w:rsidR="009223CD" w:rsidRPr="004622EC" w:rsidRDefault="00856DB9" w:rsidP="00A008C4">
            <w:pPr>
              <w:rPr>
                <w:rFonts w:eastAsia="Times New Roman" w:cs="Arial"/>
                <w:b/>
                <w:bCs/>
                <w:color w:val="000000"/>
                <w:sz w:val="20"/>
                <w:szCs w:val="20"/>
              </w:rPr>
            </w:pPr>
            <w:r w:rsidRPr="004622EC">
              <w:rPr>
                <w:rFonts w:eastAsia="Times New Roman" w:cs="Arial"/>
                <w:sz w:val="20"/>
                <w:szCs w:val="20"/>
              </w:rPr>
              <w:t>Causality factor</w:t>
            </w:r>
          </w:p>
        </w:tc>
        <w:tc>
          <w:tcPr>
            <w:tcW w:w="0" w:type="auto"/>
            <w:tcBorders>
              <w:top w:val="nil"/>
              <w:left w:val="nil"/>
              <w:bottom w:val="single" w:sz="4" w:space="0" w:color="auto"/>
              <w:right w:val="single" w:sz="4" w:space="0" w:color="auto"/>
            </w:tcBorders>
            <w:shd w:val="clear" w:color="auto" w:fill="auto"/>
            <w:vAlign w:val="center"/>
            <w:hideMark/>
          </w:tcPr>
          <w:p w14:paraId="4DFE27C4" w14:textId="77777777" w:rsidR="009223CD" w:rsidRPr="004622EC" w:rsidRDefault="00856DB9" w:rsidP="00A008C4">
            <w:pPr>
              <w:jc w:val="center"/>
              <w:rPr>
                <w:rFonts w:eastAsia="Times New Roman" w:cs="Arial"/>
                <w:b/>
                <w:bCs/>
                <w:color w:val="000000"/>
                <w:sz w:val="20"/>
                <w:szCs w:val="20"/>
              </w:rPr>
            </w:pPr>
            <w:r w:rsidRPr="004622EC">
              <w:rPr>
                <w:rFonts w:eastAsia="Times New Roman" w:cs="Arial"/>
                <w:b/>
                <w:bCs/>
                <w:color w:val="000000"/>
                <w:sz w:val="20"/>
                <w:szCs w:val="20"/>
              </w:rPr>
              <w:t>%</w:t>
            </w:r>
          </w:p>
        </w:tc>
        <w:tc>
          <w:tcPr>
            <w:tcW w:w="1448" w:type="dxa"/>
            <w:tcBorders>
              <w:top w:val="nil"/>
              <w:left w:val="nil"/>
              <w:bottom w:val="single" w:sz="4" w:space="0" w:color="auto"/>
              <w:right w:val="single" w:sz="4" w:space="0" w:color="auto"/>
            </w:tcBorders>
            <w:shd w:val="clear" w:color="auto" w:fill="auto"/>
            <w:vAlign w:val="center"/>
            <w:hideMark/>
          </w:tcPr>
          <w:p w14:paraId="2A48628C" w14:textId="77777777" w:rsidR="009223CD" w:rsidRPr="004622EC" w:rsidRDefault="00856DB9" w:rsidP="00A008C4">
            <w:pPr>
              <w:jc w:val="center"/>
              <w:rPr>
                <w:rFonts w:eastAsia="Times New Roman" w:cs="Arial"/>
                <w:color w:val="000000"/>
                <w:sz w:val="20"/>
                <w:szCs w:val="20"/>
              </w:rPr>
            </w:pPr>
            <w:r w:rsidRPr="004622EC">
              <w:rPr>
                <w:rFonts w:eastAsia="Times New Roman" w:cs="Arial"/>
                <w:color w:val="000000"/>
                <w:sz w:val="20"/>
                <w:szCs w:val="20"/>
              </w:rPr>
              <w:t>60</w:t>
            </w:r>
          </w:p>
        </w:tc>
        <w:tc>
          <w:tcPr>
            <w:tcW w:w="1440" w:type="dxa"/>
            <w:tcBorders>
              <w:top w:val="nil"/>
              <w:left w:val="nil"/>
              <w:bottom w:val="single" w:sz="4" w:space="0" w:color="auto"/>
              <w:right w:val="single" w:sz="4" w:space="0" w:color="auto"/>
            </w:tcBorders>
            <w:shd w:val="clear" w:color="auto" w:fill="auto"/>
            <w:vAlign w:val="center"/>
            <w:hideMark/>
          </w:tcPr>
          <w:p w14:paraId="35F94E41" w14:textId="77777777" w:rsidR="009223CD" w:rsidRPr="004622EC" w:rsidRDefault="00856DB9" w:rsidP="00A008C4">
            <w:pPr>
              <w:jc w:val="center"/>
              <w:rPr>
                <w:rFonts w:eastAsia="Times New Roman" w:cs="Arial"/>
                <w:sz w:val="20"/>
                <w:szCs w:val="20"/>
              </w:rPr>
            </w:pPr>
            <w:r w:rsidRPr="004622EC">
              <w:rPr>
                <w:rFonts w:eastAsia="Times New Roman" w:cs="Arial"/>
                <w:sz w:val="20"/>
                <w:szCs w:val="20"/>
              </w:rPr>
              <w:t>C</w:t>
            </w:r>
          </w:p>
        </w:tc>
        <w:tc>
          <w:tcPr>
            <w:tcW w:w="3557" w:type="dxa"/>
            <w:tcBorders>
              <w:top w:val="nil"/>
              <w:left w:val="nil"/>
              <w:bottom w:val="single" w:sz="4" w:space="0" w:color="auto"/>
              <w:right w:val="single" w:sz="4" w:space="0" w:color="auto"/>
            </w:tcBorders>
            <w:shd w:val="clear" w:color="auto" w:fill="auto"/>
            <w:vAlign w:val="center"/>
            <w:hideMark/>
          </w:tcPr>
          <w:p w14:paraId="383BF2B3" w14:textId="77777777" w:rsidR="009223CD" w:rsidRPr="004622EC" w:rsidRDefault="00856DB9" w:rsidP="00A008C4">
            <w:pPr>
              <w:rPr>
                <w:rFonts w:eastAsia="Times New Roman" w:cs="Arial"/>
                <w:i/>
                <w:iCs/>
                <w:sz w:val="20"/>
                <w:szCs w:val="20"/>
              </w:rPr>
            </w:pPr>
            <w:r w:rsidRPr="004622EC">
              <w:rPr>
                <w:rFonts w:eastAsia="Times New Roman" w:cs="Arial"/>
                <w:i/>
                <w:iCs/>
                <w:sz w:val="20"/>
                <w:szCs w:val="20"/>
              </w:rPr>
              <w:t>Assumption</w:t>
            </w:r>
          </w:p>
        </w:tc>
      </w:tr>
      <w:tr w:rsidR="009223CD" w:rsidRPr="004323C3" w14:paraId="500B93E9" w14:textId="77777777" w:rsidTr="004622EC">
        <w:trPr>
          <w:trHeight w:val="332"/>
        </w:trPr>
        <w:tc>
          <w:tcPr>
            <w:tcW w:w="2766" w:type="dxa"/>
            <w:tcBorders>
              <w:top w:val="nil"/>
              <w:left w:val="single" w:sz="4" w:space="0" w:color="auto"/>
              <w:bottom w:val="single" w:sz="4" w:space="0" w:color="auto"/>
              <w:right w:val="single" w:sz="4" w:space="0" w:color="auto"/>
            </w:tcBorders>
            <w:shd w:val="clear" w:color="000000" w:fill="D9D9D9"/>
            <w:vAlign w:val="center"/>
            <w:hideMark/>
          </w:tcPr>
          <w:p w14:paraId="4FFD954C" w14:textId="30FA6AC5" w:rsidR="009223CD" w:rsidRPr="004622EC" w:rsidRDefault="007561B2" w:rsidP="00170499">
            <w:pPr>
              <w:rPr>
                <w:rFonts w:eastAsia="Times New Roman" w:cs="Arial"/>
                <w:color w:val="000000"/>
                <w:sz w:val="20"/>
                <w:szCs w:val="20"/>
              </w:rPr>
            </w:pPr>
            <w:r>
              <w:rPr>
                <w:szCs w:val="22"/>
              </w:rPr>
              <w:t>Consequential</w:t>
            </w:r>
            <w:r w:rsidR="00856DB9" w:rsidRPr="004622EC">
              <w:rPr>
                <w:rFonts w:eastAsia="Times New Roman" w:cs="Arial"/>
                <w:color w:val="000000"/>
                <w:sz w:val="20"/>
                <w:szCs w:val="20"/>
              </w:rPr>
              <w:t xml:space="preserve"> top-down estimate</w:t>
            </w:r>
          </w:p>
        </w:tc>
        <w:tc>
          <w:tcPr>
            <w:tcW w:w="0" w:type="auto"/>
            <w:tcBorders>
              <w:top w:val="nil"/>
              <w:left w:val="nil"/>
              <w:bottom w:val="single" w:sz="4" w:space="0" w:color="auto"/>
              <w:right w:val="single" w:sz="4" w:space="0" w:color="auto"/>
            </w:tcBorders>
            <w:shd w:val="clear" w:color="auto" w:fill="auto"/>
            <w:vAlign w:val="center"/>
            <w:hideMark/>
          </w:tcPr>
          <w:p w14:paraId="4E556D22" w14:textId="77777777" w:rsidR="009223CD" w:rsidRPr="004622EC" w:rsidRDefault="009223CD" w:rsidP="00856DB9">
            <w:pPr>
              <w:jc w:val="center"/>
              <w:rPr>
                <w:rFonts w:eastAsia="Times New Roman" w:cs="Arial"/>
                <w:color w:val="000000"/>
                <w:sz w:val="20"/>
                <w:szCs w:val="20"/>
              </w:rPr>
            </w:pPr>
            <w:r w:rsidRPr="004622EC">
              <w:rPr>
                <w:rFonts w:eastAsia="Times New Roman" w:cs="Arial"/>
                <w:color w:val="000000"/>
                <w:sz w:val="20"/>
                <w:szCs w:val="20"/>
              </w:rPr>
              <w:t>tonnes CO2eq</w:t>
            </w:r>
          </w:p>
        </w:tc>
        <w:tc>
          <w:tcPr>
            <w:tcW w:w="1448" w:type="dxa"/>
            <w:tcBorders>
              <w:top w:val="nil"/>
              <w:left w:val="nil"/>
              <w:bottom w:val="single" w:sz="4" w:space="0" w:color="auto"/>
              <w:right w:val="single" w:sz="4" w:space="0" w:color="auto"/>
            </w:tcBorders>
            <w:shd w:val="clear" w:color="auto" w:fill="auto"/>
            <w:vAlign w:val="center"/>
            <w:hideMark/>
          </w:tcPr>
          <w:p w14:paraId="3E489A1A" w14:textId="77777777" w:rsidR="009223CD" w:rsidRPr="004622EC" w:rsidRDefault="00170499" w:rsidP="00856DB9">
            <w:pPr>
              <w:jc w:val="center"/>
              <w:rPr>
                <w:rFonts w:eastAsia="Times New Roman" w:cs="Arial"/>
                <w:color w:val="000000"/>
                <w:sz w:val="20"/>
                <w:szCs w:val="20"/>
              </w:rPr>
            </w:pPr>
            <w:r>
              <w:rPr>
                <w:rFonts w:eastAsia="Times New Roman" w:cs="Arial"/>
                <w:color w:val="000000"/>
                <w:sz w:val="20"/>
                <w:szCs w:val="20"/>
              </w:rPr>
              <w:t>8,021,400</w:t>
            </w:r>
            <w:r w:rsidR="00856DB9" w:rsidRPr="004622EC">
              <w:rPr>
                <w:rFonts w:eastAsia="Times New Roman" w:cs="Arial"/>
                <w:color w:val="000000"/>
                <w:sz w:val="20"/>
                <w:szCs w:val="20"/>
              </w:rPr>
              <w:t xml:space="preserve"> </w:t>
            </w:r>
          </w:p>
        </w:tc>
        <w:tc>
          <w:tcPr>
            <w:tcW w:w="1440" w:type="dxa"/>
            <w:tcBorders>
              <w:top w:val="nil"/>
              <w:left w:val="nil"/>
              <w:bottom w:val="single" w:sz="4" w:space="0" w:color="auto"/>
              <w:right w:val="single" w:sz="4" w:space="0" w:color="auto"/>
            </w:tcBorders>
            <w:shd w:val="clear" w:color="auto" w:fill="auto"/>
            <w:vAlign w:val="center"/>
            <w:hideMark/>
          </w:tcPr>
          <w:p w14:paraId="024CAEBE" w14:textId="77777777" w:rsidR="009223CD" w:rsidRPr="004622EC" w:rsidRDefault="00856DB9" w:rsidP="00856DB9">
            <w:pPr>
              <w:jc w:val="center"/>
              <w:rPr>
                <w:rFonts w:eastAsia="Times New Roman" w:cs="Arial"/>
                <w:color w:val="000000"/>
                <w:sz w:val="20"/>
                <w:szCs w:val="20"/>
              </w:rPr>
            </w:pPr>
            <w:r w:rsidRPr="004622EC">
              <w:rPr>
                <w:rFonts w:eastAsia="Times New Roman" w:cs="Arial"/>
                <w:color w:val="000000"/>
                <w:sz w:val="20"/>
                <w:szCs w:val="20"/>
              </w:rPr>
              <w:t>D</w:t>
            </w:r>
            <w:r w:rsidR="009223CD" w:rsidRPr="004622EC">
              <w:rPr>
                <w:rFonts w:eastAsia="Times New Roman" w:cs="Arial"/>
                <w:color w:val="000000"/>
                <w:sz w:val="20"/>
                <w:szCs w:val="20"/>
              </w:rPr>
              <w:t xml:space="preserve"> = </w:t>
            </w:r>
            <w:r w:rsidRPr="004622EC">
              <w:rPr>
                <w:rFonts w:eastAsia="Times New Roman" w:cs="Arial"/>
                <w:color w:val="000000"/>
                <w:sz w:val="20"/>
                <w:szCs w:val="20"/>
              </w:rPr>
              <w:t>A x B x C</w:t>
            </w:r>
          </w:p>
        </w:tc>
        <w:tc>
          <w:tcPr>
            <w:tcW w:w="3557" w:type="dxa"/>
            <w:tcBorders>
              <w:top w:val="nil"/>
              <w:left w:val="nil"/>
              <w:bottom w:val="single" w:sz="4" w:space="0" w:color="auto"/>
              <w:right w:val="single" w:sz="4" w:space="0" w:color="auto"/>
            </w:tcBorders>
            <w:shd w:val="clear" w:color="auto" w:fill="auto"/>
            <w:vAlign w:val="center"/>
            <w:hideMark/>
          </w:tcPr>
          <w:p w14:paraId="52D85396" w14:textId="77777777" w:rsidR="009223CD" w:rsidRPr="004622EC" w:rsidRDefault="009223CD" w:rsidP="00856DB9">
            <w:pPr>
              <w:rPr>
                <w:rFonts w:eastAsia="Times New Roman" w:cs="Arial"/>
                <w:color w:val="000000"/>
                <w:sz w:val="20"/>
                <w:szCs w:val="20"/>
              </w:rPr>
            </w:pPr>
            <w:r w:rsidRPr="004622EC">
              <w:rPr>
                <w:rFonts w:eastAsia="Times New Roman" w:cs="Arial"/>
                <w:color w:val="000000"/>
                <w:sz w:val="20"/>
                <w:szCs w:val="20"/>
              </w:rPr>
              <w:t>Calculated</w:t>
            </w:r>
          </w:p>
        </w:tc>
      </w:tr>
    </w:tbl>
    <w:p w14:paraId="67362A22" w14:textId="77777777" w:rsidR="00E10B1F" w:rsidRDefault="00E10B1F">
      <w:pPr>
        <w:rPr>
          <w:szCs w:val="22"/>
        </w:rPr>
      </w:pPr>
      <w:r>
        <w:rPr>
          <w:szCs w:val="22"/>
        </w:rPr>
        <w:br w:type="page"/>
      </w:r>
    </w:p>
    <w:p w14:paraId="23FB480C" w14:textId="77777777" w:rsidR="003A0D2D" w:rsidRPr="004622EC" w:rsidRDefault="00E10B1F" w:rsidP="004622EC">
      <w:pPr>
        <w:pStyle w:val="2"/>
        <w:numPr>
          <w:ilvl w:val="0"/>
          <w:numId w:val="0"/>
        </w:numPr>
        <w:rPr>
          <w:rFonts w:asciiTheme="majorHAnsi" w:hAnsiTheme="majorHAnsi"/>
        </w:rPr>
      </w:pPr>
      <w:bookmarkStart w:id="160" w:name="_Ref337734853"/>
      <w:bookmarkStart w:id="161" w:name="_Toc479693904"/>
      <w:r w:rsidRPr="004622EC">
        <w:rPr>
          <w:rFonts w:asciiTheme="majorHAnsi" w:hAnsiTheme="majorHAnsi"/>
        </w:rPr>
        <w:t xml:space="preserve">Annex </w:t>
      </w:r>
      <w:r w:rsidR="00CC7279">
        <w:rPr>
          <w:rFonts w:asciiTheme="majorHAnsi" w:hAnsiTheme="majorHAnsi"/>
        </w:rPr>
        <w:t>N</w:t>
      </w:r>
      <w:r w:rsidRPr="004622EC">
        <w:rPr>
          <w:rFonts w:asciiTheme="majorHAnsi" w:hAnsiTheme="majorHAnsi"/>
        </w:rPr>
        <w:t xml:space="preserve">. Stakeholder </w:t>
      </w:r>
      <w:r w:rsidR="00E12602">
        <w:rPr>
          <w:rFonts w:asciiTheme="majorHAnsi" w:hAnsiTheme="majorHAnsi"/>
        </w:rPr>
        <w:t>A</w:t>
      </w:r>
      <w:r w:rsidRPr="004622EC">
        <w:rPr>
          <w:rFonts w:asciiTheme="majorHAnsi" w:hAnsiTheme="majorHAnsi"/>
        </w:rPr>
        <w:t>nalysis</w:t>
      </w:r>
      <w:bookmarkEnd w:id="160"/>
      <w:bookmarkEnd w:id="161"/>
    </w:p>
    <w:tbl>
      <w:tblPr>
        <w:tblStyle w:val="af7"/>
        <w:tblW w:w="0" w:type="auto"/>
        <w:tblLook w:val="04A0" w:firstRow="1" w:lastRow="0" w:firstColumn="1" w:lastColumn="0" w:noHBand="0" w:noVBand="1"/>
      </w:tblPr>
      <w:tblGrid>
        <w:gridCol w:w="659"/>
        <w:gridCol w:w="1819"/>
        <w:gridCol w:w="7972"/>
      </w:tblGrid>
      <w:tr w:rsidR="00010EE2" w:rsidRPr="004323C3" w14:paraId="258E523B" w14:textId="77777777" w:rsidTr="00EF15C9">
        <w:tc>
          <w:tcPr>
            <w:tcW w:w="675" w:type="dxa"/>
            <w:vMerge w:val="restart"/>
            <w:textDirection w:val="btLr"/>
          </w:tcPr>
          <w:p w14:paraId="7A07CB33" w14:textId="77777777" w:rsidR="00010EE2" w:rsidRPr="004622EC" w:rsidRDefault="00010EE2">
            <w:pPr>
              <w:ind w:right="113"/>
              <w:jc w:val="center"/>
              <w:rPr>
                <w:b/>
                <w:sz w:val="20"/>
                <w:szCs w:val="20"/>
              </w:rPr>
            </w:pPr>
            <w:r w:rsidRPr="004622EC">
              <w:rPr>
                <w:b/>
                <w:sz w:val="20"/>
                <w:szCs w:val="20"/>
              </w:rPr>
              <w:t>Governmental organisations</w:t>
            </w:r>
          </w:p>
        </w:tc>
        <w:tc>
          <w:tcPr>
            <w:tcW w:w="1843" w:type="dxa"/>
          </w:tcPr>
          <w:p w14:paraId="180B5160" w14:textId="77777777" w:rsidR="00010EE2" w:rsidRPr="004622EC" w:rsidRDefault="00010EE2">
            <w:pPr>
              <w:rPr>
                <w:b/>
                <w:sz w:val="20"/>
                <w:szCs w:val="20"/>
              </w:rPr>
            </w:pPr>
            <w:r w:rsidRPr="004622EC">
              <w:rPr>
                <w:b/>
                <w:sz w:val="20"/>
                <w:szCs w:val="20"/>
              </w:rPr>
              <w:t>Ministry of Energy</w:t>
            </w:r>
          </w:p>
        </w:tc>
        <w:tc>
          <w:tcPr>
            <w:tcW w:w="8498" w:type="dxa"/>
          </w:tcPr>
          <w:p w14:paraId="053D8E72" w14:textId="77777777" w:rsidR="00010EE2" w:rsidRPr="004622EC" w:rsidRDefault="00010EE2">
            <w:pPr>
              <w:rPr>
                <w:sz w:val="20"/>
                <w:szCs w:val="20"/>
              </w:rPr>
            </w:pPr>
            <w:r w:rsidRPr="004622EC">
              <w:rPr>
                <w:rFonts w:eastAsia="Times New Roman"/>
                <w:color w:val="000000"/>
                <w:sz w:val="20"/>
                <w:szCs w:val="20"/>
              </w:rPr>
              <w:t>It is the central executive body responsible for development and implementation of state policies, coordination of management process in the areas of energy, including development of renewable energy, control over state development policies of "green economy”, and the Renewable Energy Transfers Programmes. Our local expert team includes experts with experience and a positive reputation with the Ministry, and this will facilitate collaboration.</w:t>
            </w:r>
          </w:p>
        </w:tc>
      </w:tr>
      <w:tr w:rsidR="00010EE2" w:rsidRPr="004323C3" w14:paraId="600F557A" w14:textId="77777777" w:rsidTr="00EF15C9">
        <w:tc>
          <w:tcPr>
            <w:tcW w:w="675" w:type="dxa"/>
            <w:vMerge/>
          </w:tcPr>
          <w:p w14:paraId="5FF5585B" w14:textId="77777777" w:rsidR="00010EE2" w:rsidRPr="004622EC" w:rsidRDefault="00010EE2">
            <w:pPr>
              <w:rPr>
                <w:b/>
                <w:sz w:val="20"/>
                <w:szCs w:val="20"/>
              </w:rPr>
            </w:pPr>
          </w:p>
        </w:tc>
        <w:tc>
          <w:tcPr>
            <w:tcW w:w="1843" w:type="dxa"/>
          </w:tcPr>
          <w:p w14:paraId="624B7A5E" w14:textId="77777777" w:rsidR="00010EE2" w:rsidRPr="004622EC" w:rsidRDefault="00010EE2">
            <w:pPr>
              <w:rPr>
                <w:b/>
                <w:sz w:val="20"/>
                <w:szCs w:val="20"/>
              </w:rPr>
            </w:pPr>
            <w:r w:rsidRPr="004622EC">
              <w:rPr>
                <w:b/>
                <w:sz w:val="20"/>
                <w:szCs w:val="20"/>
              </w:rPr>
              <w:t>Ministry of Agriculture</w:t>
            </w:r>
          </w:p>
        </w:tc>
        <w:tc>
          <w:tcPr>
            <w:tcW w:w="8498" w:type="dxa"/>
          </w:tcPr>
          <w:p w14:paraId="04A243CA" w14:textId="52A4363F" w:rsidR="00010EE2" w:rsidRPr="004622EC" w:rsidRDefault="00010EE2" w:rsidP="00285619">
            <w:pPr>
              <w:rPr>
                <w:sz w:val="20"/>
                <w:szCs w:val="20"/>
              </w:rPr>
            </w:pPr>
            <w:r w:rsidRPr="004622EC">
              <w:rPr>
                <w:rFonts w:eastAsia="Times New Roman"/>
                <w:color w:val="000000"/>
                <w:sz w:val="20"/>
                <w:szCs w:val="20"/>
              </w:rPr>
              <w:t>It is the central executive body responsible for formation and implementation of agricultural and regional policy and strategic planning. The project that will be designed will work with the Ministry and will incorporate and build on its State Programme on Water Supply to Farming Communities for renewable energy applicat</w:t>
            </w:r>
            <w:r w:rsidR="00285619">
              <w:rPr>
                <w:rFonts w:eastAsia="Times New Roman"/>
                <w:color w:val="000000"/>
                <w:sz w:val="20"/>
                <w:szCs w:val="20"/>
              </w:rPr>
              <w:t>ions in the agricultural sector</w:t>
            </w:r>
            <w:r w:rsidRPr="004622EC">
              <w:rPr>
                <w:rFonts w:eastAsia="Times New Roman"/>
                <w:color w:val="000000"/>
                <w:sz w:val="20"/>
                <w:szCs w:val="20"/>
              </w:rPr>
              <w:t>.</w:t>
            </w:r>
          </w:p>
        </w:tc>
      </w:tr>
      <w:tr w:rsidR="00010EE2" w:rsidRPr="004323C3" w14:paraId="63AC0DA8" w14:textId="77777777" w:rsidTr="00EF15C9">
        <w:tc>
          <w:tcPr>
            <w:tcW w:w="675" w:type="dxa"/>
            <w:vMerge/>
          </w:tcPr>
          <w:p w14:paraId="474F12E5" w14:textId="77777777" w:rsidR="00010EE2" w:rsidRPr="004622EC" w:rsidRDefault="00010EE2">
            <w:pPr>
              <w:rPr>
                <w:b/>
                <w:sz w:val="20"/>
                <w:szCs w:val="20"/>
              </w:rPr>
            </w:pPr>
          </w:p>
        </w:tc>
        <w:tc>
          <w:tcPr>
            <w:tcW w:w="1843" w:type="dxa"/>
          </w:tcPr>
          <w:p w14:paraId="3F94B269" w14:textId="77777777" w:rsidR="00010EE2" w:rsidRPr="004622EC" w:rsidRDefault="00010EE2">
            <w:pPr>
              <w:rPr>
                <w:b/>
                <w:sz w:val="20"/>
                <w:szCs w:val="20"/>
              </w:rPr>
            </w:pPr>
            <w:r w:rsidRPr="004622EC">
              <w:rPr>
                <w:b/>
                <w:sz w:val="20"/>
                <w:szCs w:val="20"/>
              </w:rPr>
              <w:t>Ministry of Industry and New Technologies</w:t>
            </w:r>
          </w:p>
        </w:tc>
        <w:tc>
          <w:tcPr>
            <w:tcW w:w="8498" w:type="dxa"/>
          </w:tcPr>
          <w:p w14:paraId="468D2A1B" w14:textId="77777777" w:rsidR="00010EE2" w:rsidRPr="004622EC" w:rsidRDefault="00010EE2" w:rsidP="004622EC">
            <w:pPr>
              <w:rPr>
                <w:sz w:val="20"/>
                <w:szCs w:val="20"/>
              </w:rPr>
            </w:pPr>
            <w:r w:rsidRPr="004622EC">
              <w:rPr>
                <w:sz w:val="20"/>
                <w:szCs w:val="20"/>
              </w:rPr>
              <w:t>Manages energy saving and energy efficiency policy and approves feasibility studies for planned renewable energy projects.</w:t>
            </w:r>
          </w:p>
          <w:p w14:paraId="30951DFC" w14:textId="77777777" w:rsidR="00010EE2" w:rsidRPr="004622EC" w:rsidRDefault="00010EE2">
            <w:pPr>
              <w:rPr>
                <w:rFonts w:eastAsia="Times New Roman"/>
                <w:color w:val="000000"/>
                <w:sz w:val="20"/>
                <w:szCs w:val="20"/>
              </w:rPr>
            </w:pPr>
          </w:p>
        </w:tc>
      </w:tr>
      <w:tr w:rsidR="00010EE2" w:rsidRPr="004323C3" w14:paraId="7DDBDAC0" w14:textId="77777777" w:rsidTr="00EF15C9">
        <w:tc>
          <w:tcPr>
            <w:tcW w:w="675" w:type="dxa"/>
            <w:vMerge/>
          </w:tcPr>
          <w:p w14:paraId="5A94E050" w14:textId="77777777" w:rsidR="00010EE2" w:rsidRPr="004622EC" w:rsidRDefault="00010EE2">
            <w:pPr>
              <w:rPr>
                <w:b/>
                <w:sz w:val="20"/>
                <w:szCs w:val="20"/>
              </w:rPr>
            </w:pPr>
          </w:p>
        </w:tc>
        <w:tc>
          <w:tcPr>
            <w:tcW w:w="1843" w:type="dxa"/>
          </w:tcPr>
          <w:p w14:paraId="1C6E47B0" w14:textId="77777777" w:rsidR="00010EE2" w:rsidRPr="004622EC" w:rsidRDefault="00010EE2">
            <w:pPr>
              <w:rPr>
                <w:b/>
                <w:sz w:val="20"/>
                <w:szCs w:val="20"/>
              </w:rPr>
            </w:pPr>
            <w:r w:rsidRPr="004622EC">
              <w:rPr>
                <w:b/>
                <w:sz w:val="20"/>
                <w:szCs w:val="20"/>
              </w:rPr>
              <w:t>Agency of the Republic of Kazakhstan on Regulation of Natural Monopolies ANMR</w:t>
            </w:r>
          </w:p>
        </w:tc>
        <w:tc>
          <w:tcPr>
            <w:tcW w:w="8498" w:type="dxa"/>
          </w:tcPr>
          <w:p w14:paraId="4DC0F09F" w14:textId="77777777" w:rsidR="00010EE2" w:rsidRPr="004622EC" w:rsidRDefault="00010EE2" w:rsidP="004622EC">
            <w:pPr>
              <w:rPr>
                <w:sz w:val="20"/>
                <w:szCs w:val="20"/>
              </w:rPr>
            </w:pPr>
            <w:r w:rsidRPr="004622EC">
              <w:rPr>
                <w:sz w:val="20"/>
                <w:szCs w:val="20"/>
              </w:rPr>
              <w:t>The company is responsible for state regulation of activity of natural monopolies and prices of goods (works, services) on regulated markets. ANMR is a regulatory body that sets tariffs.</w:t>
            </w:r>
          </w:p>
        </w:tc>
      </w:tr>
      <w:tr w:rsidR="00010EE2" w:rsidRPr="004323C3" w14:paraId="406C8FF7" w14:textId="77777777" w:rsidTr="00EF15C9">
        <w:tc>
          <w:tcPr>
            <w:tcW w:w="675" w:type="dxa"/>
            <w:vMerge/>
          </w:tcPr>
          <w:p w14:paraId="7663F387" w14:textId="77777777" w:rsidR="00010EE2" w:rsidRPr="004622EC" w:rsidRDefault="00010EE2">
            <w:pPr>
              <w:rPr>
                <w:b/>
                <w:sz w:val="20"/>
                <w:szCs w:val="20"/>
              </w:rPr>
            </w:pPr>
          </w:p>
        </w:tc>
        <w:tc>
          <w:tcPr>
            <w:tcW w:w="1843" w:type="dxa"/>
          </w:tcPr>
          <w:p w14:paraId="738284F1" w14:textId="77777777" w:rsidR="00010EE2" w:rsidRPr="004622EC" w:rsidRDefault="00010EE2">
            <w:pPr>
              <w:rPr>
                <w:b/>
                <w:sz w:val="20"/>
                <w:szCs w:val="20"/>
              </w:rPr>
            </w:pPr>
            <w:r w:rsidRPr="004622EC">
              <w:rPr>
                <w:b/>
                <w:sz w:val="20"/>
                <w:szCs w:val="20"/>
              </w:rPr>
              <w:t>Invest in Kazakhstan</w:t>
            </w:r>
          </w:p>
        </w:tc>
        <w:tc>
          <w:tcPr>
            <w:tcW w:w="8498" w:type="dxa"/>
          </w:tcPr>
          <w:p w14:paraId="7132F7FA" w14:textId="77777777" w:rsidR="00010EE2" w:rsidRPr="004622EC" w:rsidRDefault="00010EE2" w:rsidP="004622EC">
            <w:pPr>
              <w:rPr>
                <w:sz w:val="20"/>
                <w:szCs w:val="20"/>
              </w:rPr>
            </w:pPr>
            <w:r w:rsidRPr="004622EC">
              <w:rPr>
                <w:sz w:val="20"/>
                <w:szCs w:val="20"/>
              </w:rPr>
              <w:t>State investment agency responsible for attracting and consulting with foreign investors.</w:t>
            </w:r>
          </w:p>
          <w:p w14:paraId="4B601759" w14:textId="77777777" w:rsidR="00010EE2" w:rsidRPr="004622EC" w:rsidRDefault="00010EE2" w:rsidP="004622EC">
            <w:pPr>
              <w:rPr>
                <w:sz w:val="20"/>
                <w:szCs w:val="20"/>
              </w:rPr>
            </w:pPr>
          </w:p>
        </w:tc>
      </w:tr>
      <w:tr w:rsidR="00010EE2" w:rsidRPr="004323C3" w14:paraId="28A6793D" w14:textId="77777777" w:rsidTr="00EF15C9">
        <w:trPr>
          <w:trHeight w:val="953"/>
        </w:trPr>
        <w:tc>
          <w:tcPr>
            <w:tcW w:w="675" w:type="dxa"/>
            <w:vMerge/>
          </w:tcPr>
          <w:p w14:paraId="1FDBE062" w14:textId="77777777" w:rsidR="00010EE2" w:rsidRPr="004622EC" w:rsidRDefault="00010EE2">
            <w:pPr>
              <w:rPr>
                <w:b/>
                <w:sz w:val="20"/>
                <w:szCs w:val="20"/>
              </w:rPr>
            </w:pPr>
          </w:p>
        </w:tc>
        <w:tc>
          <w:tcPr>
            <w:tcW w:w="1843" w:type="dxa"/>
          </w:tcPr>
          <w:p w14:paraId="513BC76C" w14:textId="77777777" w:rsidR="00010EE2" w:rsidRPr="004622EC" w:rsidRDefault="00010EE2">
            <w:pPr>
              <w:rPr>
                <w:b/>
                <w:sz w:val="20"/>
                <w:szCs w:val="20"/>
              </w:rPr>
            </w:pPr>
            <w:r w:rsidRPr="004622EC">
              <w:rPr>
                <w:b/>
                <w:sz w:val="20"/>
                <w:szCs w:val="20"/>
              </w:rPr>
              <w:t>KEGOC</w:t>
            </w:r>
          </w:p>
        </w:tc>
        <w:tc>
          <w:tcPr>
            <w:tcW w:w="8498" w:type="dxa"/>
          </w:tcPr>
          <w:p w14:paraId="7D5E606F" w14:textId="77777777" w:rsidR="00010EE2" w:rsidRPr="004622EC" w:rsidRDefault="00010EE2" w:rsidP="004622EC">
            <w:pPr>
              <w:rPr>
                <w:sz w:val="20"/>
                <w:szCs w:val="20"/>
              </w:rPr>
            </w:pPr>
            <w:r w:rsidRPr="004622EC">
              <w:rPr>
                <w:rFonts w:eastAsia="Times New Roman"/>
                <w:color w:val="000000"/>
                <w:sz w:val="20"/>
                <w:szCs w:val="20"/>
              </w:rPr>
              <w:t xml:space="preserve">The company performs the functions </w:t>
            </w:r>
            <w:r w:rsidR="00C953AA" w:rsidRPr="002B343A">
              <w:rPr>
                <w:rFonts w:eastAsia="Times New Roman"/>
                <w:color w:val="000000"/>
                <w:sz w:val="20"/>
                <w:szCs w:val="20"/>
              </w:rPr>
              <w:t>of the</w:t>
            </w:r>
            <w:r w:rsidRPr="004622EC">
              <w:rPr>
                <w:rFonts w:eastAsia="Times New Roman"/>
                <w:color w:val="000000"/>
                <w:sz w:val="20"/>
                <w:szCs w:val="20"/>
              </w:rPr>
              <w:t xml:space="preserve"> System Operator. It manages and operates the national grid</w:t>
            </w:r>
            <w:r w:rsidRPr="004622EC">
              <w:rPr>
                <w:rFonts w:ascii="MS Mincho" w:eastAsia="MS Mincho" w:hAnsi="MS Mincho" w:cs="MS Mincho"/>
                <w:color w:val="000000"/>
                <w:sz w:val="20"/>
                <w:szCs w:val="20"/>
              </w:rPr>
              <w:t> </w:t>
            </w:r>
            <w:r w:rsidRPr="004622EC">
              <w:rPr>
                <w:rFonts w:eastAsia="Times New Roman"/>
                <w:color w:val="000000"/>
                <w:sz w:val="20"/>
                <w:szCs w:val="20"/>
              </w:rPr>
              <w:t>- 45 regional electricity generating companies operate in Kazakhstan. The company also operates the Settlement Centre established to purchase power produced by IPP of RES.</w:t>
            </w:r>
            <w:r w:rsidRPr="004622EC">
              <w:rPr>
                <w:sz w:val="20"/>
                <w:szCs w:val="20"/>
              </w:rPr>
              <w:t xml:space="preserve"> </w:t>
            </w:r>
          </w:p>
        </w:tc>
      </w:tr>
      <w:tr w:rsidR="00010EE2" w:rsidRPr="004323C3" w14:paraId="3B385EF5" w14:textId="77777777" w:rsidTr="00EF15C9">
        <w:trPr>
          <w:trHeight w:val="953"/>
        </w:trPr>
        <w:tc>
          <w:tcPr>
            <w:tcW w:w="675" w:type="dxa"/>
            <w:vMerge/>
          </w:tcPr>
          <w:p w14:paraId="1585D6D4" w14:textId="77777777" w:rsidR="00010EE2" w:rsidRPr="004622EC" w:rsidRDefault="00010EE2">
            <w:pPr>
              <w:rPr>
                <w:b/>
                <w:sz w:val="20"/>
                <w:szCs w:val="20"/>
              </w:rPr>
            </w:pPr>
          </w:p>
        </w:tc>
        <w:tc>
          <w:tcPr>
            <w:tcW w:w="1843" w:type="dxa"/>
          </w:tcPr>
          <w:p w14:paraId="4A8F494C" w14:textId="77777777" w:rsidR="00010EE2" w:rsidRPr="004622EC" w:rsidRDefault="00010EE2">
            <w:pPr>
              <w:rPr>
                <w:b/>
                <w:sz w:val="20"/>
                <w:szCs w:val="20"/>
              </w:rPr>
            </w:pPr>
            <w:r w:rsidRPr="004622EC">
              <w:rPr>
                <w:b/>
                <w:sz w:val="20"/>
                <w:szCs w:val="20"/>
              </w:rPr>
              <w:t>Samruk Kazyna</w:t>
            </w:r>
          </w:p>
        </w:tc>
        <w:tc>
          <w:tcPr>
            <w:tcW w:w="8498" w:type="dxa"/>
          </w:tcPr>
          <w:p w14:paraId="75FBD0FB" w14:textId="77777777" w:rsidR="00010EE2" w:rsidRPr="004622EC" w:rsidRDefault="00010EE2" w:rsidP="004622EC">
            <w:pPr>
              <w:rPr>
                <w:rFonts w:eastAsia="Times New Roman"/>
                <w:color w:val="000000"/>
                <w:sz w:val="20"/>
                <w:szCs w:val="20"/>
              </w:rPr>
            </w:pPr>
            <w:r w:rsidRPr="004622EC">
              <w:rPr>
                <w:rFonts w:eastAsia="Times New Roman"/>
                <w:color w:val="000000"/>
                <w:sz w:val="20"/>
                <w:szCs w:val="20"/>
              </w:rPr>
              <w:t xml:space="preserve">The Sovereign Wealth Fund «Samruk-Kazyna» was founded by merge of two joint stock companies Kazakhstan Holding for the Management of State Assets SAMRUK and KAZYNA Sustainable Development Fund. Key Objectives of Samruk-Kazyna are: to develop and ensure implementation of regional, national and international investment projects; to support regional development and implementation of social projects; to support national producers. Samruk Kazyna also provides funding for the Settlement Centre. </w:t>
            </w:r>
          </w:p>
          <w:p w14:paraId="588D2E5C" w14:textId="77777777" w:rsidR="00010EE2" w:rsidRPr="004622EC" w:rsidRDefault="00010EE2" w:rsidP="004622EC">
            <w:pPr>
              <w:rPr>
                <w:rFonts w:eastAsia="Times New Roman"/>
                <w:color w:val="000000"/>
                <w:sz w:val="20"/>
                <w:szCs w:val="20"/>
              </w:rPr>
            </w:pPr>
          </w:p>
        </w:tc>
      </w:tr>
      <w:tr w:rsidR="00010EE2" w:rsidRPr="004323C3" w14:paraId="2EE1F350" w14:textId="77777777" w:rsidTr="00EF15C9">
        <w:trPr>
          <w:trHeight w:val="953"/>
        </w:trPr>
        <w:tc>
          <w:tcPr>
            <w:tcW w:w="675" w:type="dxa"/>
            <w:vMerge/>
          </w:tcPr>
          <w:p w14:paraId="7C9FA72E" w14:textId="77777777" w:rsidR="00010EE2" w:rsidRPr="004622EC" w:rsidRDefault="00010EE2">
            <w:pPr>
              <w:rPr>
                <w:b/>
                <w:sz w:val="20"/>
                <w:szCs w:val="20"/>
              </w:rPr>
            </w:pPr>
          </w:p>
        </w:tc>
        <w:tc>
          <w:tcPr>
            <w:tcW w:w="1843" w:type="dxa"/>
          </w:tcPr>
          <w:p w14:paraId="13DD892C" w14:textId="77777777" w:rsidR="00010EE2" w:rsidRPr="004622EC" w:rsidRDefault="00010EE2">
            <w:pPr>
              <w:rPr>
                <w:b/>
                <w:sz w:val="20"/>
                <w:szCs w:val="20"/>
              </w:rPr>
            </w:pPr>
            <w:r w:rsidRPr="004622EC">
              <w:rPr>
                <w:b/>
                <w:sz w:val="20"/>
                <w:szCs w:val="20"/>
              </w:rPr>
              <w:t>Samruk Kazyna Invest LLP</w:t>
            </w:r>
          </w:p>
        </w:tc>
        <w:tc>
          <w:tcPr>
            <w:tcW w:w="8498" w:type="dxa"/>
          </w:tcPr>
          <w:p w14:paraId="34E42165" w14:textId="77777777" w:rsidR="00010EE2" w:rsidRPr="004622EC" w:rsidRDefault="00010EE2" w:rsidP="004622EC">
            <w:pPr>
              <w:rPr>
                <w:rFonts w:ascii="MS Mincho" w:eastAsia="MS Mincho" w:hAnsi="MS Mincho" w:cs="MS Mincho"/>
                <w:color w:val="000000"/>
                <w:sz w:val="20"/>
                <w:szCs w:val="20"/>
              </w:rPr>
            </w:pPr>
            <w:r w:rsidRPr="004622EC">
              <w:rPr>
                <w:rFonts w:eastAsia="Times New Roman"/>
                <w:sz w:val="20"/>
                <w:szCs w:val="20"/>
              </w:rPr>
              <w:t>The company is participating and managing some investment projects of Samruk-Kazyna.</w:t>
            </w:r>
            <w:r w:rsidRPr="004622EC">
              <w:rPr>
                <w:rFonts w:eastAsia="Times New Roman"/>
                <w:color w:val="000000"/>
                <w:sz w:val="20"/>
                <w:szCs w:val="20"/>
              </w:rPr>
              <w:t xml:space="preserve"> The company is developing ‘Burnoye Solar</w:t>
            </w:r>
            <w:r w:rsidR="00C953AA" w:rsidRPr="002B343A">
              <w:rPr>
                <w:rFonts w:eastAsia="Times New Roman"/>
                <w:color w:val="000000"/>
                <w:sz w:val="20"/>
                <w:szCs w:val="20"/>
              </w:rPr>
              <w:t>- ‘</w:t>
            </w:r>
            <w:r w:rsidRPr="004622EC">
              <w:rPr>
                <w:rFonts w:eastAsia="Times New Roman"/>
                <w:color w:val="000000"/>
                <w:sz w:val="20"/>
                <w:szCs w:val="20"/>
              </w:rPr>
              <w:t xml:space="preserve">jointly with UK-based United Green Energy, with EBRD and CTF funding. </w:t>
            </w:r>
            <w:r w:rsidRPr="004622EC">
              <w:rPr>
                <w:rFonts w:ascii="MS Mincho" w:eastAsia="MS Mincho" w:hAnsi="MS Mincho" w:cs="MS Mincho"/>
                <w:color w:val="000000"/>
                <w:sz w:val="20"/>
                <w:szCs w:val="20"/>
              </w:rPr>
              <w:t> </w:t>
            </w:r>
          </w:p>
        </w:tc>
      </w:tr>
      <w:tr w:rsidR="00010EE2" w:rsidRPr="004323C3" w14:paraId="6110EB1A" w14:textId="77777777" w:rsidTr="00EF15C9">
        <w:trPr>
          <w:trHeight w:val="953"/>
        </w:trPr>
        <w:tc>
          <w:tcPr>
            <w:tcW w:w="675" w:type="dxa"/>
            <w:vMerge/>
          </w:tcPr>
          <w:p w14:paraId="2D4012D0" w14:textId="77777777" w:rsidR="00010EE2" w:rsidRPr="004622EC" w:rsidRDefault="00010EE2">
            <w:pPr>
              <w:rPr>
                <w:b/>
                <w:sz w:val="20"/>
                <w:szCs w:val="20"/>
              </w:rPr>
            </w:pPr>
          </w:p>
        </w:tc>
        <w:tc>
          <w:tcPr>
            <w:tcW w:w="1843" w:type="dxa"/>
          </w:tcPr>
          <w:p w14:paraId="0E1E8BBC" w14:textId="77777777" w:rsidR="00010EE2" w:rsidRPr="004622EC" w:rsidRDefault="00010EE2" w:rsidP="004622EC">
            <w:pPr>
              <w:widowControl w:val="0"/>
              <w:tabs>
                <w:tab w:val="left" w:pos="220"/>
                <w:tab w:val="left" w:pos="720"/>
              </w:tabs>
              <w:autoSpaceDE w:val="0"/>
              <w:autoSpaceDN w:val="0"/>
              <w:adjustRightInd w:val="0"/>
              <w:rPr>
                <w:b/>
                <w:sz w:val="20"/>
                <w:szCs w:val="20"/>
              </w:rPr>
            </w:pPr>
            <w:r w:rsidRPr="004622EC">
              <w:rPr>
                <w:b/>
                <w:sz w:val="20"/>
                <w:szCs w:val="20"/>
              </w:rPr>
              <w:t>KKS Communal System</w:t>
            </w:r>
            <w:r w:rsidRPr="004622EC">
              <w:rPr>
                <w:rFonts w:cs="Times"/>
                <w:sz w:val="20"/>
                <w:szCs w:val="20"/>
              </w:rPr>
              <w:t xml:space="preserve"> </w:t>
            </w:r>
          </w:p>
        </w:tc>
        <w:tc>
          <w:tcPr>
            <w:tcW w:w="8498" w:type="dxa"/>
          </w:tcPr>
          <w:p w14:paraId="44E35A6D" w14:textId="77777777" w:rsidR="00010EE2" w:rsidRPr="004622EC" w:rsidRDefault="00010EE2" w:rsidP="004622EC">
            <w:pPr>
              <w:widowControl w:val="0"/>
              <w:tabs>
                <w:tab w:val="left" w:pos="220"/>
                <w:tab w:val="left" w:pos="720"/>
              </w:tabs>
              <w:autoSpaceDE w:val="0"/>
              <w:autoSpaceDN w:val="0"/>
              <w:adjustRightInd w:val="0"/>
              <w:rPr>
                <w:rFonts w:cs="Times"/>
                <w:sz w:val="20"/>
                <w:szCs w:val="20"/>
              </w:rPr>
            </w:pPr>
            <w:r w:rsidRPr="004622EC">
              <w:rPr>
                <w:rFonts w:eastAsia="Times New Roman"/>
                <w:color w:val="000000"/>
                <w:sz w:val="20"/>
                <w:szCs w:val="20"/>
              </w:rPr>
              <w:t>LLP "KKS" operates in the energy generation markets and is in charge of transmission and sale of electricity and heat in Kazakhstan. The main activities include power generation; production of thermal energy; transmission, sales of heat and electricity. The company has two projects: 40MW wind in South Kazakhstan oblast and small hydro project</w:t>
            </w:r>
            <w:r w:rsidRPr="004622EC">
              <w:rPr>
                <w:rFonts w:cs="Arial"/>
                <w:sz w:val="20"/>
                <w:szCs w:val="20"/>
              </w:rPr>
              <w:t>.</w:t>
            </w:r>
          </w:p>
        </w:tc>
      </w:tr>
      <w:tr w:rsidR="00815C8B" w:rsidRPr="004323C3" w14:paraId="66DCF1CF" w14:textId="77777777" w:rsidTr="00EF15C9">
        <w:trPr>
          <w:trHeight w:val="953"/>
        </w:trPr>
        <w:tc>
          <w:tcPr>
            <w:tcW w:w="675" w:type="dxa"/>
            <w:vMerge w:val="restart"/>
            <w:textDirection w:val="btLr"/>
          </w:tcPr>
          <w:p w14:paraId="611826AD" w14:textId="77777777" w:rsidR="00815C8B" w:rsidRPr="004622EC" w:rsidRDefault="00815C8B">
            <w:pPr>
              <w:ind w:left="113" w:right="113"/>
              <w:rPr>
                <w:b/>
                <w:sz w:val="20"/>
                <w:szCs w:val="20"/>
              </w:rPr>
            </w:pPr>
            <w:r w:rsidRPr="004622EC">
              <w:rPr>
                <w:b/>
                <w:sz w:val="20"/>
                <w:szCs w:val="20"/>
              </w:rPr>
              <w:t>Suppliers</w:t>
            </w:r>
          </w:p>
        </w:tc>
        <w:tc>
          <w:tcPr>
            <w:tcW w:w="1843" w:type="dxa"/>
          </w:tcPr>
          <w:p w14:paraId="769099B4" w14:textId="77777777" w:rsidR="00815C8B" w:rsidRPr="004622EC" w:rsidRDefault="00815C8B">
            <w:pPr>
              <w:rPr>
                <w:b/>
                <w:sz w:val="20"/>
                <w:szCs w:val="20"/>
              </w:rPr>
            </w:pPr>
            <w:r w:rsidRPr="004622EC">
              <w:rPr>
                <w:b/>
                <w:sz w:val="20"/>
                <w:szCs w:val="20"/>
              </w:rPr>
              <w:t>JSC Solar</w:t>
            </w:r>
          </w:p>
        </w:tc>
        <w:tc>
          <w:tcPr>
            <w:tcW w:w="8498" w:type="dxa"/>
          </w:tcPr>
          <w:p w14:paraId="24658CF2" w14:textId="77777777" w:rsidR="00815C8B" w:rsidRPr="004622EC" w:rsidRDefault="00815C8B" w:rsidP="004622EC">
            <w:pPr>
              <w:rPr>
                <w:sz w:val="20"/>
                <w:szCs w:val="20"/>
              </w:rPr>
            </w:pPr>
            <w:r w:rsidRPr="004622EC">
              <w:rPr>
                <w:rFonts w:eastAsia="Times New Roman"/>
                <w:color w:val="000000"/>
                <w:sz w:val="20"/>
                <w:szCs w:val="20"/>
              </w:rPr>
              <w:t>The only domestic manufacturer of solar PV hardware in Kazakhstan (approximately 50 MW/year); The company is</w:t>
            </w:r>
            <w:r w:rsidRPr="004622EC">
              <w:rPr>
                <w:rFonts w:cs="Arial"/>
                <w:sz w:val="20"/>
                <w:szCs w:val="20"/>
                <w:lang w:val="en-GB"/>
              </w:rPr>
              <w:t xml:space="preserve"> subsidiary of NAC Kazatomprom JSC</w:t>
            </w:r>
            <w:r w:rsidRPr="004622EC">
              <w:rPr>
                <w:rFonts w:eastAsia="Times New Roman"/>
                <w:color w:val="000000"/>
                <w:sz w:val="20"/>
                <w:szCs w:val="20"/>
              </w:rPr>
              <w:t>. It is interested in exploring new market opportunities and business models to promote solar PV in public and residential sector.</w:t>
            </w:r>
          </w:p>
        </w:tc>
      </w:tr>
      <w:tr w:rsidR="000A3ABF" w:rsidRPr="004323C3" w14:paraId="753FAF26" w14:textId="77777777" w:rsidTr="00EF15C9">
        <w:trPr>
          <w:trHeight w:val="953"/>
        </w:trPr>
        <w:tc>
          <w:tcPr>
            <w:tcW w:w="675" w:type="dxa"/>
            <w:vMerge/>
            <w:textDirection w:val="btLr"/>
          </w:tcPr>
          <w:p w14:paraId="4535807E" w14:textId="77777777" w:rsidR="000A3ABF" w:rsidRPr="004622EC" w:rsidRDefault="000A3ABF">
            <w:pPr>
              <w:ind w:left="113" w:right="113"/>
              <w:rPr>
                <w:b/>
                <w:sz w:val="20"/>
                <w:szCs w:val="20"/>
              </w:rPr>
            </w:pPr>
          </w:p>
        </w:tc>
        <w:tc>
          <w:tcPr>
            <w:tcW w:w="1843" w:type="dxa"/>
          </w:tcPr>
          <w:p w14:paraId="308F4A00" w14:textId="77777777" w:rsidR="000A3ABF" w:rsidRPr="0043085A" w:rsidRDefault="000A3ABF">
            <w:pPr>
              <w:rPr>
                <w:b/>
                <w:sz w:val="20"/>
                <w:szCs w:val="20"/>
              </w:rPr>
            </w:pPr>
            <w:r w:rsidRPr="0043085A">
              <w:rPr>
                <w:rFonts w:ascii="Arial" w:eastAsia="Times New Roman" w:hAnsi="Arial" w:cs="Arial"/>
                <w:b/>
                <w:color w:val="000000"/>
                <w:sz w:val="18"/>
                <w:szCs w:val="18"/>
              </w:rPr>
              <w:t>Enkom ST</w:t>
            </w:r>
          </w:p>
        </w:tc>
        <w:tc>
          <w:tcPr>
            <w:tcW w:w="8498" w:type="dxa"/>
          </w:tcPr>
          <w:p w14:paraId="0416AEE1" w14:textId="77777777" w:rsidR="000A3ABF" w:rsidRPr="004622EC" w:rsidRDefault="000A3ABF" w:rsidP="004622EC">
            <w:pPr>
              <w:rPr>
                <w:rFonts w:eastAsia="Times New Roman"/>
                <w:color w:val="000000"/>
                <w:sz w:val="20"/>
                <w:szCs w:val="20"/>
              </w:rPr>
            </w:pPr>
            <w:r w:rsidRPr="00E94DFD">
              <w:rPr>
                <w:rFonts w:eastAsia="Times New Roman"/>
                <w:color w:val="000000"/>
                <w:sz w:val="20"/>
                <w:szCs w:val="20"/>
              </w:rPr>
              <w:t>Enkom is an engineering company that supplies energy saving technologies from the leading global manufacturers to Kazakhstan., The company has been working with UNDP since 2007 on piloting various organisational and financial models with the aim of attraction of investment into energy saving sector. The company plans to expand its activities to renewable energy technologies. </w:t>
            </w:r>
          </w:p>
        </w:tc>
      </w:tr>
      <w:tr w:rsidR="00815C8B" w:rsidRPr="004323C3" w14:paraId="2E60883C" w14:textId="77777777" w:rsidTr="00EF15C9">
        <w:trPr>
          <w:trHeight w:val="953"/>
        </w:trPr>
        <w:tc>
          <w:tcPr>
            <w:tcW w:w="675" w:type="dxa"/>
            <w:vMerge/>
          </w:tcPr>
          <w:p w14:paraId="272F3499" w14:textId="77777777" w:rsidR="00815C8B" w:rsidRPr="004622EC" w:rsidRDefault="00815C8B">
            <w:pPr>
              <w:rPr>
                <w:b/>
                <w:sz w:val="20"/>
                <w:szCs w:val="20"/>
              </w:rPr>
            </w:pPr>
          </w:p>
        </w:tc>
        <w:tc>
          <w:tcPr>
            <w:tcW w:w="1843" w:type="dxa"/>
          </w:tcPr>
          <w:p w14:paraId="5901ABB8" w14:textId="77777777" w:rsidR="00815C8B" w:rsidRPr="004622EC" w:rsidRDefault="00815C8B">
            <w:pPr>
              <w:rPr>
                <w:b/>
                <w:sz w:val="20"/>
                <w:szCs w:val="20"/>
              </w:rPr>
            </w:pPr>
            <w:r w:rsidRPr="004622EC">
              <w:rPr>
                <w:b/>
                <w:sz w:val="20"/>
                <w:szCs w:val="20"/>
              </w:rPr>
              <w:t>The Solar Silicon LLP</w:t>
            </w:r>
          </w:p>
        </w:tc>
        <w:tc>
          <w:tcPr>
            <w:tcW w:w="8498" w:type="dxa"/>
          </w:tcPr>
          <w:p w14:paraId="30259F64" w14:textId="77777777" w:rsidR="00815C8B" w:rsidRPr="004622EC" w:rsidRDefault="00815C8B" w:rsidP="004622EC">
            <w:pPr>
              <w:rPr>
                <w:rFonts w:eastAsia="Times New Roman"/>
                <w:color w:val="000000"/>
                <w:sz w:val="20"/>
                <w:szCs w:val="20"/>
              </w:rPr>
            </w:pPr>
            <w:r w:rsidRPr="004622EC">
              <w:rPr>
                <w:rFonts w:cs="Arial"/>
                <w:sz w:val="20"/>
                <w:szCs w:val="20"/>
                <w:lang w:val="en-GB"/>
              </w:rPr>
              <w:t>The company is subsidiary of NAC Kazatomprom JSC and was established in 2011 to launch commercial production of PV plates using local silicon resources. Most of the company’s production is supplied to Astana Solar, which is the only local manufacturer of solar panels in Kazakhstan.</w:t>
            </w:r>
          </w:p>
        </w:tc>
      </w:tr>
      <w:tr w:rsidR="00815C8B" w:rsidRPr="004323C3" w14:paraId="43B38669" w14:textId="77777777" w:rsidTr="00EF15C9">
        <w:trPr>
          <w:trHeight w:val="953"/>
        </w:trPr>
        <w:tc>
          <w:tcPr>
            <w:tcW w:w="675" w:type="dxa"/>
            <w:vMerge/>
          </w:tcPr>
          <w:p w14:paraId="48573585" w14:textId="77777777" w:rsidR="00815C8B" w:rsidRPr="004622EC" w:rsidRDefault="00815C8B">
            <w:pPr>
              <w:rPr>
                <w:b/>
                <w:sz w:val="20"/>
                <w:szCs w:val="20"/>
              </w:rPr>
            </w:pPr>
          </w:p>
        </w:tc>
        <w:tc>
          <w:tcPr>
            <w:tcW w:w="1843" w:type="dxa"/>
          </w:tcPr>
          <w:p w14:paraId="54AD1358" w14:textId="77777777" w:rsidR="00815C8B" w:rsidRPr="004622EC" w:rsidRDefault="00815C8B">
            <w:pPr>
              <w:rPr>
                <w:b/>
                <w:sz w:val="20"/>
                <w:szCs w:val="20"/>
              </w:rPr>
            </w:pPr>
            <w:r w:rsidRPr="004622EC">
              <w:rPr>
                <w:b/>
                <w:sz w:val="20"/>
                <w:szCs w:val="20"/>
              </w:rPr>
              <w:t>Ecoenergomash LLP</w:t>
            </w:r>
          </w:p>
        </w:tc>
        <w:tc>
          <w:tcPr>
            <w:tcW w:w="8498" w:type="dxa"/>
          </w:tcPr>
          <w:p w14:paraId="0ECC039E" w14:textId="77777777" w:rsidR="00815C8B" w:rsidRPr="004622EC" w:rsidRDefault="00815C8B" w:rsidP="004622EC">
            <w:pPr>
              <w:rPr>
                <w:rFonts w:cs="Arial"/>
                <w:sz w:val="20"/>
                <w:szCs w:val="20"/>
                <w:lang w:val="en-GB"/>
              </w:rPr>
            </w:pPr>
            <w:r w:rsidRPr="004622EC">
              <w:rPr>
                <w:rFonts w:eastAsia="Times New Roman"/>
                <w:color w:val="000000"/>
                <w:sz w:val="20"/>
                <w:szCs w:val="20"/>
              </w:rPr>
              <w:t>The company produces wind and combined solar and wind installations ranging from 1 to 10 kWt, including inter alia Bolotov wind rotor turbines (WRTB) and В«Wind-SunВ». The company also offers project developments works on power supply of the objects using IES WRTB; installation and testing works; remote monitoring of IES VRTB work in real time; consulting and service and complete technical support of the objects that use renewables.</w:t>
            </w:r>
          </w:p>
        </w:tc>
      </w:tr>
      <w:tr w:rsidR="00EF15C9" w:rsidRPr="004323C3" w14:paraId="0CF78229" w14:textId="77777777" w:rsidTr="00EF15C9">
        <w:trPr>
          <w:trHeight w:val="953"/>
        </w:trPr>
        <w:tc>
          <w:tcPr>
            <w:tcW w:w="675" w:type="dxa"/>
            <w:vMerge w:val="restart"/>
            <w:textDirection w:val="btLr"/>
          </w:tcPr>
          <w:p w14:paraId="593844F5" w14:textId="77777777" w:rsidR="00EF15C9" w:rsidRPr="004622EC" w:rsidRDefault="00EF15C9" w:rsidP="004622EC">
            <w:pPr>
              <w:ind w:left="115" w:right="115"/>
              <w:jc w:val="center"/>
              <w:rPr>
                <w:b/>
                <w:sz w:val="20"/>
                <w:szCs w:val="20"/>
              </w:rPr>
            </w:pPr>
            <w:r w:rsidRPr="004622EC">
              <w:rPr>
                <w:b/>
                <w:sz w:val="20"/>
                <w:szCs w:val="20"/>
              </w:rPr>
              <w:t>NGOs</w:t>
            </w:r>
          </w:p>
        </w:tc>
        <w:tc>
          <w:tcPr>
            <w:tcW w:w="1843" w:type="dxa"/>
          </w:tcPr>
          <w:p w14:paraId="5EBA4A89" w14:textId="77777777" w:rsidR="00EF15C9" w:rsidRPr="004622EC" w:rsidRDefault="00EF15C9">
            <w:pPr>
              <w:rPr>
                <w:b/>
                <w:sz w:val="20"/>
                <w:szCs w:val="20"/>
              </w:rPr>
            </w:pPr>
            <w:r w:rsidRPr="004622EC">
              <w:rPr>
                <w:b/>
                <w:sz w:val="20"/>
                <w:szCs w:val="20"/>
              </w:rPr>
              <w:t>Kazakhstan Green Building Council</w:t>
            </w:r>
          </w:p>
        </w:tc>
        <w:tc>
          <w:tcPr>
            <w:tcW w:w="8498" w:type="dxa"/>
          </w:tcPr>
          <w:p w14:paraId="2BCA5A50" w14:textId="77777777" w:rsidR="00EF15C9" w:rsidRPr="004622EC" w:rsidRDefault="00EF15C9">
            <w:pPr>
              <w:rPr>
                <w:rFonts w:eastAsia="Times New Roman"/>
                <w:sz w:val="20"/>
                <w:szCs w:val="20"/>
              </w:rPr>
            </w:pPr>
            <w:r w:rsidRPr="004622EC">
              <w:rPr>
                <w:rFonts w:eastAsia="Times New Roman"/>
                <w:color w:val="000000"/>
                <w:sz w:val="20"/>
                <w:szCs w:val="20"/>
              </w:rPr>
              <w:t xml:space="preserve">It is a not-for-profit industry organisation dedicated to accelerating development and adoption of market-based green building (sustainable building) practices.  It works on promoting green buildings, including the integration of RES solutions in the building design via adoption of voluntary standards for green buildings, education of architects, construction industry and </w:t>
            </w:r>
            <w:r w:rsidR="00E94DFD">
              <w:rPr>
                <w:rFonts w:eastAsia="Times New Roman"/>
                <w:color w:val="000000"/>
                <w:sz w:val="20"/>
                <w:szCs w:val="20"/>
              </w:rPr>
              <w:t xml:space="preserve">the </w:t>
            </w:r>
            <w:r w:rsidRPr="004622EC">
              <w:rPr>
                <w:rFonts w:eastAsia="Times New Roman"/>
                <w:color w:val="000000"/>
                <w:sz w:val="20"/>
                <w:szCs w:val="20"/>
              </w:rPr>
              <w:t xml:space="preserve">general public. The </w:t>
            </w:r>
            <w:r w:rsidR="00C953AA" w:rsidRPr="002B343A">
              <w:rPr>
                <w:rFonts w:eastAsia="Times New Roman"/>
                <w:color w:val="000000"/>
                <w:sz w:val="20"/>
                <w:szCs w:val="20"/>
              </w:rPr>
              <w:t>organization</w:t>
            </w:r>
            <w:r w:rsidRPr="004622EC">
              <w:rPr>
                <w:rFonts w:eastAsia="Times New Roman"/>
                <w:color w:val="000000"/>
                <w:sz w:val="20"/>
                <w:szCs w:val="20"/>
              </w:rPr>
              <w:t xml:space="preserve"> may assist with designing policy and financial derisking instruments to promote “RES for Urban Life” market segment under Components 2 and 3.</w:t>
            </w:r>
          </w:p>
        </w:tc>
      </w:tr>
      <w:tr w:rsidR="00EF15C9" w:rsidRPr="004323C3" w14:paraId="32544D14" w14:textId="77777777" w:rsidTr="00EF15C9">
        <w:trPr>
          <w:cantSplit/>
          <w:trHeight w:val="1134"/>
        </w:trPr>
        <w:tc>
          <w:tcPr>
            <w:tcW w:w="675" w:type="dxa"/>
            <w:vMerge/>
            <w:textDirection w:val="btLr"/>
          </w:tcPr>
          <w:p w14:paraId="0E49233C" w14:textId="77777777" w:rsidR="00EF15C9" w:rsidRPr="004622EC" w:rsidRDefault="00EF15C9">
            <w:pPr>
              <w:ind w:left="113" w:right="113"/>
              <w:jc w:val="center"/>
              <w:rPr>
                <w:b/>
                <w:sz w:val="20"/>
                <w:szCs w:val="20"/>
              </w:rPr>
            </w:pPr>
          </w:p>
        </w:tc>
        <w:tc>
          <w:tcPr>
            <w:tcW w:w="1843" w:type="dxa"/>
          </w:tcPr>
          <w:p w14:paraId="26D95B16" w14:textId="77777777" w:rsidR="00EF15C9" w:rsidRPr="004622EC" w:rsidRDefault="00EF15C9">
            <w:pPr>
              <w:rPr>
                <w:b/>
                <w:sz w:val="20"/>
                <w:szCs w:val="20"/>
              </w:rPr>
            </w:pPr>
            <w:r w:rsidRPr="004622EC">
              <w:rPr>
                <w:b/>
                <w:sz w:val="20"/>
                <w:szCs w:val="20"/>
              </w:rPr>
              <w:t>KazEnergy</w:t>
            </w:r>
          </w:p>
        </w:tc>
        <w:tc>
          <w:tcPr>
            <w:tcW w:w="8498" w:type="dxa"/>
          </w:tcPr>
          <w:p w14:paraId="7B882DDC" w14:textId="77777777" w:rsidR="00EF15C9" w:rsidRPr="004622EC" w:rsidRDefault="00EF15C9">
            <w:pPr>
              <w:rPr>
                <w:sz w:val="20"/>
                <w:szCs w:val="20"/>
              </w:rPr>
            </w:pPr>
            <w:r w:rsidRPr="004622EC">
              <w:rPr>
                <w:rFonts w:eastAsia="Times New Roman"/>
                <w:color w:val="000000"/>
                <w:sz w:val="20"/>
                <w:szCs w:val="20"/>
              </w:rPr>
              <w:t>KAZENERGY Association is an independent voluntary non-profit organization aimed at creating favorable conditions for the dynamic and sustainable development of oil-and-gas and electric power industry of Kazakhstan. KazEnergy unites more than 70 major players in the Energy production business in Kazakhstan.</w:t>
            </w:r>
          </w:p>
        </w:tc>
      </w:tr>
      <w:tr w:rsidR="00EF15C9" w:rsidRPr="004323C3" w14:paraId="752D4C2C" w14:textId="77777777" w:rsidTr="00EF15C9">
        <w:trPr>
          <w:cantSplit/>
          <w:trHeight w:val="1134"/>
        </w:trPr>
        <w:tc>
          <w:tcPr>
            <w:tcW w:w="675" w:type="dxa"/>
            <w:vMerge/>
            <w:textDirection w:val="btLr"/>
          </w:tcPr>
          <w:p w14:paraId="671DD15A" w14:textId="77777777" w:rsidR="00EF15C9" w:rsidRPr="004622EC" w:rsidRDefault="00EF15C9">
            <w:pPr>
              <w:ind w:left="113" w:right="113"/>
              <w:jc w:val="center"/>
              <w:rPr>
                <w:b/>
                <w:sz w:val="20"/>
                <w:szCs w:val="20"/>
              </w:rPr>
            </w:pPr>
          </w:p>
        </w:tc>
        <w:tc>
          <w:tcPr>
            <w:tcW w:w="1843" w:type="dxa"/>
          </w:tcPr>
          <w:p w14:paraId="7DF568C5" w14:textId="77777777" w:rsidR="00EF15C9" w:rsidRPr="004622EC" w:rsidRDefault="00EF15C9">
            <w:pPr>
              <w:rPr>
                <w:b/>
                <w:sz w:val="20"/>
                <w:szCs w:val="20"/>
              </w:rPr>
            </w:pPr>
            <w:r w:rsidRPr="004622EC">
              <w:rPr>
                <w:b/>
                <w:sz w:val="20"/>
                <w:szCs w:val="20"/>
              </w:rPr>
              <w:t xml:space="preserve">Building-level Associations of </w:t>
            </w:r>
            <w:r w:rsidR="00C953AA" w:rsidRPr="002B343A">
              <w:rPr>
                <w:b/>
                <w:sz w:val="20"/>
                <w:szCs w:val="20"/>
              </w:rPr>
              <w:t>Apartment</w:t>
            </w:r>
            <w:r w:rsidRPr="004622EC">
              <w:rPr>
                <w:b/>
                <w:sz w:val="20"/>
                <w:szCs w:val="20"/>
              </w:rPr>
              <w:t xml:space="preserve"> Owners and Tenants</w:t>
            </w:r>
          </w:p>
        </w:tc>
        <w:tc>
          <w:tcPr>
            <w:tcW w:w="8498" w:type="dxa"/>
          </w:tcPr>
          <w:p w14:paraId="4AC1502B" w14:textId="77777777" w:rsidR="00EF15C9" w:rsidRPr="004622EC" w:rsidRDefault="00EF15C9">
            <w:pPr>
              <w:rPr>
                <w:rFonts w:eastAsia="Times New Roman"/>
                <w:color w:val="000000"/>
                <w:sz w:val="20"/>
                <w:szCs w:val="20"/>
              </w:rPr>
            </w:pPr>
            <w:r w:rsidRPr="004622EC">
              <w:rPr>
                <w:rFonts w:eastAsia="Times New Roman"/>
                <w:color w:val="000000"/>
                <w:sz w:val="20"/>
                <w:szCs w:val="20"/>
              </w:rPr>
              <w:t xml:space="preserve">The organization is involved in lobbying and promotion of apartment owners right, monitors and supports policy-making related to municipal management. </w:t>
            </w:r>
          </w:p>
        </w:tc>
      </w:tr>
      <w:tr w:rsidR="00EF15C9" w:rsidRPr="004323C3" w14:paraId="5849A8B0" w14:textId="77777777" w:rsidTr="00EF15C9">
        <w:trPr>
          <w:cantSplit/>
          <w:trHeight w:val="1134"/>
        </w:trPr>
        <w:tc>
          <w:tcPr>
            <w:tcW w:w="675" w:type="dxa"/>
            <w:vMerge/>
            <w:textDirection w:val="btLr"/>
          </w:tcPr>
          <w:p w14:paraId="65D029EB" w14:textId="77777777" w:rsidR="00EF15C9" w:rsidRPr="004622EC" w:rsidRDefault="00EF15C9">
            <w:pPr>
              <w:ind w:left="113" w:right="113"/>
              <w:jc w:val="center"/>
              <w:rPr>
                <w:b/>
                <w:sz w:val="20"/>
                <w:szCs w:val="20"/>
              </w:rPr>
            </w:pPr>
          </w:p>
        </w:tc>
        <w:tc>
          <w:tcPr>
            <w:tcW w:w="1843" w:type="dxa"/>
          </w:tcPr>
          <w:p w14:paraId="7DE518F9" w14:textId="77777777" w:rsidR="00EF15C9" w:rsidRPr="004622EC" w:rsidRDefault="00EF15C9">
            <w:pPr>
              <w:rPr>
                <w:b/>
                <w:sz w:val="20"/>
                <w:szCs w:val="20"/>
              </w:rPr>
            </w:pPr>
            <w:r w:rsidRPr="004622EC">
              <w:rPr>
                <w:b/>
                <w:sz w:val="20"/>
                <w:szCs w:val="20"/>
              </w:rPr>
              <w:t>Association of Farmers and Farming Cooperatives</w:t>
            </w:r>
          </w:p>
        </w:tc>
        <w:tc>
          <w:tcPr>
            <w:tcW w:w="8498" w:type="dxa"/>
          </w:tcPr>
          <w:p w14:paraId="58FC0B48" w14:textId="77777777" w:rsidR="00EF15C9" w:rsidRPr="004622EC" w:rsidRDefault="00EF15C9">
            <w:pPr>
              <w:rPr>
                <w:rFonts w:eastAsia="Times New Roman"/>
                <w:color w:val="000000"/>
                <w:sz w:val="20"/>
                <w:szCs w:val="20"/>
              </w:rPr>
            </w:pPr>
            <w:r w:rsidRPr="004622EC">
              <w:rPr>
                <w:rFonts w:eastAsia="Times New Roman"/>
                <w:color w:val="000000"/>
                <w:sz w:val="20"/>
                <w:szCs w:val="20"/>
              </w:rPr>
              <w:t>The NGO was established in 2003 to unite farmers and support their interests. The organization is also involved in development and implementation of the governmental targeted programs supporting development of entrepreneurship in agricultural sector in Kazakhstan.</w:t>
            </w:r>
          </w:p>
        </w:tc>
      </w:tr>
      <w:tr w:rsidR="00EF15C9" w:rsidRPr="004323C3" w14:paraId="1426E9EE" w14:textId="77777777" w:rsidTr="004622EC">
        <w:trPr>
          <w:cantSplit/>
          <w:trHeight w:val="512"/>
        </w:trPr>
        <w:tc>
          <w:tcPr>
            <w:tcW w:w="675" w:type="dxa"/>
            <w:vMerge/>
            <w:textDirection w:val="btLr"/>
          </w:tcPr>
          <w:p w14:paraId="1CD9587B" w14:textId="77777777" w:rsidR="00EF15C9" w:rsidRPr="004622EC" w:rsidRDefault="00EF15C9">
            <w:pPr>
              <w:ind w:left="113" w:right="113"/>
              <w:jc w:val="center"/>
              <w:rPr>
                <w:b/>
                <w:sz w:val="20"/>
                <w:szCs w:val="20"/>
              </w:rPr>
            </w:pPr>
          </w:p>
        </w:tc>
        <w:tc>
          <w:tcPr>
            <w:tcW w:w="1843" w:type="dxa"/>
          </w:tcPr>
          <w:p w14:paraId="592439C7" w14:textId="77777777" w:rsidR="00EF15C9" w:rsidRPr="004622EC" w:rsidRDefault="00EF15C9">
            <w:pPr>
              <w:rPr>
                <w:b/>
                <w:sz w:val="20"/>
                <w:szCs w:val="20"/>
              </w:rPr>
            </w:pPr>
            <w:r w:rsidRPr="004622EC">
              <w:rPr>
                <w:b/>
                <w:sz w:val="20"/>
                <w:szCs w:val="20"/>
              </w:rPr>
              <w:t>RES Association of Kazakhstan</w:t>
            </w:r>
          </w:p>
        </w:tc>
        <w:tc>
          <w:tcPr>
            <w:tcW w:w="8498" w:type="dxa"/>
          </w:tcPr>
          <w:p w14:paraId="5DC971FD" w14:textId="77777777" w:rsidR="00EF15C9" w:rsidRPr="004622EC" w:rsidRDefault="00EF15C9">
            <w:pPr>
              <w:rPr>
                <w:rFonts w:eastAsia="Times New Roman"/>
                <w:color w:val="000000"/>
                <w:sz w:val="20"/>
                <w:szCs w:val="20"/>
              </w:rPr>
            </w:pPr>
            <w:r w:rsidRPr="004622EC">
              <w:rPr>
                <w:rFonts w:eastAsia="Times New Roman"/>
                <w:color w:val="000000"/>
                <w:sz w:val="20"/>
                <w:szCs w:val="20"/>
              </w:rPr>
              <w:t xml:space="preserve">It is a non-profit organization amalgamating companies interested in the development of renewable energy in Kazakhstan. The company seeks to create comfortable conditions for development of "green" energy in Kazakhstan. </w:t>
            </w:r>
          </w:p>
        </w:tc>
      </w:tr>
      <w:tr w:rsidR="00010EE2" w:rsidRPr="004323C3" w14:paraId="5D1CA76E" w14:textId="77777777" w:rsidTr="00EF15C9">
        <w:trPr>
          <w:cantSplit/>
          <w:trHeight w:val="1134"/>
        </w:trPr>
        <w:tc>
          <w:tcPr>
            <w:tcW w:w="675" w:type="dxa"/>
            <w:vMerge w:val="restart"/>
            <w:textDirection w:val="btLr"/>
          </w:tcPr>
          <w:p w14:paraId="33E8FBF8" w14:textId="77777777" w:rsidR="00010EE2" w:rsidRPr="004622EC" w:rsidRDefault="00010EE2">
            <w:pPr>
              <w:ind w:left="113" w:right="113"/>
              <w:jc w:val="center"/>
              <w:rPr>
                <w:b/>
                <w:sz w:val="20"/>
                <w:szCs w:val="20"/>
              </w:rPr>
            </w:pPr>
            <w:r w:rsidRPr="004622EC">
              <w:rPr>
                <w:b/>
                <w:sz w:val="20"/>
                <w:szCs w:val="20"/>
              </w:rPr>
              <w:t>ESCOs</w:t>
            </w:r>
          </w:p>
        </w:tc>
        <w:tc>
          <w:tcPr>
            <w:tcW w:w="1843" w:type="dxa"/>
          </w:tcPr>
          <w:p w14:paraId="0C172EE4" w14:textId="77777777" w:rsidR="00010EE2" w:rsidRPr="004622EC" w:rsidRDefault="00010EE2">
            <w:pPr>
              <w:rPr>
                <w:b/>
                <w:sz w:val="20"/>
                <w:szCs w:val="20"/>
              </w:rPr>
            </w:pPr>
            <w:r w:rsidRPr="004622EC">
              <w:rPr>
                <w:b/>
                <w:sz w:val="20"/>
                <w:szCs w:val="20"/>
              </w:rPr>
              <w:t>JSC International Center for Energy Efficiency “ProEco”</w:t>
            </w:r>
          </w:p>
        </w:tc>
        <w:tc>
          <w:tcPr>
            <w:tcW w:w="8498" w:type="dxa"/>
          </w:tcPr>
          <w:p w14:paraId="706E937A" w14:textId="77777777" w:rsidR="00010EE2" w:rsidRPr="004622EC" w:rsidRDefault="00010EE2" w:rsidP="0020322F">
            <w:pPr>
              <w:pStyle w:val="a7"/>
              <w:numPr>
                <w:ilvl w:val="2"/>
                <w:numId w:val="14"/>
              </w:numPr>
              <w:tabs>
                <w:tab w:val="clear" w:pos="4153"/>
                <w:tab w:val="clear" w:pos="8306"/>
                <w:tab w:val="center" w:pos="4320"/>
                <w:tab w:val="right" w:pos="8640"/>
              </w:tabs>
              <w:ind w:left="0"/>
              <w:rPr>
                <w:sz w:val="20"/>
                <w:szCs w:val="20"/>
              </w:rPr>
            </w:pPr>
            <w:r w:rsidRPr="004622EC">
              <w:rPr>
                <w:sz w:val="20"/>
                <w:szCs w:val="20"/>
              </w:rPr>
              <w:t>The company is an energy service provider (ESCOs) to various residential, municipal and business clients, e.g. design and implementation of turn-key EE solutions for buildings, heat supply, energy audit, etc. The company is interested in exploring the feasibility of RES applications in multi-family buildings (such as build-level PV and heat-pumps) based on RESCO or similar third-party ownership model.</w:t>
            </w:r>
          </w:p>
        </w:tc>
      </w:tr>
      <w:tr w:rsidR="00010EE2" w:rsidRPr="004323C3" w14:paraId="2A8FF973" w14:textId="77777777" w:rsidTr="00EF15C9">
        <w:trPr>
          <w:cantSplit/>
          <w:trHeight w:val="683"/>
        </w:trPr>
        <w:tc>
          <w:tcPr>
            <w:tcW w:w="675" w:type="dxa"/>
            <w:vMerge/>
            <w:textDirection w:val="btLr"/>
          </w:tcPr>
          <w:p w14:paraId="2F500765" w14:textId="77777777" w:rsidR="00010EE2" w:rsidRPr="004622EC" w:rsidRDefault="00010EE2">
            <w:pPr>
              <w:ind w:left="113" w:right="113"/>
              <w:jc w:val="center"/>
              <w:rPr>
                <w:b/>
                <w:sz w:val="20"/>
                <w:szCs w:val="20"/>
              </w:rPr>
            </w:pPr>
          </w:p>
        </w:tc>
        <w:tc>
          <w:tcPr>
            <w:tcW w:w="1843" w:type="dxa"/>
          </w:tcPr>
          <w:p w14:paraId="2C387EC4" w14:textId="77777777" w:rsidR="00010EE2" w:rsidRPr="004622EC" w:rsidRDefault="00010EE2">
            <w:pPr>
              <w:rPr>
                <w:b/>
                <w:sz w:val="20"/>
                <w:szCs w:val="20"/>
              </w:rPr>
            </w:pPr>
            <w:r w:rsidRPr="004622EC">
              <w:rPr>
                <w:b/>
                <w:sz w:val="20"/>
                <w:szCs w:val="20"/>
              </w:rPr>
              <w:t>Ergonomika Ltd</w:t>
            </w:r>
          </w:p>
        </w:tc>
        <w:tc>
          <w:tcPr>
            <w:tcW w:w="8498" w:type="dxa"/>
          </w:tcPr>
          <w:p w14:paraId="0E63ED36" w14:textId="77777777" w:rsidR="00010EE2" w:rsidRPr="004622EC" w:rsidRDefault="00010EE2">
            <w:pPr>
              <w:rPr>
                <w:rFonts w:eastAsia="Times New Roman"/>
                <w:color w:val="000000"/>
                <w:sz w:val="20"/>
                <w:szCs w:val="20"/>
              </w:rPr>
            </w:pPr>
            <w:r w:rsidRPr="004622EC">
              <w:rPr>
                <w:rFonts w:eastAsia="Times New Roman"/>
                <w:color w:val="000000"/>
                <w:sz w:val="20"/>
                <w:szCs w:val="20"/>
              </w:rPr>
              <w:t xml:space="preserve">The company is the first energy service company in Kazakhstan. The company's projects are supporting energy conservation in municipal sector of Kazakhstan. </w:t>
            </w:r>
          </w:p>
        </w:tc>
      </w:tr>
      <w:tr w:rsidR="004B3FD0" w:rsidRPr="004323C3" w14:paraId="74A8B232" w14:textId="77777777" w:rsidTr="00010EE2">
        <w:trPr>
          <w:trHeight w:val="732"/>
        </w:trPr>
        <w:tc>
          <w:tcPr>
            <w:tcW w:w="675" w:type="dxa"/>
            <w:vMerge w:val="restart"/>
            <w:textDirection w:val="btLr"/>
          </w:tcPr>
          <w:p w14:paraId="70617988" w14:textId="77777777" w:rsidR="004B3FD0" w:rsidRPr="004622EC" w:rsidRDefault="004B3FD0">
            <w:pPr>
              <w:ind w:left="113" w:right="113"/>
              <w:jc w:val="center"/>
              <w:rPr>
                <w:b/>
                <w:sz w:val="20"/>
                <w:szCs w:val="20"/>
              </w:rPr>
            </w:pPr>
            <w:r w:rsidRPr="004622EC">
              <w:rPr>
                <w:b/>
                <w:sz w:val="20"/>
                <w:szCs w:val="20"/>
              </w:rPr>
              <w:t>International organisations</w:t>
            </w:r>
          </w:p>
        </w:tc>
        <w:tc>
          <w:tcPr>
            <w:tcW w:w="1843" w:type="dxa"/>
          </w:tcPr>
          <w:p w14:paraId="66803E8E" w14:textId="77777777" w:rsidR="004B3FD0" w:rsidRPr="004622EC" w:rsidRDefault="004B3FD0">
            <w:pPr>
              <w:rPr>
                <w:b/>
                <w:sz w:val="20"/>
                <w:szCs w:val="20"/>
              </w:rPr>
            </w:pPr>
            <w:r w:rsidRPr="004622EC">
              <w:rPr>
                <w:b/>
                <w:sz w:val="20"/>
                <w:szCs w:val="20"/>
              </w:rPr>
              <w:t>USAID</w:t>
            </w:r>
          </w:p>
        </w:tc>
        <w:tc>
          <w:tcPr>
            <w:tcW w:w="8498" w:type="dxa"/>
          </w:tcPr>
          <w:p w14:paraId="60ECBA01" w14:textId="77777777" w:rsidR="004B3FD0" w:rsidRPr="004622EC" w:rsidRDefault="004B3FD0">
            <w:pPr>
              <w:pBdr>
                <w:top w:val="single" w:sz="4" w:space="1" w:color="auto"/>
              </w:pBdr>
              <w:rPr>
                <w:rFonts w:eastAsia="Times New Roman"/>
                <w:color w:val="000000"/>
                <w:sz w:val="20"/>
                <w:szCs w:val="20"/>
              </w:rPr>
            </w:pPr>
            <w:r w:rsidRPr="004622EC">
              <w:rPr>
                <w:rFonts w:eastAsia="Times New Roman"/>
                <w:color w:val="000000"/>
                <w:sz w:val="20"/>
                <w:szCs w:val="20"/>
              </w:rPr>
              <w:t>USAID in Kazakhstan participates in a range of regional programming, including Kazakhstan Climate Change Mitigation Program, Small Business Development Project (KSBD).</w:t>
            </w:r>
          </w:p>
        </w:tc>
      </w:tr>
      <w:tr w:rsidR="004B3FD0" w:rsidRPr="004323C3" w14:paraId="6DD43B9A" w14:textId="77777777" w:rsidTr="00EF15C9">
        <w:tc>
          <w:tcPr>
            <w:tcW w:w="675" w:type="dxa"/>
            <w:vMerge/>
          </w:tcPr>
          <w:p w14:paraId="06C90F58" w14:textId="77777777" w:rsidR="004B3FD0" w:rsidRPr="004622EC" w:rsidRDefault="004B3FD0">
            <w:pPr>
              <w:rPr>
                <w:b/>
                <w:sz w:val="20"/>
                <w:szCs w:val="20"/>
              </w:rPr>
            </w:pPr>
          </w:p>
        </w:tc>
        <w:tc>
          <w:tcPr>
            <w:tcW w:w="1843" w:type="dxa"/>
          </w:tcPr>
          <w:p w14:paraId="6A5E5B16" w14:textId="77777777" w:rsidR="004B3FD0" w:rsidRPr="004622EC" w:rsidRDefault="004B3FD0">
            <w:pPr>
              <w:rPr>
                <w:b/>
                <w:sz w:val="20"/>
                <w:szCs w:val="20"/>
              </w:rPr>
            </w:pPr>
            <w:r w:rsidRPr="004622EC">
              <w:rPr>
                <w:b/>
                <w:sz w:val="20"/>
                <w:szCs w:val="20"/>
              </w:rPr>
              <w:t>IFC</w:t>
            </w:r>
          </w:p>
        </w:tc>
        <w:tc>
          <w:tcPr>
            <w:tcW w:w="8498" w:type="dxa"/>
          </w:tcPr>
          <w:p w14:paraId="40D95D11" w14:textId="77777777" w:rsidR="004B3FD0" w:rsidRPr="004622EC" w:rsidRDefault="004B3FD0">
            <w:pPr>
              <w:rPr>
                <w:rFonts w:cs="Arial"/>
                <w:sz w:val="20"/>
                <w:szCs w:val="20"/>
                <w:lang w:val="en-GB"/>
              </w:rPr>
            </w:pPr>
            <w:r w:rsidRPr="004622EC">
              <w:rPr>
                <w:rFonts w:eastAsia="Times New Roman"/>
                <w:color w:val="000000"/>
                <w:sz w:val="20"/>
                <w:szCs w:val="20"/>
              </w:rPr>
              <w:t>IFC promotes the development of the private sector through investments and advisory services to support the diversification and competitiveness of the economy.  IFC’s strategy in Kazakhstan related to RES is focused on strengthening support on regulatory reforms needed to develop bankable projects.</w:t>
            </w:r>
          </w:p>
        </w:tc>
      </w:tr>
      <w:tr w:rsidR="004B3FD0" w:rsidRPr="004323C3" w14:paraId="22138DBE" w14:textId="77777777" w:rsidTr="00EF15C9">
        <w:tc>
          <w:tcPr>
            <w:tcW w:w="675" w:type="dxa"/>
            <w:vMerge/>
          </w:tcPr>
          <w:p w14:paraId="01FF6867" w14:textId="77777777" w:rsidR="004B3FD0" w:rsidRPr="004622EC" w:rsidRDefault="004B3FD0">
            <w:pPr>
              <w:rPr>
                <w:b/>
                <w:sz w:val="20"/>
                <w:szCs w:val="20"/>
              </w:rPr>
            </w:pPr>
          </w:p>
        </w:tc>
        <w:tc>
          <w:tcPr>
            <w:tcW w:w="1843" w:type="dxa"/>
          </w:tcPr>
          <w:p w14:paraId="3E54E8CC" w14:textId="77777777" w:rsidR="004B3FD0" w:rsidRPr="004622EC" w:rsidRDefault="004B3FD0">
            <w:pPr>
              <w:rPr>
                <w:b/>
                <w:sz w:val="20"/>
                <w:szCs w:val="20"/>
              </w:rPr>
            </w:pPr>
            <w:r w:rsidRPr="004622EC">
              <w:rPr>
                <w:b/>
                <w:sz w:val="20"/>
                <w:szCs w:val="20"/>
              </w:rPr>
              <w:t>EBRD</w:t>
            </w:r>
          </w:p>
        </w:tc>
        <w:tc>
          <w:tcPr>
            <w:tcW w:w="8498" w:type="dxa"/>
          </w:tcPr>
          <w:p w14:paraId="5A73A87C" w14:textId="77777777" w:rsidR="004B3FD0" w:rsidRPr="004622EC" w:rsidRDefault="004B3FD0" w:rsidP="005B761D">
            <w:pPr>
              <w:rPr>
                <w:sz w:val="20"/>
                <w:szCs w:val="20"/>
              </w:rPr>
            </w:pPr>
            <w:r w:rsidRPr="004622EC">
              <w:rPr>
                <w:rFonts w:eastAsia="Times New Roman"/>
                <w:color w:val="000000"/>
                <w:sz w:val="20"/>
                <w:szCs w:val="20"/>
              </w:rPr>
              <w:t xml:space="preserve">EBRD provides advisory support on RES to the Government of Kazakhstan. </w:t>
            </w:r>
            <w:r w:rsidR="00C01D97" w:rsidRPr="00C01D97">
              <w:rPr>
                <w:rFonts w:eastAsia="Times New Roman"/>
                <w:color w:val="000000"/>
                <w:sz w:val="20"/>
                <w:szCs w:val="20"/>
              </w:rPr>
              <w:t xml:space="preserve">In December 2016, the EBRD approved a financing framework to finance renewable energy projects with a total generating capacity of 300 MW. The projects are planned to cover wind and solar developments, small hydro plants and biogas. The </w:t>
            </w:r>
            <w:r w:rsidR="005B761D">
              <w:rPr>
                <w:rFonts w:eastAsia="Times New Roman"/>
                <w:color w:val="000000"/>
                <w:sz w:val="20"/>
                <w:szCs w:val="20"/>
              </w:rPr>
              <w:t>EBRD</w:t>
            </w:r>
            <w:r w:rsidR="00C01D97" w:rsidRPr="00C01D97">
              <w:rPr>
                <w:rFonts w:eastAsia="Times New Roman"/>
                <w:color w:val="000000"/>
                <w:sz w:val="20"/>
                <w:szCs w:val="20"/>
              </w:rPr>
              <w:t xml:space="preserve"> will </w:t>
            </w:r>
            <w:r w:rsidR="005B761D">
              <w:rPr>
                <w:rFonts w:eastAsia="Times New Roman"/>
                <w:color w:val="000000"/>
                <w:sz w:val="20"/>
                <w:szCs w:val="20"/>
              </w:rPr>
              <w:t>also support</w:t>
            </w:r>
            <w:r w:rsidR="00C01D97" w:rsidRPr="00C01D97">
              <w:rPr>
                <w:rFonts w:eastAsia="Times New Roman"/>
                <w:color w:val="000000"/>
                <w:sz w:val="20"/>
                <w:szCs w:val="20"/>
              </w:rPr>
              <w:t xml:space="preserve"> constr</w:t>
            </w:r>
            <w:r w:rsidR="005B761D">
              <w:rPr>
                <w:rFonts w:eastAsia="Times New Roman"/>
                <w:color w:val="000000"/>
                <w:sz w:val="20"/>
                <w:szCs w:val="20"/>
              </w:rPr>
              <w:t>uction of generating capacity and</w:t>
            </w:r>
            <w:r w:rsidR="00C01D97" w:rsidRPr="00C01D97">
              <w:rPr>
                <w:rFonts w:eastAsia="Times New Roman"/>
                <w:color w:val="000000"/>
                <w:sz w:val="20"/>
                <w:szCs w:val="20"/>
              </w:rPr>
              <w:t xml:space="preserve"> electricity grid moderni</w:t>
            </w:r>
            <w:r w:rsidR="00E94DFD">
              <w:rPr>
                <w:rFonts w:eastAsia="Times New Roman"/>
                <w:color w:val="000000"/>
                <w:sz w:val="20"/>
                <w:szCs w:val="20"/>
              </w:rPr>
              <w:t>z</w:t>
            </w:r>
            <w:r w:rsidR="00C01D97" w:rsidRPr="00C01D97">
              <w:rPr>
                <w:rFonts w:eastAsia="Times New Roman"/>
                <w:color w:val="000000"/>
                <w:sz w:val="20"/>
                <w:szCs w:val="20"/>
              </w:rPr>
              <w:t>ation to integrate renewable projects into the national transmission system.</w:t>
            </w:r>
          </w:p>
        </w:tc>
      </w:tr>
      <w:tr w:rsidR="004B3FD0" w:rsidRPr="004323C3" w14:paraId="428E4AA4" w14:textId="77777777" w:rsidTr="00EF15C9">
        <w:tc>
          <w:tcPr>
            <w:tcW w:w="675" w:type="dxa"/>
            <w:vMerge/>
          </w:tcPr>
          <w:p w14:paraId="63316CB1" w14:textId="77777777" w:rsidR="004B3FD0" w:rsidRPr="004622EC" w:rsidRDefault="004B3FD0">
            <w:pPr>
              <w:rPr>
                <w:b/>
                <w:sz w:val="20"/>
                <w:szCs w:val="20"/>
              </w:rPr>
            </w:pPr>
          </w:p>
        </w:tc>
        <w:tc>
          <w:tcPr>
            <w:tcW w:w="1843" w:type="dxa"/>
          </w:tcPr>
          <w:p w14:paraId="7A23A4C1" w14:textId="77777777" w:rsidR="004B3FD0" w:rsidRPr="004622EC" w:rsidRDefault="004B3FD0">
            <w:pPr>
              <w:rPr>
                <w:b/>
                <w:sz w:val="20"/>
                <w:szCs w:val="20"/>
              </w:rPr>
            </w:pPr>
            <w:r w:rsidRPr="004622EC">
              <w:rPr>
                <w:b/>
                <w:sz w:val="20"/>
                <w:szCs w:val="20"/>
              </w:rPr>
              <w:t>ADB</w:t>
            </w:r>
          </w:p>
        </w:tc>
        <w:tc>
          <w:tcPr>
            <w:tcW w:w="8498" w:type="dxa"/>
          </w:tcPr>
          <w:p w14:paraId="447473E1" w14:textId="77777777" w:rsidR="004B3FD0" w:rsidRPr="004622EC" w:rsidRDefault="004B3FD0" w:rsidP="00625769">
            <w:pPr>
              <w:rPr>
                <w:rFonts w:eastAsia="Times New Roman"/>
                <w:color w:val="000000"/>
                <w:sz w:val="20"/>
                <w:szCs w:val="20"/>
              </w:rPr>
            </w:pPr>
            <w:r w:rsidRPr="004622EC">
              <w:rPr>
                <w:rFonts w:eastAsia="Times New Roman"/>
                <w:color w:val="000000"/>
                <w:sz w:val="20"/>
                <w:szCs w:val="20"/>
              </w:rPr>
              <w:t>ADB is one of the major donors supporting renewable energy and energy efficiency projects in Central. ADB is involved in Municipal Energy Efficiency and District Heating Modernization Program and implementing a district heating project in Karaganda, which aims at providing more reliable heat supply to about 800 buildings and benefitting approximately 56,000 households.</w:t>
            </w:r>
            <w:r w:rsidR="00625769">
              <w:rPr>
                <w:rFonts w:eastAsia="Times New Roman"/>
                <w:color w:val="000000"/>
                <w:sz w:val="20"/>
                <w:szCs w:val="20"/>
              </w:rPr>
              <w:t xml:space="preserve"> ADB has recently engaged in technical assistance for utility-scale renewable energy, supporting the Ministry of Energy in assessing options for auctioning.</w:t>
            </w:r>
          </w:p>
        </w:tc>
      </w:tr>
      <w:tr w:rsidR="00110C50" w:rsidRPr="004323C3" w14:paraId="27D1B0E5" w14:textId="77777777" w:rsidTr="00EF15C9">
        <w:tc>
          <w:tcPr>
            <w:tcW w:w="675" w:type="dxa"/>
            <w:vMerge/>
          </w:tcPr>
          <w:p w14:paraId="67D24F7D" w14:textId="77777777" w:rsidR="00110C50" w:rsidRPr="004622EC" w:rsidRDefault="00110C50">
            <w:pPr>
              <w:rPr>
                <w:b/>
                <w:sz w:val="20"/>
                <w:szCs w:val="20"/>
              </w:rPr>
            </w:pPr>
          </w:p>
        </w:tc>
        <w:tc>
          <w:tcPr>
            <w:tcW w:w="1843" w:type="dxa"/>
          </w:tcPr>
          <w:p w14:paraId="0A406D6B" w14:textId="77777777" w:rsidR="00110C50" w:rsidRPr="004622EC" w:rsidRDefault="00110C50">
            <w:pPr>
              <w:rPr>
                <w:b/>
                <w:sz w:val="20"/>
                <w:szCs w:val="20"/>
              </w:rPr>
            </w:pPr>
            <w:r>
              <w:rPr>
                <w:b/>
                <w:sz w:val="20"/>
                <w:szCs w:val="20"/>
              </w:rPr>
              <w:t>Eurasian Development Bank</w:t>
            </w:r>
          </w:p>
        </w:tc>
        <w:tc>
          <w:tcPr>
            <w:tcW w:w="8498" w:type="dxa"/>
          </w:tcPr>
          <w:p w14:paraId="64B250C6" w14:textId="77777777" w:rsidR="00110C50" w:rsidRPr="004622EC" w:rsidRDefault="00110C50" w:rsidP="00110C50">
            <w:pPr>
              <w:rPr>
                <w:rFonts w:eastAsia="Times New Roman"/>
                <w:color w:val="000000"/>
                <w:sz w:val="20"/>
                <w:szCs w:val="20"/>
              </w:rPr>
            </w:pPr>
            <w:r>
              <w:rPr>
                <w:rFonts w:eastAsia="Times New Roman"/>
                <w:color w:val="000000"/>
                <w:sz w:val="20"/>
                <w:szCs w:val="20"/>
              </w:rPr>
              <w:t>The Eurasian Development bank works to promote sustainable economic growth in member states, and provides long-term financing for large-scale investment proj</w:t>
            </w:r>
            <w:r w:rsidR="00E94DFD">
              <w:rPr>
                <w:rFonts w:eastAsia="Times New Roman"/>
                <w:color w:val="000000"/>
                <w:sz w:val="20"/>
                <w:szCs w:val="20"/>
              </w:rPr>
              <w:t>e</w:t>
            </w:r>
            <w:r>
              <w:rPr>
                <w:rFonts w:eastAsia="Times New Roman"/>
                <w:color w:val="000000"/>
                <w:sz w:val="20"/>
                <w:szCs w:val="20"/>
              </w:rPr>
              <w:t>cts, including for the improvement of energy efficiency and sustainable development. They have expressed a strong interest in Renewable Energy and intend establishing a US$30m credit line specifically for renewables over the course of the project.</w:t>
            </w:r>
          </w:p>
        </w:tc>
      </w:tr>
      <w:tr w:rsidR="004B3FD0" w:rsidRPr="004323C3" w14:paraId="6842631B" w14:textId="77777777" w:rsidTr="00EF15C9">
        <w:tc>
          <w:tcPr>
            <w:tcW w:w="675" w:type="dxa"/>
            <w:vMerge/>
          </w:tcPr>
          <w:p w14:paraId="327C096C" w14:textId="77777777" w:rsidR="004B3FD0" w:rsidRPr="004622EC" w:rsidRDefault="004B3FD0">
            <w:pPr>
              <w:rPr>
                <w:b/>
                <w:sz w:val="20"/>
                <w:szCs w:val="20"/>
              </w:rPr>
            </w:pPr>
          </w:p>
        </w:tc>
        <w:tc>
          <w:tcPr>
            <w:tcW w:w="1843" w:type="dxa"/>
          </w:tcPr>
          <w:p w14:paraId="5B8251F8" w14:textId="77777777" w:rsidR="004B3FD0" w:rsidRPr="004622EC" w:rsidRDefault="004B3FD0">
            <w:pPr>
              <w:rPr>
                <w:b/>
                <w:sz w:val="20"/>
                <w:szCs w:val="20"/>
              </w:rPr>
            </w:pPr>
            <w:r w:rsidRPr="004622EC">
              <w:rPr>
                <w:b/>
                <w:sz w:val="20"/>
                <w:szCs w:val="20"/>
              </w:rPr>
              <w:t>Islamic Development Bank (IDB)</w:t>
            </w:r>
          </w:p>
        </w:tc>
        <w:tc>
          <w:tcPr>
            <w:tcW w:w="8498" w:type="dxa"/>
          </w:tcPr>
          <w:p w14:paraId="318F79DA" w14:textId="77777777" w:rsidR="004B3FD0" w:rsidRPr="004622EC" w:rsidRDefault="004B3FD0">
            <w:pPr>
              <w:rPr>
                <w:rFonts w:eastAsia="Times New Roman"/>
                <w:color w:val="000000"/>
                <w:sz w:val="20"/>
                <w:szCs w:val="20"/>
              </w:rPr>
            </w:pPr>
            <w:r w:rsidRPr="004622EC">
              <w:rPr>
                <w:rFonts w:eastAsia="Times New Roman"/>
                <w:color w:val="000000"/>
                <w:sz w:val="20"/>
                <w:szCs w:val="20"/>
              </w:rPr>
              <w:t xml:space="preserve">The Bank has a 50m USD Renewable Energy Fund for Central Asia to finance renewable energy projects. It The project will involve close collaboration and coordination with existing public financial actors such as IDB. The focus will be on ensuring the overall most efficient and cost-effective approaches to catalyzing large-scale renewable energy investment. </w:t>
            </w:r>
          </w:p>
        </w:tc>
      </w:tr>
      <w:tr w:rsidR="00815C8B" w:rsidRPr="004323C3" w14:paraId="2F122022" w14:textId="77777777" w:rsidTr="00EF15C9">
        <w:trPr>
          <w:cantSplit/>
          <w:trHeight w:val="1134"/>
        </w:trPr>
        <w:tc>
          <w:tcPr>
            <w:tcW w:w="675" w:type="dxa"/>
            <w:vMerge w:val="restart"/>
            <w:textDirection w:val="btLr"/>
          </w:tcPr>
          <w:p w14:paraId="55E0E484" w14:textId="77777777" w:rsidR="00815C8B" w:rsidRPr="004622EC" w:rsidRDefault="00815C8B">
            <w:pPr>
              <w:ind w:left="113" w:right="113"/>
              <w:jc w:val="center"/>
              <w:rPr>
                <w:b/>
                <w:sz w:val="20"/>
                <w:szCs w:val="20"/>
              </w:rPr>
            </w:pPr>
            <w:r w:rsidRPr="004622EC">
              <w:rPr>
                <w:b/>
                <w:sz w:val="20"/>
                <w:szCs w:val="20"/>
              </w:rPr>
              <w:t>Academia</w:t>
            </w:r>
          </w:p>
        </w:tc>
        <w:tc>
          <w:tcPr>
            <w:tcW w:w="1843" w:type="dxa"/>
          </w:tcPr>
          <w:p w14:paraId="2FAB7066" w14:textId="77777777" w:rsidR="00815C8B" w:rsidRPr="004622EC" w:rsidRDefault="00815C8B">
            <w:pPr>
              <w:rPr>
                <w:b/>
                <w:sz w:val="20"/>
                <w:szCs w:val="20"/>
              </w:rPr>
            </w:pPr>
            <w:r w:rsidRPr="004622EC">
              <w:rPr>
                <w:b/>
                <w:sz w:val="20"/>
                <w:szCs w:val="20"/>
              </w:rPr>
              <w:t>Centre for Energy Research Nazarbaev University</w:t>
            </w:r>
          </w:p>
        </w:tc>
        <w:tc>
          <w:tcPr>
            <w:tcW w:w="8498" w:type="dxa"/>
          </w:tcPr>
          <w:p w14:paraId="5F03C7BA" w14:textId="77777777" w:rsidR="00815C8B" w:rsidRPr="004622EC" w:rsidRDefault="00815C8B">
            <w:pPr>
              <w:rPr>
                <w:sz w:val="20"/>
                <w:szCs w:val="20"/>
              </w:rPr>
            </w:pPr>
            <w:r w:rsidRPr="004622EC">
              <w:rPr>
                <w:rFonts w:eastAsia="Times New Roman"/>
                <w:color w:val="000000"/>
                <w:sz w:val="20"/>
                <w:szCs w:val="20"/>
              </w:rPr>
              <w:t>Engaged on R&amp;D on alternative energy and provides information and advisory support to the Government and public entities in the area of renewable energy. They are an important stakeholder so the project will likely work with academia/scientific organizations through advocacy, outreach and research activities</w:t>
            </w:r>
          </w:p>
        </w:tc>
      </w:tr>
      <w:tr w:rsidR="00815C8B" w:rsidRPr="004323C3" w14:paraId="7BE76DF2" w14:textId="77777777" w:rsidTr="00EF15C9">
        <w:tc>
          <w:tcPr>
            <w:tcW w:w="675" w:type="dxa"/>
            <w:vMerge/>
          </w:tcPr>
          <w:p w14:paraId="656791F7" w14:textId="77777777" w:rsidR="00815C8B" w:rsidRPr="004622EC" w:rsidRDefault="00815C8B">
            <w:pPr>
              <w:rPr>
                <w:b/>
                <w:sz w:val="20"/>
                <w:szCs w:val="20"/>
              </w:rPr>
            </w:pPr>
          </w:p>
        </w:tc>
        <w:tc>
          <w:tcPr>
            <w:tcW w:w="1843" w:type="dxa"/>
          </w:tcPr>
          <w:p w14:paraId="515793DC" w14:textId="77777777" w:rsidR="00815C8B" w:rsidRPr="004622EC" w:rsidRDefault="00815C8B">
            <w:pPr>
              <w:rPr>
                <w:b/>
                <w:sz w:val="20"/>
                <w:szCs w:val="20"/>
              </w:rPr>
            </w:pPr>
            <w:r w:rsidRPr="004622EC">
              <w:rPr>
                <w:b/>
                <w:sz w:val="20"/>
                <w:szCs w:val="20"/>
              </w:rPr>
              <w:t>Public Research Institute “KazEcoTerm”</w:t>
            </w:r>
          </w:p>
        </w:tc>
        <w:tc>
          <w:tcPr>
            <w:tcW w:w="8498" w:type="dxa"/>
          </w:tcPr>
          <w:p w14:paraId="27D044AD" w14:textId="77777777" w:rsidR="00815C8B" w:rsidRPr="004622EC" w:rsidRDefault="00815C8B">
            <w:pPr>
              <w:rPr>
                <w:sz w:val="20"/>
                <w:szCs w:val="20"/>
              </w:rPr>
            </w:pPr>
            <w:r w:rsidRPr="004622EC">
              <w:rPr>
                <w:rFonts w:eastAsia="Times New Roman"/>
                <w:color w:val="000000"/>
                <w:sz w:val="20"/>
                <w:szCs w:val="20"/>
              </w:rPr>
              <w:t>Undertakes promotion of various RES (in particular heat pumps and bio-waste), via piloting and testing innovative RES approaches and applications and provides consultancy services for preparation of technical and economic feasibility studies for RES projects. The project will likely work with academia/scientific organizations through advocacy, outreach and research activities, so they are an important stakeholder</w:t>
            </w:r>
          </w:p>
        </w:tc>
      </w:tr>
      <w:tr w:rsidR="00792A96" w:rsidRPr="004323C3" w14:paraId="31E02387" w14:textId="77777777" w:rsidTr="00EF15C9">
        <w:tc>
          <w:tcPr>
            <w:tcW w:w="675" w:type="dxa"/>
            <w:vMerge w:val="restart"/>
            <w:textDirection w:val="btLr"/>
          </w:tcPr>
          <w:p w14:paraId="7871D997" w14:textId="77777777" w:rsidR="00792A96" w:rsidRPr="004622EC" w:rsidRDefault="00792A96">
            <w:pPr>
              <w:ind w:left="113" w:right="113"/>
              <w:rPr>
                <w:b/>
                <w:sz w:val="20"/>
                <w:szCs w:val="20"/>
              </w:rPr>
            </w:pPr>
            <w:r w:rsidRPr="004622EC">
              <w:rPr>
                <w:b/>
                <w:sz w:val="20"/>
                <w:szCs w:val="20"/>
              </w:rPr>
              <w:t>Financial Institutions</w:t>
            </w:r>
          </w:p>
        </w:tc>
        <w:tc>
          <w:tcPr>
            <w:tcW w:w="1843" w:type="dxa"/>
          </w:tcPr>
          <w:p w14:paraId="42B57FA6" w14:textId="77777777" w:rsidR="00792A96" w:rsidRPr="004622EC" w:rsidRDefault="00792A96">
            <w:pPr>
              <w:rPr>
                <w:b/>
                <w:sz w:val="20"/>
                <w:szCs w:val="20"/>
              </w:rPr>
            </w:pPr>
            <w:r w:rsidRPr="004622EC">
              <w:rPr>
                <w:b/>
                <w:sz w:val="20"/>
                <w:szCs w:val="20"/>
              </w:rPr>
              <w:t>Kazagrofinance</w:t>
            </w:r>
          </w:p>
        </w:tc>
        <w:tc>
          <w:tcPr>
            <w:tcW w:w="8498" w:type="dxa"/>
          </w:tcPr>
          <w:p w14:paraId="47EEDEA4" w14:textId="77777777" w:rsidR="00792A96" w:rsidRPr="004622EC" w:rsidRDefault="00EA6A00">
            <w:pPr>
              <w:rPr>
                <w:rFonts w:eastAsia="Times New Roman"/>
                <w:color w:val="000000"/>
                <w:sz w:val="20"/>
                <w:szCs w:val="20"/>
              </w:rPr>
            </w:pPr>
            <w:r w:rsidRPr="004622EC">
              <w:rPr>
                <w:rFonts w:eastAsia="Times New Roman"/>
                <w:color w:val="000000"/>
                <w:sz w:val="20"/>
                <w:szCs w:val="20"/>
              </w:rPr>
              <w:t>KazAgroFinance JSC</w:t>
            </w:r>
            <w:r w:rsidR="006D6F40" w:rsidRPr="004622EC">
              <w:rPr>
                <w:rFonts w:eastAsia="Times New Roman"/>
                <w:color w:val="000000"/>
                <w:sz w:val="20"/>
                <w:szCs w:val="20"/>
              </w:rPr>
              <w:t xml:space="preserve"> (National Holding “KazAgro)</w:t>
            </w:r>
            <w:r w:rsidRPr="004622EC">
              <w:rPr>
                <w:rFonts w:eastAsia="Times New Roman"/>
                <w:color w:val="000000"/>
                <w:sz w:val="20"/>
                <w:szCs w:val="20"/>
              </w:rPr>
              <w:t xml:space="preserve"> is the company, being the financial operator for implementation of the state programs for the country's agricultural complex support, including inter alia</w:t>
            </w:r>
            <w:r w:rsidRPr="004622EC">
              <w:rPr>
                <w:rFonts w:eastAsia="Times New Roman"/>
                <w:sz w:val="20"/>
                <w:szCs w:val="20"/>
              </w:rPr>
              <w:t xml:space="preserve"> </w:t>
            </w:r>
            <w:r w:rsidR="008D1A15" w:rsidRPr="004622EC">
              <w:rPr>
                <w:rFonts w:cs="Arial"/>
                <w:sz w:val="20"/>
                <w:szCs w:val="20"/>
                <w:lang w:val="en-GB"/>
              </w:rPr>
              <w:t>Agricultural Development Programme 2013-2020.</w:t>
            </w:r>
          </w:p>
        </w:tc>
      </w:tr>
      <w:tr w:rsidR="00792A96" w:rsidRPr="004323C3" w14:paraId="3C091663" w14:textId="77777777" w:rsidTr="00EF15C9">
        <w:tc>
          <w:tcPr>
            <w:tcW w:w="675" w:type="dxa"/>
            <w:vMerge/>
          </w:tcPr>
          <w:p w14:paraId="7EBFC5BC" w14:textId="77777777" w:rsidR="00792A96" w:rsidRPr="004622EC" w:rsidRDefault="00792A96">
            <w:pPr>
              <w:rPr>
                <w:b/>
                <w:sz w:val="20"/>
                <w:szCs w:val="20"/>
              </w:rPr>
            </w:pPr>
          </w:p>
        </w:tc>
        <w:tc>
          <w:tcPr>
            <w:tcW w:w="1843" w:type="dxa"/>
          </w:tcPr>
          <w:p w14:paraId="1E11B961" w14:textId="77777777" w:rsidR="00792A96" w:rsidRPr="004622EC" w:rsidRDefault="00792A96">
            <w:pPr>
              <w:rPr>
                <w:b/>
                <w:sz w:val="20"/>
                <w:szCs w:val="20"/>
              </w:rPr>
            </w:pPr>
            <w:r w:rsidRPr="004622EC">
              <w:rPr>
                <w:b/>
                <w:sz w:val="20"/>
                <w:szCs w:val="20"/>
              </w:rPr>
              <w:t>DAMU</w:t>
            </w:r>
          </w:p>
        </w:tc>
        <w:tc>
          <w:tcPr>
            <w:tcW w:w="8498" w:type="dxa"/>
          </w:tcPr>
          <w:p w14:paraId="29019049" w14:textId="77777777" w:rsidR="00792A96" w:rsidRPr="004622EC" w:rsidRDefault="00BC6AE4">
            <w:pPr>
              <w:rPr>
                <w:rFonts w:eastAsia="Times New Roman"/>
                <w:color w:val="000000"/>
                <w:sz w:val="20"/>
                <w:szCs w:val="20"/>
              </w:rPr>
            </w:pPr>
            <w:r w:rsidRPr="004622EC">
              <w:rPr>
                <w:rFonts w:eastAsia="Times New Roman"/>
                <w:color w:val="000000"/>
                <w:sz w:val="20"/>
                <w:szCs w:val="20"/>
              </w:rPr>
              <w:t xml:space="preserve">Damu implements governmental policy related to support of SME. Damu has 22 programs covering a wide range of financial instruments from micro-credits to large loans. </w:t>
            </w:r>
            <w:r w:rsidR="00063696" w:rsidRPr="004622EC">
              <w:rPr>
                <w:rFonts w:eastAsia="Times New Roman"/>
                <w:color w:val="000000"/>
                <w:sz w:val="20"/>
                <w:szCs w:val="20"/>
              </w:rPr>
              <w:t xml:space="preserve">Projects promoting energy efficiency is one of the priority areas, which also include support of renewables. </w:t>
            </w:r>
            <w:r w:rsidRPr="004622EC">
              <w:rPr>
                <w:rFonts w:eastAsia="Times New Roman"/>
                <w:color w:val="000000"/>
                <w:sz w:val="20"/>
                <w:szCs w:val="20"/>
              </w:rPr>
              <w:t xml:space="preserve">Currently, Damu is </w:t>
            </w:r>
            <w:r w:rsidR="00063696" w:rsidRPr="004622EC">
              <w:rPr>
                <w:rFonts w:eastAsia="Times New Roman"/>
                <w:color w:val="000000"/>
                <w:sz w:val="20"/>
                <w:szCs w:val="20"/>
              </w:rPr>
              <w:t>negotiating</w:t>
            </w:r>
            <w:r w:rsidRPr="004622EC">
              <w:rPr>
                <w:rFonts w:eastAsia="Times New Roman"/>
                <w:color w:val="000000"/>
                <w:sz w:val="20"/>
                <w:szCs w:val="20"/>
              </w:rPr>
              <w:t xml:space="preserve"> with EIB regarding provision of </w:t>
            </w:r>
            <w:r w:rsidR="00063696" w:rsidRPr="004622EC">
              <w:rPr>
                <w:rFonts w:cs="Lucida Grande"/>
                <w:b/>
                <w:color w:val="000000"/>
                <w:sz w:val="20"/>
                <w:szCs w:val="20"/>
              </w:rPr>
              <w:t>€</w:t>
            </w:r>
            <w:r w:rsidRPr="004622EC">
              <w:rPr>
                <w:rFonts w:eastAsia="Times New Roman"/>
                <w:color w:val="000000"/>
                <w:sz w:val="20"/>
                <w:szCs w:val="20"/>
              </w:rPr>
              <w:t xml:space="preserve">200 mln for financing green projects in Kazakhstan. </w:t>
            </w:r>
          </w:p>
        </w:tc>
      </w:tr>
      <w:tr w:rsidR="006575E7" w:rsidRPr="004323C3" w14:paraId="07914141" w14:textId="77777777" w:rsidTr="00EF15C9">
        <w:tc>
          <w:tcPr>
            <w:tcW w:w="675" w:type="dxa"/>
            <w:vMerge/>
          </w:tcPr>
          <w:p w14:paraId="43ACB3F3" w14:textId="77777777" w:rsidR="006575E7" w:rsidRPr="004622EC" w:rsidRDefault="006575E7">
            <w:pPr>
              <w:rPr>
                <w:b/>
                <w:sz w:val="20"/>
                <w:szCs w:val="20"/>
              </w:rPr>
            </w:pPr>
          </w:p>
        </w:tc>
        <w:tc>
          <w:tcPr>
            <w:tcW w:w="1843" w:type="dxa"/>
          </w:tcPr>
          <w:p w14:paraId="53803EE7" w14:textId="77777777" w:rsidR="006575E7" w:rsidRPr="004622EC" w:rsidRDefault="006575E7">
            <w:pPr>
              <w:rPr>
                <w:b/>
                <w:sz w:val="20"/>
                <w:szCs w:val="20"/>
              </w:rPr>
            </w:pPr>
            <w:r w:rsidRPr="004622EC">
              <w:rPr>
                <w:b/>
                <w:sz w:val="20"/>
                <w:szCs w:val="20"/>
              </w:rPr>
              <w:t>Fund for support of agriculture</w:t>
            </w:r>
          </w:p>
        </w:tc>
        <w:tc>
          <w:tcPr>
            <w:tcW w:w="8498" w:type="dxa"/>
          </w:tcPr>
          <w:p w14:paraId="79FA04A6" w14:textId="77777777" w:rsidR="006575E7" w:rsidRPr="004622EC" w:rsidRDefault="007709C8">
            <w:pPr>
              <w:rPr>
                <w:rFonts w:eastAsia="Times New Roman"/>
                <w:color w:val="000000"/>
                <w:sz w:val="20"/>
                <w:szCs w:val="20"/>
              </w:rPr>
            </w:pPr>
            <w:r w:rsidRPr="004622EC">
              <w:rPr>
                <w:rFonts w:eastAsia="Times New Roman"/>
                <w:color w:val="000000"/>
                <w:sz w:val="20"/>
                <w:szCs w:val="20"/>
              </w:rPr>
              <w:t>Fund - is a specialized financial and credit institution, a member of the group of companies of “National Holding “KazAgro” JSC, focused on providing and expanding access to financial services for rural populations through the development of microcredit.</w:t>
            </w:r>
          </w:p>
        </w:tc>
      </w:tr>
      <w:tr w:rsidR="006575E7" w:rsidRPr="004323C3" w14:paraId="275B057B" w14:textId="77777777" w:rsidTr="00EF15C9">
        <w:tc>
          <w:tcPr>
            <w:tcW w:w="675" w:type="dxa"/>
            <w:vMerge/>
          </w:tcPr>
          <w:p w14:paraId="6A811248" w14:textId="77777777" w:rsidR="006575E7" w:rsidRPr="004622EC" w:rsidRDefault="006575E7">
            <w:pPr>
              <w:rPr>
                <w:b/>
                <w:sz w:val="20"/>
                <w:szCs w:val="20"/>
              </w:rPr>
            </w:pPr>
          </w:p>
        </w:tc>
        <w:tc>
          <w:tcPr>
            <w:tcW w:w="1843" w:type="dxa"/>
          </w:tcPr>
          <w:p w14:paraId="74A752C8" w14:textId="77777777" w:rsidR="006575E7" w:rsidRPr="004622EC" w:rsidRDefault="006575E7">
            <w:pPr>
              <w:rPr>
                <w:b/>
                <w:sz w:val="20"/>
                <w:szCs w:val="20"/>
              </w:rPr>
            </w:pPr>
            <w:r w:rsidRPr="004622EC">
              <w:rPr>
                <w:b/>
                <w:sz w:val="20"/>
                <w:szCs w:val="20"/>
              </w:rPr>
              <w:t>Agrarian Credit Corporation</w:t>
            </w:r>
          </w:p>
        </w:tc>
        <w:tc>
          <w:tcPr>
            <w:tcW w:w="8498" w:type="dxa"/>
          </w:tcPr>
          <w:p w14:paraId="521FC1CF" w14:textId="77777777" w:rsidR="006575E7" w:rsidRPr="004622EC" w:rsidRDefault="00C75A12">
            <w:pPr>
              <w:rPr>
                <w:rFonts w:eastAsia="Times New Roman"/>
                <w:color w:val="000000"/>
                <w:sz w:val="20"/>
                <w:szCs w:val="20"/>
              </w:rPr>
            </w:pPr>
            <w:r w:rsidRPr="004622EC">
              <w:rPr>
                <w:rFonts w:eastAsia="Times New Roman"/>
                <w:color w:val="000000"/>
                <w:sz w:val="20"/>
                <w:szCs w:val="20"/>
              </w:rPr>
              <w:t>The Corporation is a part of National Holding “KazAgro” and provides assistance to the industrialization and diversification of the agricultural sector through development of credit system for agro-industrial complex.</w:t>
            </w:r>
          </w:p>
        </w:tc>
      </w:tr>
      <w:tr w:rsidR="00792A96" w:rsidRPr="004323C3" w14:paraId="166E1982" w14:textId="77777777" w:rsidTr="0024400B">
        <w:trPr>
          <w:trHeight w:val="1675"/>
        </w:trPr>
        <w:tc>
          <w:tcPr>
            <w:tcW w:w="675" w:type="dxa"/>
            <w:vMerge/>
          </w:tcPr>
          <w:p w14:paraId="69EE0D02" w14:textId="77777777" w:rsidR="00792A96" w:rsidRPr="004622EC" w:rsidRDefault="00792A96">
            <w:pPr>
              <w:rPr>
                <w:b/>
                <w:sz w:val="20"/>
                <w:szCs w:val="20"/>
              </w:rPr>
            </w:pPr>
          </w:p>
        </w:tc>
        <w:tc>
          <w:tcPr>
            <w:tcW w:w="1843" w:type="dxa"/>
          </w:tcPr>
          <w:p w14:paraId="6C75F0F2" w14:textId="77777777" w:rsidR="00792A96" w:rsidRPr="004622EC" w:rsidRDefault="00792A96">
            <w:pPr>
              <w:rPr>
                <w:b/>
                <w:sz w:val="20"/>
                <w:szCs w:val="20"/>
              </w:rPr>
            </w:pPr>
            <w:r w:rsidRPr="004622EC">
              <w:rPr>
                <w:b/>
                <w:sz w:val="20"/>
                <w:szCs w:val="20"/>
              </w:rPr>
              <w:t>Astana Financial Centre</w:t>
            </w:r>
            <w:r w:rsidR="00CA7D16" w:rsidRPr="004622EC">
              <w:rPr>
                <w:b/>
                <w:sz w:val="20"/>
                <w:szCs w:val="20"/>
              </w:rPr>
              <w:t xml:space="preserve"> (AFC) </w:t>
            </w:r>
          </w:p>
        </w:tc>
        <w:tc>
          <w:tcPr>
            <w:tcW w:w="8498" w:type="dxa"/>
          </w:tcPr>
          <w:p w14:paraId="03A97159" w14:textId="77777777" w:rsidR="00792A96" w:rsidRPr="004622EC" w:rsidRDefault="00CA7D16" w:rsidP="00D37692">
            <w:pPr>
              <w:rPr>
                <w:rFonts w:eastAsia="Times New Roman"/>
                <w:sz w:val="20"/>
                <w:szCs w:val="20"/>
              </w:rPr>
            </w:pPr>
            <w:r w:rsidRPr="004622EC">
              <w:rPr>
                <w:rFonts w:eastAsia="Times New Roman"/>
                <w:color w:val="000000"/>
                <w:sz w:val="20"/>
                <w:szCs w:val="20"/>
              </w:rPr>
              <w:t xml:space="preserve">The AFC’s objective is to attract foreign investment, open up the Kazakh banking sector and make it easier for insurance companies and Islamic finance institutions to do business. The AFC </w:t>
            </w:r>
            <w:r w:rsidR="00F3349D" w:rsidRPr="004622EC">
              <w:rPr>
                <w:rFonts w:eastAsia="Times New Roman"/>
                <w:color w:val="000000"/>
                <w:sz w:val="20"/>
                <w:szCs w:val="20"/>
              </w:rPr>
              <w:t>facilitates development of “green” finance by providing the necessary conditions and infrastructure.</w:t>
            </w:r>
            <w:r w:rsidR="0068658B" w:rsidRPr="004622EC">
              <w:rPr>
                <w:rFonts w:eastAsia="Times New Roman"/>
                <w:color w:val="000000"/>
                <w:sz w:val="20"/>
                <w:szCs w:val="20"/>
              </w:rPr>
              <w:t xml:space="preserve"> </w:t>
            </w:r>
            <w:r w:rsidR="00D37692">
              <w:rPr>
                <w:rFonts w:eastAsia="Times New Roman"/>
                <w:color w:val="000000"/>
                <w:sz w:val="20"/>
                <w:szCs w:val="20"/>
              </w:rPr>
              <w:t>Together</w:t>
            </w:r>
            <w:r w:rsidR="00D37692" w:rsidRPr="004622EC">
              <w:rPr>
                <w:rFonts w:eastAsia="Times New Roman"/>
                <w:color w:val="000000"/>
                <w:sz w:val="20"/>
                <w:szCs w:val="20"/>
              </w:rPr>
              <w:t xml:space="preserve"> </w:t>
            </w:r>
            <w:r w:rsidR="0068658B" w:rsidRPr="004622EC">
              <w:rPr>
                <w:rFonts w:eastAsia="Times New Roman"/>
                <w:color w:val="000000"/>
                <w:sz w:val="20"/>
                <w:szCs w:val="20"/>
              </w:rPr>
              <w:t xml:space="preserve">with </w:t>
            </w:r>
            <w:r w:rsidR="00C953AA" w:rsidRPr="002B343A">
              <w:rPr>
                <w:rFonts w:eastAsia="Times New Roman"/>
                <w:color w:val="000000"/>
                <w:sz w:val="20"/>
                <w:szCs w:val="20"/>
              </w:rPr>
              <w:t>EBRD</w:t>
            </w:r>
            <w:r w:rsidR="0068658B" w:rsidRPr="004622EC">
              <w:rPr>
                <w:rFonts w:eastAsia="Times New Roman"/>
                <w:color w:val="000000"/>
                <w:sz w:val="20"/>
                <w:szCs w:val="20"/>
              </w:rPr>
              <w:t xml:space="preserve">, AFC assesses the demand for green investments, identify gaps in current regulations, and </w:t>
            </w:r>
            <w:r w:rsidR="00AB5F03" w:rsidRPr="004622EC">
              <w:rPr>
                <w:rFonts w:eastAsia="Times New Roman"/>
                <w:color w:val="000000"/>
                <w:sz w:val="20"/>
                <w:szCs w:val="20"/>
              </w:rPr>
              <w:t>explore possibilities</w:t>
            </w:r>
            <w:r w:rsidR="0068658B" w:rsidRPr="004622EC">
              <w:rPr>
                <w:rFonts w:eastAsia="Times New Roman"/>
                <w:color w:val="000000"/>
                <w:sz w:val="20"/>
                <w:szCs w:val="20"/>
              </w:rPr>
              <w:t xml:space="preserve"> for introduction of green financing standards and development of the green bonds market and carbon market services.</w:t>
            </w:r>
          </w:p>
        </w:tc>
      </w:tr>
      <w:tr w:rsidR="00490426" w:rsidRPr="004323C3" w14:paraId="53607FFA" w14:textId="77777777" w:rsidTr="00EF15C9">
        <w:trPr>
          <w:trHeight w:val="63"/>
        </w:trPr>
        <w:tc>
          <w:tcPr>
            <w:tcW w:w="675" w:type="dxa"/>
            <w:vMerge w:val="restart"/>
            <w:textDirection w:val="btLr"/>
          </w:tcPr>
          <w:p w14:paraId="18D55038" w14:textId="77777777" w:rsidR="00490426" w:rsidRPr="004622EC" w:rsidRDefault="00490426">
            <w:pPr>
              <w:ind w:left="113" w:right="113"/>
              <w:jc w:val="center"/>
              <w:rPr>
                <w:b/>
                <w:sz w:val="20"/>
                <w:szCs w:val="20"/>
              </w:rPr>
            </w:pPr>
            <w:r w:rsidRPr="004622EC">
              <w:rPr>
                <w:b/>
                <w:sz w:val="20"/>
                <w:szCs w:val="20"/>
              </w:rPr>
              <w:t>Private companies</w:t>
            </w:r>
          </w:p>
        </w:tc>
        <w:tc>
          <w:tcPr>
            <w:tcW w:w="1843" w:type="dxa"/>
          </w:tcPr>
          <w:p w14:paraId="4A732C77" w14:textId="77777777" w:rsidR="00490426" w:rsidRPr="004622EC" w:rsidRDefault="00490426">
            <w:pPr>
              <w:rPr>
                <w:rFonts w:ascii="MS Mincho" w:eastAsia="MS Mincho" w:hAnsi="MS Mincho" w:cs="MS Mincho"/>
                <w:b/>
                <w:sz w:val="20"/>
                <w:szCs w:val="20"/>
              </w:rPr>
            </w:pPr>
            <w:r w:rsidRPr="004622EC">
              <w:rPr>
                <w:b/>
                <w:sz w:val="20"/>
                <w:szCs w:val="20"/>
              </w:rPr>
              <w:t xml:space="preserve">Toshiba </w:t>
            </w:r>
            <w:r w:rsidRPr="004622EC">
              <w:rPr>
                <w:rFonts w:ascii="MS Mincho" w:eastAsia="MS Mincho" w:hAnsi="MS Mincho" w:cs="MS Mincho"/>
                <w:b/>
                <w:sz w:val="20"/>
                <w:szCs w:val="20"/>
              </w:rPr>
              <w:t> </w:t>
            </w:r>
          </w:p>
        </w:tc>
        <w:tc>
          <w:tcPr>
            <w:tcW w:w="8498" w:type="dxa"/>
          </w:tcPr>
          <w:p w14:paraId="3F7DACF1" w14:textId="77777777" w:rsidR="00490426" w:rsidRPr="004622EC" w:rsidRDefault="00490426">
            <w:pPr>
              <w:rPr>
                <w:rFonts w:ascii="MS Mincho" w:eastAsia="MS Mincho" w:hAnsi="MS Mincho" w:cs="MS Mincho"/>
                <w:color w:val="000000"/>
                <w:sz w:val="20"/>
                <w:szCs w:val="20"/>
              </w:rPr>
            </w:pPr>
            <w:r w:rsidRPr="004622EC">
              <w:rPr>
                <w:rFonts w:eastAsia="Times New Roman"/>
                <w:color w:val="000000"/>
                <w:sz w:val="20"/>
                <w:szCs w:val="20"/>
              </w:rPr>
              <w:t xml:space="preserve">The company is developing 42MW wind project Fort-Shevchenko on Mangistau region, Western Kazakhstan. </w:t>
            </w:r>
            <w:r w:rsidRPr="004622EC">
              <w:rPr>
                <w:rFonts w:ascii="MS Mincho" w:eastAsia="MS Mincho" w:hAnsi="MS Mincho" w:cs="MS Mincho"/>
                <w:color w:val="000000"/>
                <w:sz w:val="20"/>
                <w:szCs w:val="20"/>
              </w:rPr>
              <w:t> </w:t>
            </w:r>
          </w:p>
        </w:tc>
      </w:tr>
      <w:tr w:rsidR="00490426" w:rsidRPr="004323C3" w14:paraId="588D1554" w14:textId="77777777" w:rsidTr="00EF15C9">
        <w:trPr>
          <w:trHeight w:val="347"/>
        </w:trPr>
        <w:tc>
          <w:tcPr>
            <w:tcW w:w="675" w:type="dxa"/>
            <w:vMerge/>
            <w:textDirection w:val="btLr"/>
          </w:tcPr>
          <w:p w14:paraId="381A7F46" w14:textId="77777777" w:rsidR="00490426" w:rsidRPr="004622EC" w:rsidRDefault="00490426">
            <w:pPr>
              <w:ind w:left="113" w:right="113"/>
              <w:rPr>
                <w:b/>
                <w:sz w:val="20"/>
                <w:szCs w:val="20"/>
              </w:rPr>
            </w:pPr>
          </w:p>
        </w:tc>
        <w:tc>
          <w:tcPr>
            <w:tcW w:w="1843" w:type="dxa"/>
          </w:tcPr>
          <w:p w14:paraId="6B917805" w14:textId="77777777" w:rsidR="00490426" w:rsidRPr="004622EC" w:rsidRDefault="00490426">
            <w:pPr>
              <w:rPr>
                <w:rFonts w:ascii="MS Mincho" w:eastAsia="MS Mincho" w:hAnsi="MS Mincho" w:cs="MS Mincho"/>
                <w:b/>
                <w:sz w:val="20"/>
                <w:szCs w:val="20"/>
              </w:rPr>
            </w:pPr>
            <w:r w:rsidRPr="004622EC">
              <w:rPr>
                <w:b/>
                <w:sz w:val="20"/>
                <w:szCs w:val="20"/>
              </w:rPr>
              <w:t xml:space="preserve">SOWITEC </w:t>
            </w:r>
            <w:r w:rsidRPr="004622EC">
              <w:rPr>
                <w:rFonts w:ascii="MS Mincho" w:eastAsia="MS Mincho" w:hAnsi="MS Mincho" w:cs="MS Mincho"/>
                <w:b/>
                <w:sz w:val="20"/>
                <w:szCs w:val="20"/>
              </w:rPr>
              <w:t> </w:t>
            </w:r>
          </w:p>
        </w:tc>
        <w:tc>
          <w:tcPr>
            <w:tcW w:w="8498" w:type="dxa"/>
          </w:tcPr>
          <w:p w14:paraId="46B63E9E" w14:textId="77777777" w:rsidR="00490426" w:rsidRPr="004622EC" w:rsidRDefault="00490426">
            <w:pPr>
              <w:rPr>
                <w:rFonts w:ascii="MS Mincho" w:eastAsia="MS Mincho" w:hAnsi="MS Mincho" w:cs="MS Mincho"/>
                <w:color w:val="000000"/>
                <w:sz w:val="20"/>
                <w:szCs w:val="20"/>
              </w:rPr>
            </w:pPr>
            <w:r w:rsidRPr="004622EC">
              <w:rPr>
                <w:rFonts w:eastAsia="Times New Roman"/>
                <w:color w:val="000000"/>
                <w:sz w:val="20"/>
                <w:szCs w:val="20"/>
              </w:rPr>
              <w:t xml:space="preserve">The company is developing 50-200 MW project in Shayan-Zhusymdyk. </w:t>
            </w:r>
            <w:r w:rsidRPr="004622EC">
              <w:rPr>
                <w:rFonts w:ascii="MS Mincho" w:eastAsia="MS Mincho" w:hAnsi="MS Mincho" w:cs="MS Mincho"/>
                <w:color w:val="000000"/>
                <w:sz w:val="20"/>
                <w:szCs w:val="20"/>
              </w:rPr>
              <w:t> </w:t>
            </w:r>
          </w:p>
        </w:tc>
      </w:tr>
      <w:tr w:rsidR="00490426" w:rsidRPr="004323C3" w14:paraId="75CA8459" w14:textId="77777777" w:rsidTr="00EF15C9">
        <w:trPr>
          <w:trHeight w:val="267"/>
        </w:trPr>
        <w:tc>
          <w:tcPr>
            <w:tcW w:w="675" w:type="dxa"/>
            <w:vMerge/>
            <w:textDirection w:val="btLr"/>
          </w:tcPr>
          <w:p w14:paraId="377820DE" w14:textId="77777777" w:rsidR="00490426" w:rsidRPr="004622EC" w:rsidRDefault="00490426">
            <w:pPr>
              <w:ind w:left="113" w:right="113"/>
              <w:rPr>
                <w:b/>
                <w:sz w:val="20"/>
                <w:szCs w:val="20"/>
              </w:rPr>
            </w:pPr>
          </w:p>
        </w:tc>
        <w:tc>
          <w:tcPr>
            <w:tcW w:w="1843" w:type="dxa"/>
          </w:tcPr>
          <w:p w14:paraId="1691A6F6" w14:textId="77777777" w:rsidR="00490426" w:rsidRPr="004622EC" w:rsidRDefault="00490426">
            <w:pPr>
              <w:rPr>
                <w:b/>
                <w:sz w:val="20"/>
                <w:szCs w:val="20"/>
              </w:rPr>
            </w:pPr>
            <w:r w:rsidRPr="004622EC">
              <w:rPr>
                <w:b/>
                <w:sz w:val="20"/>
                <w:szCs w:val="20"/>
              </w:rPr>
              <w:t xml:space="preserve">Globec </w:t>
            </w:r>
          </w:p>
        </w:tc>
        <w:tc>
          <w:tcPr>
            <w:tcW w:w="8498" w:type="dxa"/>
          </w:tcPr>
          <w:p w14:paraId="6CBEFBB0" w14:textId="77777777" w:rsidR="00490426" w:rsidRPr="004622EC" w:rsidRDefault="00490426">
            <w:pPr>
              <w:rPr>
                <w:rFonts w:eastAsia="Times New Roman"/>
                <w:color w:val="000000"/>
                <w:sz w:val="20"/>
                <w:szCs w:val="20"/>
              </w:rPr>
            </w:pPr>
            <w:r w:rsidRPr="004622EC">
              <w:rPr>
                <w:rFonts w:eastAsia="Times New Roman"/>
                <w:color w:val="000000"/>
                <w:sz w:val="20"/>
                <w:szCs w:val="20"/>
              </w:rPr>
              <w:t xml:space="preserve">The company is developing 10 MW wind project in Kyzylorda oblast </w:t>
            </w:r>
          </w:p>
        </w:tc>
      </w:tr>
      <w:tr w:rsidR="00490426" w:rsidRPr="004323C3" w14:paraId="57E71BEB" w14:textId="77777777" w:rsidTr="00EF15C9">
        <w:trPr>
          <w:trHeight w:val="267"/>
        </w:trPr>
        <w:tc>
          <w:tcPr>
            <w:tcW w:w="675" w:type="dxa"/>
            <w:vMerge/>
            <w:textDirection w:val="btLr"/>
          </w:tcPr>
          <w:p w14:paraId="75443C72" w14:textId="77777777" w:rsidR="00490426" w:rsidRPr="004622EC" w:rsidRDefault="00490426">
            <w:pPr>
              <w:ind w:left="113" w:right="113"/>
              <w:rPr>
                <w:b/>
                <w:sz w:val="20"/>
                <w:szCs w:val="20"/>
              </w:rPr>
            </w:pPr>
          </w:p>
        </w:tc>
        <w:tc>
          <w:tcPr>
            <w:tcW w:w="1843" w:type="dxa"/>
          </w:tcPr>
          <w:p w14:paraId="55CFD3D4" w14:textId="77777777" w:rsidR="00490426" w:rsidRPr="004622EC" w:rsidRDefault="00490426">
            <w:pPr>
              <w:rPr>
                <w:b/>
                <w:sz w:val="20"/>
                <w:szCs w:val="20"/>
              </w:rPr>
            </w:pPr>
            <w:r w:rsidRPr="004622EC">
              <w:rPr>
                <w:b/>
                <w:sz w:val="20"/>
                <w:szCs w:val="20"/>
              </w:rPr>
              <w:t xml:space="preserve">Samal Eco energy </w:t>
            </w:r>
          </w:p>
        </w:tc>
        <w:tc>
          <w:tcPr>
            <w:tcW w:w="8498" w:type="dxa"/>
          </w:tcPr>
          <w:p w14:paraId="20FE53F2" w14:textId="77777777" w:rsidR="00490426" w:rsidRPr="004622EC" w:rsidRDefault="00490426">
            <w:pPr>
              <w:rPr>
                <w:rFonts w:eastAsia="Times New Roman"/>
                <w:color w:val="000000"/>
                <w:sz w:val="20"/>
                <w:szCs w:val="20"/>
              </w:rPr>
            </w:pPr>
            <w:r w:rsidRPr="004622EC">
              <w:rPr>
                <w:rFonts w:eastAsia="Times New Roman"/>
                <w:color w:val="000000"/>
                <w:sz w:val="20"/>
                <w:szCs w:val="20"/>
              </w:rPr>
              <w:t xml:space="preserve">The company is developing a 50 MW wind park near the city of Yereimentau, Akmola region, which will include 25 turbines </w:t>
            </w:r>
          </w:p>
        </w:tc>
      </w:tr>
      <w:tr w:rsidR="00490426" w:rsidRPr="004323C3" w14:paraId="2F6DE7D2" w14:textId="77777777" w:rsidTr="00EF15C9">
        <w:trPr>
          <w:trHeight w:val="267"/>
        </w:trPr>
        <w:tc>
          <w:tcPr>
            <w:tcW w:w="675" w:type="dxa"/>
            <w:vMerge/>
            <w:textDirection w:val="btLr"/>
          </w:tcPr>
          <w:p w14:paraId="5826D844" w14:textId="77777777" w:rsidR="00490426" w:rsidRPr="004622EC" w:rsidRDefault="00490426">
            <w:pPr>
              <w:ind w:left="113" w:right="113"/>
              <w:rPr>
                <w:b/>
                <w:sz w:val="20"/>
                <w:szCs w:val="20"/>
              </w:rPr>
            </w:pPr>
          </w:p>
        </w:tc>
        <w:tc>
          <w:tcPr>
            <w:tcW w:w="1843" w:type="dxa"/>
          </w:tcPr>
          <w:p w14:paraId="654396FF" w14:textId="77777777" w:rsidR="00490426" w:rsidRPr="004622EC" w:rsidRDefault="00490426">
            <w:pPr>
              <w:rPr>
                <w:b/>
                <w:sz w:val="20"/>
                <w:szCs w:val="20"/>
              </w:rPr>
            </w:pPr>
            <w:r w:rsidRPr="004622EC">
              <w:rPr>
                <w:b/>
                <w:sz w:val="20"/>
                <w:szCs w:val="20"/>
              </w:rPr>
              <w:t xml:space="preserve">Arman Engineering </w:t>
            </w:r>
          </w:p>
          <w:p w14:paraId="6D049CDC" w14:textId="77777777" w:rsidR="00490426" w:rsidRPr="004622EC" w:rsidRDefault="00490426">
            <w:pPr>
              <w:rPr>
                <w:b/>
                <w:sz w:val="20"/>
                <w:szCs w:val="20"/>
              </w:rPr>
            </w:pPr>
          </w:p>
        </w:tc>
        <w:tc>
          <w:tcPr>
            <w:tcW w:w="8498" w:type="dxa"/>
          </w:tcPr>
          <w:p w14:paraId="65029729" w14:textId="77777777" w:rsidR="00490426" w:rsidRPr="004622EC" w:rsidRDefault="00490426">
            <w:pPr>
              <w:rPr>
                <w:rFonts w:eastAsia="Times New Roman"/>
                <w:color w:val="000000"/>
                <w:sz w:val="20"/>
                <w:szCs w:val="20"/>
              </w:rPr>
            </w:pPr>
            <w:r w:rsidRPr="004622EC">
              <w:rPr>
                <w:rFonts w:eastAsia="Times New Roman"/>
                <w:color w:val="000000"/>
                <w:sz w:val="20"/>
                <w:szCs w:val="20"/>
              </w:rPr>
              <w:t xml:space="preserve">The company is developing 15MW solar project in Badamsha settlement Aktubinskaya oblast and 28MW project in Zhuldys settlement in South Kazakhstan </w:t>
            </w:r>
          </w:p>
        </w:tc>
      </w:tr>
      <w:tr w:rsidR="00490426" w:rsidRPr="004323C3" w14:paraId="1F3BDE8E" w14:textId="77777777" w:rsidTr="00EF15C9">
        <w:trPr>
          <w:trHeight w:val="267"/>
        </w:trPr>
        <w:tc>
          <w:tcPr>
            <w:tcW w:w="675" w:type="dxa"/>
            <w:vMerge/>
            <w:textDirection w:val="btLr"/>
          </w:tcPr>
          <w:p w14:paraId="26633AA8" w14:textId="77777777" w:rsidR="00490426" w:rsidRPr="004622EC" w:rsidRDefault="00490426">
            <w:pPr>
              <w:ind w:left="113" w:right="113"/>
              <w:rPr>
                <w:b/>
                <w:sz w:val="20"/>
                <w:szCs w:val="20"/>
              </w:rPr>
            </w:pPr>
          </w:p>
        </w:tc>
        <w:tc>
          <w:tcPr>
            <w:tcW w:w="1843" w:type="dxa"/>
          </w:tcPr>
          <w:p w14:paraId="47CE10ED" w14:textId="77777777" w:rsidR="00490426" w:rsidRPr="004622EC" w:rsidRDefault="00490426">
            <w:pPr>
              <w:rPr>
                <w:b/>
                <w:sz w:val="20"/>
                <w:szCs w:val="20"/>
              </w:rPr>
            </w:pPr>
            <w:r w:rsidRPr="004622EC">
              <w:rPr>
                <w:b/>
                <w:sz w:val="20"/>
                <w:szCs w:val="20"/>
              </w:rPr>
              <w:t>SWP</w:t>
            </w:r>
          </w:p>
        </w:tc>
        <w:tc>
          <w:tcPr>
            <w:tcW w:w="8498" w:type="dxa"/>
          </w:tcPr>
          <w:p w14:paraId="476C4264" w14:textId="77777777" w:rsidR="00490426" w:rsidRPr="004622EC" w:rsidRDefault="00490426">
            <w:pPr>
              <w:rPr>
                <w:rFonts w:eastAsia="Times New Roman"/>
                <w:color w:val="000000"/>
                <w:sz w:val="20"/>
                <w:szCs w:val="20"/>
              </w:rPr>
            </w:pPr>
            <w:r w:rsidRPr="004622EC">
              <w:rPr>
                <w:rFonts w:eastAsia="Times New Roman"/>
                <w:color w:val="000000"/>
                <w:sz w:val="20"/>
                <w:szCs w:val="20"/>
              </w:rPr>
              <w:t>The company is developing 19.5 MW and 42MW wind project in Mangistau oblast.</w:t>
            </w:r>
          </w:p>
        </w:tc>
      </w:tr>
      <w:tr w:rsidR="00490426" w:rsidRPr="004323C3" w14:paraId="4C6C15A6" w14:textId="77777777" w:rsidTr="00B96F6C">
        <w:trPr>
          <w:trHeight w:val="267"/>
        </w:trPr>
        <w:tc>
          <w:tcPr>
            <w:tcW w:w="675" w:type="dxa"/>
            <w:vMerge/>
            <w:textDirection w:val="btLr"/>
          </w:tcPr>
          <w:p w14:paraId="56D5BA76" w14:textId="77777777" w:rsidR="00490426" w:rsidRPr="004622EC" w:rsidRDefault="00490426">
            <w:pPr>
              <w:ind w:left="113" w:right="113"/>
              <w:rPr>
                <w:b/>
                <w:sz w:val="20"/>
                <w:szCs w:val="20"/>
              </w:rPr>
            </w:pPr>
          </w:p>
        </w:tc>
        <w:tc>
          <w:tcPr>
            <w:tcW w:w="1843" w:type="dxa"/>
            <w:vAlign w:val="center"/>
          </w:tcPr>
          <w:p w14:paraId="605F28A4" w14:textId="77777777" w:rsidR="00490426" w:rsidRPr="004622EC" w:rsidRDefault="00072370">
            <w:pPr>
              <w:rPr>
                <w:b/>
                <w:sz w:val="20"/>
                <w:szCs w:val="20"/>
              </w:rPr>
            </w:pPr>
            <w:r w:rsidRPr="004622EC">
              <w:rPr>
                <w:rFonts w:eastAsia="Times New Roman" w:cs="Arial"/>
                <w:b/>
                <w:bCs/>
                <w:color w:val="000000"/>
                <w:sz w:val="20"/>
                <w:szCs w:val="20"/>
              </w:rPr>
              <w:t>Ltd Solar</w:t>
            </w:r>
            <w:r w:rsidR="00490426" w:rsidRPr="004622EC">
              <w:rPr>
                <w:rFonts w:eastAsia="Times New Roman" w:cs="Arial"/>
                <w:b/>
                <w:bCs/>
                <w:color w:val="000000"/>
                <w:sz w:val="20"/>
                <w:szCs w:val="20"/>
              </w:rPr>
              <w:t xml:space="preserve"> </w:t>
            </w:r>
            <w:r w:rsidRPr="004622EC">
              <w:rPr>
                <w:rFonts w:eastAsia="Times New Roman" w:cs="Arial"/>
                <w:b/>
                <w:bCs/>
                <w:color w:val="000000"/>
                <w:sz w:val="20"/>
                <w:szCs w:val="20"/>
              </w:rPr>
              <w:t>Kurylys</w:t>
            </w:r>
          </w:p>
        </w:tc>
        <w:tc>
          <w:tcPr>
            <w:tcW w:w="8498" w:type="dxa"/>
            <w:vAlign w:val="center"/>
          </w:tcPr>
          <w:p w14:paraId="3DA70B5F" w14:textId="77777777" w:rsidR="00490426" w:rsidRPr="004622EC" w:rsidRDefault="00490426">
            <w:pPr>
              <w:rPr>
                <w:rFonts w:eastAsia="Times New Roman"/>
                <w:color w:val="000000"/>
                <w:sz w:val="20"/>
                <w:szCs w:val="20"/>
              </w:rPr>
            </w:pPr>
            <w:r w:rsidRPr="004622EC">
              <w:rPr>
                <w:rFonts w:eastAsia="Times New Roman"/>
                <w:color w:val="000000"/>
                <w:sz w:val="20"/>
                <w:szCs w:val="20"/>
              </w:rPr>
              <w:t xml:space="preserve">The company is developing </w:t>
            </w:r>
            <w:r w:rsidRPr="004622EC">
              <w:rPr>
                <w:rFonts w:eastAsia="Times New Roman" w:cs="Arial"/>
                <w:color w:val="000000"/>
                <w:sz w:val="20"/>
                <w:szCs w:val="20"/>
              </w:rPr>
              <w:t>35 MW solar park in Atyrau oblast.</w:t>
            </w:r>
          </w:p>
        </w:tc>
      </w:tr>
      <w:tr w:rsidR="00490426" w:rsidRPr="004323C3" w14:paraId="63EC50A6" w14:textId="77777777" w:rsidTr="00FC3BA7">
        <w:trPr>
          <w:trHeight w:val="267"/>
        </w:trPr>
        <w:tc>
          <w:tcPr>
            <w:tcW w:w="675" w:type="dxa"/>
            <w:vMerge/>
            <w:textDirection w:val="btLr"/>
          </w:tcPr>
          <w:p w14:paraId="69876ED9" w14:textId="77777777" w:rsidR="00490426" w:rsidRPr="004622EC" w:rsidRDefault="00490426">
            <w:pPr>
              <w:ind w:left="113" w:right="113"/>
              <w:rPr>
                <w:b/>
                <w:sz w:val="20"/>
                <w:szCs w:val="20"/>
              </w:rPr>
            </w:pPr>
          </w:p>
        </w:tc>
        <w:tc>
          <w:tcPr>
            <w:tcW w:w="1843" w:type="dxa"/>
            <w:vAlign w:val="center"/>
          </w:tcPr>
          <w:p w14:paraId="0BB46A1B" w14:textId="77777777" w:rsidR="00490426" w:rsidRPr="004622EC" w:rsidRDefault="00490426">
            <w:pPr>
              <w:rPr>
                <w:b/>
                <w:sz w:val="20"/>
                <w:szCs w:val="20"/>
              </w:rPr>
            </w:pPr>
            <w:r w:rsidRPr="004622EC">
              <w:rPr>
                <w:rFonts w:eastAsia="Times New Roman" w:cs="Arial"/>
                <w:b/>
                <w:bCs/>
                <w:color w:val="000000"/>
                <w:sz w:val="20"/>
                <w:szCs w:val="20"/>
              </w:rPr>
              <w:t>Fonroche Energies Renouvelables (France)</w:t>
            </w:r>
          </w:p>
        </w:tc>
        <w:tc>
          <w:tcPr>
            <w:tcW w:w="8498" w:type="dxa"/>
            <w:vAlign w:val="center"/>
          </w:tcPr>
          <w:p w14:paraId="2357372C" w14:textId="77777777" w:rsidR="00490426" w:rsidRPr="004622EC" w:rsidRDefault="00490426">
            <w:pPr>
              <w:rPr>
                <w:rFonts w:eastAsia="Times New Roman"/>
                <w:color w:val="000000"/>
                <w:sz w:val="20"/>
                <w:szCs w:val="20"/>
              </w:rPr>
            </w:pPr>
            <w:r w:rsidRPr="004622EC">
              <w:rPr>
                <w:rFonts w:eastAsia="Times New Roman"/>
                <w:color w:val="000000"/>
                <w:sz w:val="20"/>
                <w:szCs w:val="20"/>
              </w:rPr>
              <w:t xml:space="preserve">The company is developing </w:t>
            </w:r>
            <w:r w:rsidRPr="004622EC">
              <w:rPr>
                <w:rFonts w:eastAsia="Times New Roman" w:cs="Arial"/>
                <w:color w:val="000000"/>
                <w:sz w:val="20"/>
                <w:szCs w:val="20"/>
              </w:rPr>
              <w:t>20-24  MW solar park in Taras city.</w:t>
            </w:r>
          </w:p>
        </w:tc>
      </w:tr>
      <w:tr w:rsidR="00490426" w:rsidRPr="004323C3" w14:paraId="63C89916" w14:textId="77777777" w:rsidTr="00FC3BA7">
        <w:trPr>
          <w:trHeight w:val="267"/>
        </w:trPr>
        <w:tc>
          <w:tcPr>
            <w:tcW w:w="675" w:type="dxa"/>
            <w:vMerge/>
            <w:textDirection w:val="btLr"/>
          </w:tcPr>
          <w:p w14:paraId="7BDEDCF3" w14:textId="77777777" w:rsidR="00490426" w:rsidRPr="004622EC" w:rsidRDefault="00490426">
            <w:pPr>
              <w:ind w:left="113" w:right="113"/>
              <w:rPr>
                <w:b/>
                <w:sz w:val="20"/>
                <w:szCs w:val="20"/>
              </w:rPr>
            </w:pPr>
          </w:p>
        </w:tc>
        <w:tc>
          <w:tcPr>
            <w:tcW w:w="1843" w:type="dxa"/>
            <w:vAlign w:val="center"/>
          </w:tcPr>
          <w:p w14:paraId="2FCF3EA7" w14:textId="77777777" w:rsidR="00490426" w:rsidRPr="004622EC" w:rsidRDefault="001A5747">
            <w:pPr>
              <w:rPr>
                <w:b/>
                <w:sz w:val="20"/>
                <w:szCs w:val="20"/>
              </w:rPr>
            </w:pPr>
            <w:r w:rsidRPr="004622EC">
              <w:rPr>
                <w:rFonts w:eastAsia="Times New Roman" w:cs="Arial"/>
                <w:b/>
                <w:bCs/>
                <w:color w:val="000000"/>
                <w:sz w:val="20"/>
                <w:szCs w:val="20"/>
              </w:rPr>
              <w:t>LTD PVES</w:t>
            </w:r>
          </w:p>
        </w:tc>
        <w:tc>
          <w:tcPr>
            <w:tcW w:w="8498" w:type="dxa"/>
            <w:vAlign w:val="center"/>
          </w:tcPr>
          <w:p w14:paraId="3CA3678E" w14:textId="77777777" w:rsidR="00490426" w:rsidRPr="004622EC" w:rsidRDefault="00490426">
            <w:pPr>
              <w:rPr>
                <w:rFonts w:eastAsia="Times New Roman"/>
                <w:color w:val="000000"/>
                <w:sz w:val="20"/>
                <w:szCs w:val="20"/>
              </w:rPr>
            </w:pPr>
            <w:r w:rsidRPr="004622EC">
              <w:rPr>
                <w:rFonts w:eastAsia="Times New Roman"/>
                <w:color w:val="000000"/>
                <w:sz w:val="20"/>
                <w:szCs w:val="20"/>
              </w:rPr>
              <w:t xml:space="preserve">The company is developing </w:t>
            </w:r>
            <w:r w:rsidRPr="004622EC">
              <w:rPr>
                <w:rFonts w:eastAsia="Times New Roman" w:cs="Arial"/>
                <w:color w:val="000000"/>
                <w:sz w:val="20"/>
                <w:szCs w:val="20"/>
              </w:rPr>
              <w:t>45 MW wind park in Erementau city.</w:t>
            </w:r>
          </w:p>
        </w:tc>
      </w:tr>
      <w:tr w:rsidR="00490426" w:rsidRPr="004323C3" w14:paraId="23DCFC20" w14:textId="77777777" w:rsidTr="00FC3BA7">
        <w:trPr>
          <w:trHeight w:val="267"/>
        </w:trPr>
        <w:tc>
          <w:tcPr>
            <w:tcW w:w="675" w:type="dxa"/>
            <w:vMerge/>
            <w:textDirection w:val="btLr"/>
          </w:tcPr>
          <w:p w14:paraId="21A5CD6A" w14:textId="77777777" w:rsidR="00490426" w:rsidRPr="004622EC" w:rsidRDefault="00490426">
            <w:pPr>
              <w:ind w:left="113" w:right="113"/>
              <w:rPr>
                <w:b/>
                <w:sz w:val="20"/>
                <w:szCs w:val="20"/>
              </w:rPr>
            </w:pPr>
          </w:p>
        </w:tc>
        <w:tc>
          <w:tcPr>
            <w:tcW w:w="1843" w:type="dxa"/>
            <w:vAlign w:val="center"/>
          </w:tcPr>
          <w:p w14:paraId="70C62EFA" w14:textId="77777777" w:rsidR="00490426" w:rsidRPr="004622EC" w:rsidRDefault="001A5747">
            <w:pPr>
              <w:rPr>
                <w:b/>
                <w:sz w:val="20"/>
                <w:szCs w:val="20"/>
              </w:rPr>
            </w:pPr>
            <w:r w:rsidRPr="004622EC">
              <w:rPr>
                <w:rFonts w:eastAsia="Times New Roman" w:cs="Arial"/>
                <w:b/>
                <w:bCs/>
                <w:color w:val="000000"/>
                <w:sz w:val="20"/>
                <w:szCs w:val="20"/>
              </w:rPr>
              <w:t xml:space="preserve">LTD </w:t>
            </w:r>
            <w:r w:rsidR="00490426" w:rsidRPr="004622EC">
              <w:rPr>
                <w:rFonts w:eastAsia="Times New Roman" w:cs="Arial"/>
                <w:b/>
                <w:bCs/>
                <w:color w:val="000000"/>
                <w:sz w:val="20"/>
                <w:szCs w:val="20"/>
              </w:rPr>
              <w:t>Nomad Solar</w:t>
            </w:r>
          </w:p>
        </w:tc>
        <w:tc>
          <w:tcPr>
            <w:tcW w:w="8498" w:type="dxa"/>
            <w:vAlign w:val="center"/>
          </w:tcPr>
          <w:p w14:paraId="7E0513FE" w14:textId="77777777" w:rsidR="00490426" w:rsidRPr="004622EC" w:rsidRDefault="00490426">
            <w:pPr>
              <w:rPr>
                <w:rFonts w:eastAsia="Times New Roman"/>
                <w:color w:val="000000"/>
                <w:sz w:val="20"/>
                <w:szCs w:val="20"/>
              </w:rPr>
            </w:pPr>
            <w:r w:rsidRPr="004622EC">
              <w:rPr>
                <w:rFonts w:eastAsia="Times New Roman"/>
                <w:color w:val="000000"/>
                <w:sz w:val="20"/>
                <w:szCs w:val="20"/>
              </w:rPr>
              <w:t>The company is developing 30 MW solar park in Kesylorda oblast.</w:t>
            </w:r>
          </w:p>
        </w:tc>
      </w:tr>
      <w:tr w:rsidR="00490426" w:rsidRPr="004323C3" w14:paraId="09CCE862" w14:textId="77777777" w:rsidTr="00FC3BA7">
        <w:trPr>
          <w:trHeight w:val="267"/>
        </w:trPr>
        <w:tc>
          <w:tcPr>
            <w:tcW w:w="675" w:type="dxa"/>
            <w:vMerge/>
            <w:textDirection w:val="btLr"/>
          </w:tcPr>
          <w:p w14:paraId="6FC10D0C" w14:textId="77777777" w:rsidR="00490426" w:rsidRPr="004622EC" w:rsidRDefault="00490426">
            <w:pPr>
              <w:ind w:left="113" w:right="113"/>
              <w:rPr>
                <w:b/>
                <w:sz w:val="20"/>
                <w:szCs w:val="20"/>
              </w:rPr>
            </w:pPr>
          </w:p>
        </w:tc>
        <w:tc>
          <w:tcPr>
            <w:tcW w:w="1843" w:type="dxa"/>
            <w:vAlign w:val="center"/>
          </w:tcPr>
          <w:p w14:paraId="5C1E72C1" w14:textId="77777777" w:rsidR="00490426" w:rsidRPr="004622EC" w:rsidRDefault="00490426">
            <w:pPr>
              <w:rPr>
                <w:b/>
                <w:sz w:val="20"/>
                <w:szCs w:val="20"/>
              </w:rPr>
            </w:pPr>
            <w:r w:rsidRPr="004622EC">
              <w:rPr>
                <w:rFonts w:eastAsia="Times New Roman" w:cs="Arial"/>
                <w:b/>
                <w:bCs/>
                <w:color w:val="000000"/>
                <w:sz w:val="20"/>
                <w:szCs w:val="20"/>
              </w:rPr>
              <w:t>ТОО "БЕСТ-Групп"</w:t>
            </w:r>
          </w:p>
        </w:tc>
        <w:tc>
          <w:tcPr>
            <w:tcW w:w="8498" w:type="dxa"/>
            <w:vAlign w:val="center"/>
          </w:tcPr>
          <w:p w14:paraId="17253773" w14:textId="77777777" w:rsidR="00490426" w:rsidRPr="004622EC" w:rsidRDefault="00490426">
            <w:pPr>
              <w:rPr>
                <w:rFonts w:eastAsia="Times New Roman"/>
                <w:color w:val="000000"/>
                <w:sz w:val="20"/>
                <w:szCs w:val="20"/>
              </w:rPr>
            </w:pPr>
            <w:r w:rsidRPr="004622EC">
              <w:rPr>
                <w:rFonts w:eastAsia="Times New Roman"/>
                <w:color w:val="000000"/>
                <w:sz w:val="20"/>
                <w:szCs w:val="20"/>
              </w:rPr>
              <w:t>The company is developing 5 MW solar project in Aktau city.</w:t>
            </w:r>
          </w:p>
        </w:tc>
      </w:tr>
      <w:tr w:rsidR="00490426" w:rsidRPr="004323C3" w14:paraId="6DCAAC89" w14:textId="77777777" w:rsidTr="00FC3BA7">
        <w:trPr>
          <w:trHeight w:val="267"/>
        </w:trPr>
        <w:tc>
          <w:tcPr>
            <w:tcW w:w="675" w:type="dxa"/>
            <w:vMerge/>
            <w:textDirection w:val="btLr"/>
          </w:tcPr>
          <w:p w14:paraId="14FBB485" w14:textId="77777777" w:rsidR="00490426" w:rsidRPr="004622EC" w:rsidRDefault="00490426">
            <w:pPr>
              <w:ind w:left="113" w:right="113"/>
              <w:rPr>
                <w:b/>
                <w:sz w:val="20"/>
                <w:szCs w:val="20"/>
              </w:rPr>
            </w:pPr>
          </w:p>
        </w:tc>
        <w:tc>
          <w:tcPr>
            <w:tcW w:w="1843" w:type="dxa"/>
            <w:vAlign w:val="center"/>
          </w:tcPr>
          <w:p w14:paraId="17491FA5" w14:textId="77777777" w:rsidR="00490426" w:rsidRPr="004622EC" w:rsidRDefault="00490426">
            <w:pPr>
              <w:rPr>
                <w:rFonts w:eastAsia="Times New Roman" w:cs="Arial"/>
                <w:b/>
                <w:bCs/>
                <w:color w:val="000000"/>
                <w:sz w:val="20"/>
                <w:szCs w:val="20"/>
              </w:rPr>
            </w:pPr>
            <w:r w:rsidRPr="004622EC">
              <w:rPr>
                <w:rFonts w:eastAsia="Times New Roman"/>
                <w:b/>
                <w:bCs/>
                <w:color w:val="000000"/>
                <w:sz w:val="20"/>
                <w:szCs w:val="20"/>
              </w:rPr>
              <w:t>Eurofinsa Group (Madrid, Spain)</w:t>
            </w:r>
          </w:p>
        </w:tc>
        <w:tc>
          <w:tcPr>
            <w:tcW w:w="8498" w:type="dxa"/>
            <w:vAlign w:val="center"/>
          </w:tcPr>
          <w:p w14:paraId="6B4FC1CC" w14:textId="77777777" w:rsidR="00490426" w:rsidRPr="004622EC" w:rsidRDefault="00490426">
            <w:pPr>
              <w:rPr>
                <w:rFonts w:eastAsia="Times New Roman"/>
                <w:color w:val="000000"/>
                <w:sz w:val="20"/>
                <w:szCs w:val="20"/>
              </w:rPr>
            </w:pPr>
            <w:r w:rsidRPr="004622EC">
              <w:rPr>
                <w:rFonts w:eastAsia="Times New Roman"/>
                <w:color w:val="000000"/>
                <w:sz w:val="20"/>
                <w:szCs w:val="20"/>
              </w:rPr>
              <w:t xml:space="preserve">The company is developing two 100 MW wind parks in Aktubinsk oblast and Baidibekskyi districti of South Kazakhstan. </w:t>
            </w:r>
          </w:p>
        </w:tc>
      </w:tr>
      <w:tr w:rsidR="00490426" w:rsidRPr="004323C3" w14:paraId="60F688A7" w14:textId="77777777" w:rsidTr="00FC3BA7">
        <w:trPr>
          <w:trHeight w:val="267"/>
        </w:trPr>
        <w:tc>
          <w:tcPr>
            <w:tcW w:w="675" w:type="dxa"/>
            <w:vMerge/>
            <w:textDirection w:val="btLr"/>
          </w:tcPr>
          <w:p w14:paraId="134A06AC" w14:textId="77777777" w:rsidR="00490426" w:rsidRPr="004622EC" w:rsidRDefault="00490426">
            <w:pPr>
              <w:ind w:left="113" w:right="113"/>
              <w:rPr>
                <w:b/>
                <w:sz w:val="20"/>
                <w:szCs w:val="20"/>
              </w:rPr>
            </w:pPr>
          </w:p>
        </w:tc>
        <w:tc>
          <w:tcPr>
            <w:tcW w:w="1843" w:type="dxa"/>
            <w:vAlign w:val="center"/>
          </w:tcPr>
          <w:p w14:paraId="19EEB48D" w14:textId="77777777" w:rsidR="00490426" w:rsidRPr="004622EC" w:rsidRDefault="00490426">
            <w:pPr>
              <w:rPr>
                <w:rFonts w:ascii="MS Mincho" w:eastAsia="MS Mincho" w:hAnsi="MS Mincho" w:cs="MS Mincho"/>
                <w:b/>
                <w:bCs/>
                <w:color w:val="000000"/>
                <w:sz w:val="20"/>
                <w:szCs w:val="20"/>
              </w:rPr>
            </w:pPr>
            <w:r w:rsidRPr="004622EC">
              <w:rPr>
                <w:rFonts w:eastAsia="Times New Roman"/>
                <w:b/>
                <w:bCs/>
                <w:color w:val="000000"/>
                <w:sz w:val="20"/>
                <w:szCs w:val="20"/>
              </w:rPr>
              <w:t>NAR creative-production</w:t>
            </w:r>
            <w:r w:rsidRPr="004622EC">
              <w:rPr>
                <w:rFonts w:ascii="MS Mincho" w:eastAsia="MS Mincho" w:hAnsi="MS Mincho" w:cs="MS Mincho"/>
                <w:b/>
                <w:bCs/>
                <w:color w:val="000000"/>
                <w:sz w:val="20"/>
                <w:szCs w:val="20"/>
              </w:rPr>
              <w:t> </w:t>
            </w:r>
          </w:p>
        </w:tc>
        <w:tc>
          <w:tcPr>
            <w:tcW w:w="8498" w:type="dxa"/>
            <w:vAlign w:val="center"/>
          </w:tcPr>
          <w:p w14:paraId="7591444F" w14:textId="77777777" w:rsidR="00490426" w:rsidRPr="004622EC" w:rsidRDefault="00490426">
            <w:pPr>
              <w:rPr>
                <w:rFonts w:eastAsia="Times New Roman"/>
                <w:color w:val="000000"/>
                <w:sz w:val="20"/>
                <w:szCs w:val="20"/>
              </w:rPr>
            </w:pPr>
            <w:r w:rsidRPr="004622EC">
              <w:rPr>
                <w:rFonts w:eastAsia="Times New Roman"/>
                <w:color w:val="000000"/>
                <w:sz w:val="20"/>
                <w:szCs w:val="20"/>
              </w:rPr>
              <w:t>Developing 120 MW wind project Baibidek – 1.</w:t>
            </w:r>
          </w:p>
        </w:tc>
      </w:tr>
      <w:tr w:rsidR="00490426" w:rsidRPr="004323C3" w14:paraId="3051B96C" w14:textId="77777777" w:rsidTr="00FC3BA7">
        <w:trPr>
          <w:trHeight w:val="267"/>
        </w:trPr>
        <w:tc>
          <w:tcPr>
            <w:tcW w:w="675" w:type="dxa"/>
            <w:vMerge/>
            <w:textDirection w:val="btLr"/>
          </w:tcPr>
          <w:p w14:paraId="6CE5558B" w14:textId="77777777" w:rsidR="00490426" w:rsidRPr="004622EC" w:rsidRDefault="00490426">
            <w:pPr>
              <w:ind w:left="113" w:right="113"/>
              <w:rPr>
                <w:b/>
                <w:sz w:val="20"/>
                <w:szCs w:val="20"/>
              </w:rPr>
            </w:pPr>
          </w:p>
        </w:tc>
        <w:tc>
          <w:tcPr>
            <w:tcW w:w="1843" w:type="dxa"/>
            <w:vAlign w:val="center"/>
          </w:tcPr>
          <w:p w14:paraId="350F9E66" w14:textId="77777777" w:rsidR="00490426" w:rsidRPr="004622EC" w:rsidRDefault="00490426">
            <w:pPr>
              <w:rPr>
                <w:rFonts w:eastAsia="Times New Roman"/>
                <w:b/>
                <w:bCs/>
                <w:color w:val="000000"/>
                <w:sz w:val="20"/>
                <w:szCs w:val="20"/>
              </w:rPr>
            </w:pPr>
            <w:r w:rsidRPr="004622EC">
              <w:rPr>
                <w:rFonts w:eastAsia="Times New Roman"/>
                <w:b/>
                <w:bCs/>
                <w:color w:val="000000"/>
                <w:sz w:val="20"/>
                <w:szCs w:val="20"/>
              </w:rPr>
              <w:t xml:space="preserve">Ltd Promondis Kazakhstan </w:t>
            </w:r>
          </w:p>
        </w:tc>
        <w:tc>
          <w:tcPr>
            <w:tcW w:w="8498" w:type="dxa"/>
            <w:vAlign w:val="center"/>
          </w:tcPr>
          <w:p w14:paraId="333C6DEC" w14:textId="77777777" w:rsidR="00490426" w:rsidRPr="004622EC" w:rsidRDefault="00490426">
            <w:pPr>
              <w:rPr>
                <w:rFonts w:eastAsia="Times New Roman"/>
                <w:color w:val="000000"/>
                <w:sz w:val="20"/>
                <w:szCs w:val="20"/>
              </w:rPr>
            </w:pPr>
            <w:r w:rsidRPr="004622EC">
              <w:rPr>
                <w:rFonts w:eastAsia="Times New Roman"/>
                <w:color w:val="000000"/>
                <w:sz w:val="20"/>
                <w:szCs w:val="20"/>
              </w:rPr>
              <w:t>Developin</w:t>
            </w:r>
            <w:r w:rsidR="004323C3">
              <w:rPr>
                <w:rFonts w:eastAsia="Times New Roman"/>
                <w:color w:val="000000"/>
                <w:sz w:val="20"/>
                <w:szCs w:val="20"/>
              </w:rPr>
              <w:t>g</w:t>
            </w:r>
            <w:r w:rsidRPr="004622EC">
              <w:rPr>
                <w:rFonts w:eastAsia="Times New Roman"/>
                <w:color w:val="000000"/>
                <w:sz w:val="20"/>
                <w:szCs w:val="20"/>
              </w:rPr>
              <w:t xml:space="preserve"> 35 MW solar project in rural district of Koksarai, Southern Kazakhstan.</w:t>
            </w:r>
          </w:p>
        </w:tc>
      </w:tr>
      <w:tr w:rsidR="00490426" w:rsidRPr="004323C3" w14:paraId="21C6C6B1" w14:textId="77777777" w:rsidTr="00FC3BA7">
        <w:trPr>
          <w:trHeight w:val="267"/>
        </w:trPr>
        <w:tc>
          <w:tcPr>
            <w:tcW w:w="675" w:type="dxa"/>
            <w:vMerge/>
            <w:textDirection w:val="btLr"/>
          </w:tcPr>
          <w:p w14:paraId="4A433109" w14:textId="77777777" w:rsidR="00490426" w:rsidRPr="004622EC" w:rsidRDefault="00490426">
            <w:pPr>
              <w:ind w:left="113" w:right="113"/>
              <w:rPr>
                <w:b/>
                <w:sz w:val="20"/>
                <w:szCs w:val="20"/>
              </w:rPr>
            </w:pPr>
          </w:p>
        </w:tc>
        <w:tc>
          <w:tcPr>
            <w:tcW w:w="1843" w:type="dxa"/>
            <w:vAlign w:val="center"/>
          </w:tcPr>
          <w:p w14:paraId="0EBD0715" w14:textId="77777777" w:rsidR="00490426" w:rsidRPr="004622EC" w:rsidRDefault="00490426">
            <w:pPr>
              <w:rPr>
                <w:rFonts w:eastAsia="Times New Roman"/>
                <w:b/>
                <w:bCs/>
                <w:color w:val="000000"/>
                <w:sz w:val="20"/>
                <w:szCs w:val="20"/>
              </w:rPr>
            </w:pPr>
            <w:r w:rsidRPr="004622EC">
              <w:rPr>
                <w:rFonts w:eastAsia="Times New Roman"/>
                <w:b/>
                <w:bCs/>
                <w:color w:val="000000"/>
                <w:sz w:val="20"/>
                <w:szCs w:val="20"/>
              </w:rPr>
              <w:t xml:space="preserve">Ltd "Antares Platinum" </w:t>
            </w:r>
          </w:p>
        </w:tc>
        <w:tc>
          <w:tcPr>
            <w:tcW w:w="8498" w:type="dxa"/>
            <w:vAlign w:val="center"/>
          </w:tcPr>
          <w:p w14:paraId="04C557D2" w14:textId="77777777" w:rsidR="00490426" w:rsidRPr="004622EC" w:rsidRDefault="00C953AA">
            <w:pPr>
              <w:rPr>
                <w:rFonts w:eastAsia="Times New Roman"/>
                <w:color w:val="000000"/>
                <w:sz w:val="20"/>
                <w:szCs w:val="20"/>
              </w:rPr>
            </w:pPr>
            <w:r w:rsidRPr="004622EC">
              <w:rPr>
                <w:rFonts w:eastAsia="Times New Roman"/>
                <w:color w:val="000000"/>
                <w:sz w:val="20"/>
                <w:szCs w:val="20"/>
              </w:rPr>
              <w:t>Developing 60 MW wind project in Karabatan sett</w:t>
            </w:r>
            <w:r>
              <w:rPr>
                <w:rFonts w:eastAsia="Times New Roman"/>
                <w:color w:val="000000"/>
                <w:sz w:val="20"/>
                <w:szCs w:val="20"/>
              </w:rPr>
              <w:t>l</w:t>
            </w:r>
            <w:r w:rsidRPr="004622EC">
              <w:rPr>
                <w:rFonts w:eastAsia="Times New Roman"/>
                <w:color w:val="000000"/>
                <w:sz w:val="20"/>
                <w:szCs w:val="20"/>
              </w:rPr>
              <w:t>ement, Atyraus oblast.</w:t>
            </w:r>
          </w:p>
        </w:tc>
      </w:tr>
      <w:tr w:rsidR="00490426" w:rsidRPr="004323C3" w14:paraId="41749958" w14:textId="77777777" w:rsidTr="00FC3BA7">
        <w:trPr>
          <w:trHeight w:val="267"/>
        </w:trPr>
        <w:tc>
          <w:tcPr>
            <w:tcW w:w="675" w:type="dxa"/>
            <w:vMerge/>
            <w:textDirection w:val="btLr"/>
          </w:tcPr>
          <w:p w14:paraId="61C13F01" w14:textId="77777777" w:rsidR="00490426" w:rsidRPr="004622EC" w:rsidRDefault="00490426">
            <w:pPr>
              <w:ind w:left="113" w:right="113"/>
              <w:rPr>
                <w:b/>
                <w:sz w:val="20"/>
                <w:szCs w:val="20"/>
              </w:rPr>
            </w:pPr>
          </w:p>
        </w:tc>
        <w:tc>
          <w:tcPr>
            <w:tcW w:w="1843" w:type="dxa"/>
            <w:vAlign w:val="center"/>
          </w:tcPr>
          <w:p w14:paraId="4D9AE6E0" w14:textId="77777777" w:rsidR="00490426" w:rsidRPr="004622EC" w:rsidRDefault="00490426">
            <w:pPr>
              <w:rPr>
                <w:rFonts w:eastAsia="Times New Roman"/>
                <w:b/>
                <w:bCs/>
                <w:color w:val="000000"/>
                <w:sz w:val="20"/>
                <w:szCs w:val="20"/>
              </w:rPr>
            </w:pPr>
            <w:r w:rsidRPr="004622EC">
              <w:rPr>
                <w:rFonts w:eastAsia="Times New Roman"/>
                <w:b/>
                <w:bCs/>
                <w:color w:val="000000"/>
                <w:sz w:val="20"/>
                <w:szCs w:val="20"/>
              </w:rPr>
              <w:t xml:space="preserve">Ltd VES Saikan </w:t>
            </w:r>
          </w:p>
        </w:tc>
        <w:tc>
          <w:tcPr>
            <w:tcW w:w="8498" w:type="dxa"/>
            <w:vAlign w:val="center"/>
          </w:tcPr>
          <w:p w14:paraId="4A97ED3A" w14:textId="77777777" w:rsidR="00490426" w:rsidRPr="004622EC" w:rsidRDefault="00490426">
            <w:pPr>
              <w:rPr>
                <w:rFonts w:eastAsia="Times New Roman"/>
                <w:color w:val="000000"/>
                <w:sz w:val="20"/>
                <w:szCs w:val="20"/>
              </w:rPr>
            </w:pPr>
            <w:r w:rsidRPr="004622EC">
              <w:rPr>
                <w:rFonts w:eastAsia="Times New Roman"/>
                <w:color w:val="000000"/>
                <w:sz w:val="20"/>
                <w:szCs w:val="20"/>
              </w:rPr>
              <w:t xml:space="preserve">Developing 19.5 MW wind project 'Saikan in Almata oblast. </w:t>
            </w:r>
          </w:p>
        </w:tc>
      </w:tr>
      <w:tr w:rsidR="00490426" w:rsidRPr="004323C3" w14:paraId="218A3FF8" w14:textId="77777777" w:rsidTr="00FC3BA7">
        <w:trPr>
          <w:trHeight w:val="267"/>
        </w:trPr>
        <w:tc>
          <w:tcPr>
            <w:tcW w:w="675" w:type="dxa"/>
            <w:vMerge/>
            <w:textDirection w:val="btLr"/>
          </w:tcPr>
          <w:p w14:paraId="312BA58D" w14:textId="77777777" w:rsidR="00490426" w:rsidRPr="004622EC" w:rsidRDefault="00490426">
            <w:pPr>
              <w:ind w:left="113" w:right="113"/>
              <w:rPr>
                <w:b/>
                <w:sz w:val="20"/>
                <w:szCs w:val="20"/>
              </w:rPr>
            </w:pPr>
          </w:p>
        </w:tc>
        <w:tc>
          <w:tcPr>
            <w:tcW w:w="1843" w:type="dxa"/>
            <w:vAlign w:val="center"/>
          </w:tcPr>
          <w:p w14:paraId="727AF13B" w14:textId="77777777" w:rsidR="00490426" w:rsidRPr="004622EC" w:rsidRDefault="00490426">
            <w:pPr>
              <w:rPr>
                <w:rFonts w:eastAsia="Times New Roman"/>
                <w:b/>
                <w:bCs/>
                <w:color w:val="000000"/>
                <w:sz w:val="20"/>
                <w:szCs w:val="20"/>
              </w:rPr>
            </w:pPr>
            <w:r w:rsidRPr="004622EC">
              <w:rPr>
                <w:rFonts w:eastAsia="Times New Roman"/>
                <w:b/>
                <w:bCs/>
                <w:color w:val="000000"/>
                <w:sz w:val="20"/>
                <w:szCs w:val="20"/>
              </w:rPr>
              <w:t xml:space="preserve">Ltd Zhetisu Solar Power </w:t>
            </w:r>
          </w:p>
        </w:tc>
        <w:tc>
          <w:tcPr>
            <w:tcW w:w="8498" w:type="dxa"/>
            <w:vAlign w:val="center"/>
          </w:tcPr>
          <w:p w14:paraId="71854A8F" w14:textId="77777777" w:rsidR="00490426" w:rsidRPr="004622EC" w:rsidRDefault="00490426">
            <w:pPr>
              <w:rPr>
                <w:rFonts w:eastAsia="Times New Roman"/>
                <w:color w:val="000000"/>
                <w:sz w:val="20"/>
                <w:szCs w:val="20"/>
              </w:rPr>
            </w:pPr>
            <w:r w:rsidRPr="004622EC">
              <w:rPr>
                <w:rFonts w:eastAsia="Times New Roman"/>
                <w:color w:val="000000"/>
                <w:sz w:val="20"/>
                <w:szCs w:val="20"/>
              </w:rPr>
              <w:t xml:space="preserve">Developing 5MW solar project in Talgar district of Almaty oblast. </w:t>
            </w:r>
          </w:p>
        </w:tc>
      </w:tr>
      <w:tr w:rsidR="00490426" w:rsidRPr="004323C3" w14:paraId="54760809" w14:textId="77777777" w:rsidTr="004622EC">
        <w:trPr>
          <w:trHeight w:val="267"/>
        </w:trPr>
        <w:tc>
          <w:tcPr>
            <w:tcW w:w="675" w:type="dxa"/>
            <w:vMerge/>
            <w:tcBorders>
              <w:bottom w:val="nil"/>
            </w:tcBorders>
            <w:textDirection w:val="btLr"/>
          </w:tcPr>
          <w:p w14:paraId="4FC4D5D9" w14:textId="77777777" w:rsidR="00490426" w:rsidRPr="004622EC" w:rsidRDefault="00490426">
            <w:pPr>
              <w:ind w:left="113" w:right="113"/>
              <w:rPr>
                <w:b/>
                <w:sz w:val="20"/>
                <w:szCs w:val="20"/>
              </w:rPr>
            </w:pPr>
          </w:p>
        </w:tc>
        <w:tc>
          <w:tcPr>
            <w:tcW w:w="1843" w:type="dxa"/>
            <w:vAlign w:val="center"/>
          </w:tcPr>
          <w:p w14:paraId="4D4CCDFB" w14:textId="77777777" w:rsidR="00490426" w:rsidRPr="004622EC" w:rsidRDefault="00490426">
            <w:pPr>
              <w:rPr>
                <w:rFonts w:ascii="MS Mincho" w:eastAsia="MS Mincho" w:hAnsi="MS Mincho" w:cs="MS Mincho"/>
                <w:b/>
                <w:bCs/>
                <w:color w:val="000000"/>
                <w:sz w:val="20"/>
                <w:szCs w:val="20"/>
              </w:rPr>
            </w:pPr>
            <w:r w:rsidRPr="004622EC">
              <w:rPr>
                <w:rFonts w:eastAsia="Times New Roman"/>
                <w:b/>
                <w:bCs/>
                <w:color w:val="000000"/>
                <w:sz w:val="20"/>
                <w:szCs w:val="20"/>
              </w:rPr>
              <w:t>Ltd Sun Solutions Kazakhstan</w:t>
            </w:r>
            <w:r w:rsidRPr="004622EC">
              <w:rPr>
                <w:rFonts w:ascii="MS Mincho" w:eastAsia="MS Mincho" w:hAnsi="MS Mincho" w:cs="MS Mincho"/>
                <w:b/>
                <w:bCs/>
                <w:color w:val="000000"/>
                <w:sz w:val="20"/>
                <w:szCs w:val="20"/>
              </w:rPr>
              <w:t> </w:t>
            </w:r>
          </w:p>
        </w:tc>
        <w:tc>
          <w:tcPr>
            <w:tcW w:w="8498" w:type="dxa"/>
            <w:vAlign w:val="center"/>
          </w:tcPr>
          <w:p w14:paraId="16870275" w14:textId="77777777" w:rsidR="00490426" w:rsidRPr="004622EC" w:rsidRDefault="00490426">
            <w:pPr>
              <w:rPr>
                <w:rFonts w:eastAsia="Times New Roman"/>
                <w:color w:val="000000"/>
                <w:sz w:val="20"/>
                <w:szCs w:val="20"/>
              </w:rPr>
            </w:pPr>
            <w:r w:rsidRPr="004622EC">
              <w:rPr>
                <w:rFonts w:eastAsia="Times New Roman"/>
                <w:color w:val="000000"/>
                <w:sz w:val="20"/>
                <w:szCs w:val="20"/>
              </w:rPr>
              <w:t>Developing 50 MW solar project in Shus district of Zhambyl oblast.</w:t>
            </w:r>
          </w:p>
        </w:tc>
      </w:tr>
      <w:tr w:rsidR="00490426" w:rsidRPr="004323C3" w14:paraId="0CE4DD9F" w14:textId="77777777" w:rsidTr="004622EC">
        <w:trPr>
          <w:trHeight w:val="267"/>
        </w:trPr>
        <w:tc>
          <w:tcPr>
            <w:tcW w:w="675" w:type="dxa"/>
            <w:vMerge w:val="restart"/>
            <w:tcBorders>
              <w:top w:val="nil"/>
            </w:tcBorders>
            <w:textDirection w:val="btLr"/>
          </w:tcPr>
          <w:p w14:paraId="4F1F30B0" w14:textId="77777777" w:rsidR="00490426" w:rsidRPr="004622EC" w:rsidRDefault="00490426">
            <w:pPr>
              <w:ind w:left="113" w:right="113"/>
              <w:rPr>
                <w:b/>
                <w:sz w:val="20"/>
                <w:szCs w:val="20"/>
              </w:rPr>
            </w:pPr>
          </w:p>
        </w:tc>
        <w:tc>
          <w:tcPr>
            <w:tcW w:w="1843" w:type="dxa"/>
            <w:vAlign w:val="center"/>
          </w:tcPr>
          <w:p w14:paraId="7A9BAD98" w14:textId="77777777" w:rsidR="00490426" w:rsidRPr="004622EC" w:rsidRDefault="00490426">
            <w:pPr>
              <w:rPr>
                <w:rFonts w:eastAsia="Times New Roman"/>
                <w:b/>
                <w:bCs/>
                <w:color w:val="000000"/>
                <w:sz w:val="20"/>
                <w:szCs w:val="20"/>
              </w:rPr>
            </w:pPr>
            <w:r w:rsidRPr="004622EC">
              <w:rPr>
                <w:rFonts w:eastAsia="Times New Roman"/>
                <w:b/>
                <w:bCs/>
                <w:color w:val="000000"/>
                <w:sz w:val="20"/>
                <w:szCs w:val="20"/>
              </w:rPr>
              <w:t xml:space="preserve">Ltd Cogenhan </w:t>
            </w:r>
          </w:p>
        </w:tc>
        <w:tc>
          <w:tcPr>
            <w:tcW w:w="8498" w:type="dxa"/>
            <w:vAlign w:val="center"/>
          </w:tcPr>
          <w:p w14:paraId="415FA25F" w14:textId="77777777" w:rsidR="00490426" w:rsidRPr="004622EC" w:rsidRDefault="00490426">
            <w:pPr>
              <w:rPr>
                <w:rFonts w:eastAsia="Times New Roman"/>
                <w:color w:val="000000"/>
                <w:sz w:val="20"/>
                <w:szCs w:val="20"/>
              </w:rPr>
            </w:pPr>
            <w:r w:rsidRPr="004622EC">
              <w:rPr>
                <w:rFonts w:eastAsia="Times New Roman"/>
                <w:color w:val="000000"/>
                <w:sz w:val="20"/>
                <w:szCs w:val="20"/>
              </w:rPr>
              <w:t>Developing 100 MW project in Zhambyl oblast.</w:t>
            </w:r>
          </w:p>
        </w:tc>
      </w:tr>
      <w:tr w:rsidR="00490426" w:rsidRPr="004323C3" w14:paraId="731E6BEC" w14:textId="77777777" w:rsidTr="00B96F6C">
        <w:trPr>
          <w:trHeight w:val="267"/>
        </w:trPr>
        <w:tc>
          <w:tcPr>
            <w:tcW w:w="675" w:type="dxa"/>
            <w:vMerge/>
            <w:textDirection w:val="btLr"/>
          </w:tcPr>
          <w:p w14:paraId="4316DEB3" w14:textId="77777777" w:rsidR="00490426" w:rsidRPr="004622EC" w:rsidRDefault="00490426">
            <w:pPr>
              <w:ind w:left="113" w:right="113"/>
              <w:rPr>
                <w:b/>
                <w:sz w:val="20"/>
                <w:szCs w:val="20"/>
              </w:rPr>
            </w:pPr>
          </w:p>
        </w:tc>
        <w:tc>
          <w:tcPr>
            <w:tcW w:w="1843" w:type="dxa"/>
            <w:vAlign w:val="center"/>
          </w:tcPr>
          <w:p w14:paraId="5F6A4CDF" w14:textId="77777777" w:rsidR="00490426" w:rsidRPr="004622EC" w:rsidRDefault="00490426">
            <w:pPr>
              <w:rPr>
                <w:rFonts w:ascii="MS Mincho" w:eastAsia="MS Mincho" w:hAnsi="MS Mincho" w:cs="MS Mincho"/>
                <w:b/>
                <w:bCs/>
                <w:color w:val="000000"/>
                <w:sz w:val="20"/>
                <w:szCs w:val="20"/>
              </w:rPr>
            </w:pPr>
            <w:r w:rsidRPr="004622EC">
              <w:rPr>
                <w:rFonts w:eastAsia="Times New Roman"/>
                <w:b/>
                <w:bCs/>
                <w:color w:val="000000"/>
                <w:sz w:val="20"/>
                <w:szCs w:val="20"/>
              </w:rPr>
              <w:t>Ltd KPM-Delta</w:t>
            </w:r>
            <w:r w:rsidRPr="004622EC">
              <w:rPr>
                <w:rFonts w:ascii="MS Mincho" w:eastAsia="MS Mincho" w:hAnsi="MS Mincho" w:cs="MS Mincho"/>
                <w:b/>
                <w:bCs/>
                <w:color w:val="000000"/>
                <w:sz w:val="20"/>
                <w:szCs w:val="20"/>
              </w:rPr>
              <w:t> </w:t>
            </w:r>
          </w:p>
        </w:tc>
        <w:tc>
          <w:tcPr>
            <w:tcW w:w="8498" w:type="dxa"/>
            <w:vAlign w:val="center"/>
          </w:tcPr>
          <w:p w14:paraId="0C13EAAB" w14:textId="77777777" w:rsidR="00490426" w:rsidRPr="004622EC" w:rsidRDefault="00490426">
            <w:pPr>
              <w:rPr>
                <w:rFonts w:eastAsia="Times New Roman"/>
                <w:color w:val="000000"/>
                <w:sz w:val="20"/>
                <w:szCs w:val="20"/>
              </w:rPr>
            </w:pPr>
            <w:r w:rsidRPr="004622EC">
              <w:rPr>
                <w:rFonts w:eastAsia="Times New Roman"/>
                <w:color w:val="000000"/>
                <w:sz w:val="20"/>
                <w:szCs w:val="20"/>
              </w:rPr>
              <w:t xml:space="preserve">Developing 40 MW solar project in Gulshat </w:t>
            </w:r>
            <w:r w:rsidR="00C953AA" w:rsidRPr="002B343A">
              <w:rPr>
                <w:rFonts w:eastAsia="Times New Roman"/>
                <w:color w:val="000000"/>
                <w:sz w:val="20"/>
                <w:szCs w:val="20"/>
              </w:rPr>
              <w:t>settlement</w:t>
            </w:r>
            <w:r w:rsidRPr="004622EC">
              <w:rPr>
                <w:rFonts w:eastAsia="Times New Roman"/>
                <w:color w:val="000000"/>
                <w:sz w:val="20"/>
                <w:szCs w:val="20"/>
              </w:rPr>
              <w:t xml:space="preserve">, Karaganda oblast. </w:t>
            </w:r>
          </w:p>
        </w:tc>
      </w:tr>
      <w:tr w:rsidR="00490426" w:rsidRPr="004323C3" w14:paraId="5F665370" w14:textId="77777777" w:rsidTr="00B96F6C">
        <w:trPr>
          <w:trHeight w:val="267"/>
        </w:trPr>
        <w:tc>
          <w:tcPr>
            <w:tcW w:w="675" w:type="dxa"/>
            <w:vMerge/>
            <w:textDirection w:val="btLr"/>
          </w:tcPr>
          <w:p w14:paraId="711F39B6" w14:textId="77777777" w:rsidR="00490426" w:rsidRPr="004622EC" w:rsidRDefault="00490426">
            <w:pPr>
              <w:ind w:left="113" w:right="113"/>
              <w:rPr>
                <w:b/>
                <w:sz w:val="20"/>
                <w:szCs w:val="20"/>
              </w:rPr>
            </w:pPr>
          </w:p>
        </w:tc>
        <w:tc>
          <w:tcPr>
            <w:tcW w:w="1843" w:type="dxa"/>
            <w:vAlign w:val="center"/>
          </w:tcPr>
          <w:p w14:paraId="55F5FA6B" w14:textId="77777777" w:rsidR="00490426" w:rsidRPr="004622EC" w:rsidRDefault="00490426">
            <w:pPr>
              <w:rPr>
                <w:rFonts w:eastAsia="Times New Roman"/>
                <w:b/>
                <w:bCs/>
                <w:color w:val="000000"/>
                <w:sz w:val="20"/>
                <w:szCs w:val="20"/>
              </w:rPr>
            </w:pPr>
            <w:r w:rsidRPr="004622EC">
              <w:rPr>
                <w:rFonts w:eastAsia="Times New Roman"/>
                <w:b/>
                <w:bCs/>
                <w:color w:val="000000"/>
                <w:sz w:val="20"/>
                <w:szCs w:val="20"/>
              </w:rPr>
              <w:t xml:space="preserve">Ltd Energia Alemi </w:t>
            </w:r>
          </w:p>
        </w:tc>
        <w:tc>
          <w:tcPr>
            <w:tcW w:w="8498" w:type="dxa"/>
            <w:vAlign w:val="center"/>
          </w:tcPr>
          <w:p w14:paraId="5894CC16" w14:textId="77777777" w:rsidR="00490426" w:rsidRPr="004622EC" w:rsidRDefault="00490426">
            <w:pPr>
              <w:rPr>
                <w:rFonts w:eastAsia="Times New Roman"/>
                <w:color w:val="000000"/>
                <w:sz w:val="20"/>
                <w:szCs w:val="20"/>
              </w:rPr>
            </w:pPr>
            <w:r w:rsidRPr="004622EC">
              <w:rPr>
                <w:rFonts w:eastAsia="Times New Roman"/>
                <w:color w:val="000000"/>
                <w:sz w:val="20"/>
                <w:szCs w:val="20"/>
              </w:rPr>
              <w:t>Developing solar project and 50 kW biogas project in Almaty oblast.</w:t>
            </w:r>
          </w:p>
        </w:tc>
      </w:tr>
    </w:tbl>
    <w:p w14:paraId="739BDBA8" w14:textId="77777777" w:rsidR="005053A2" w:rsidRPr="005053A2" w:rsidRDefault="005053A2" w:rsidP="005053A2"/>
    <w:p w14:paraId="3D46B26B" w14:textId="77777777" w:rsidR="004417C9" w:rsidRPr="004622EC" w:rsidRDefault="004417C9" w:rsidP="004622EC">
      <w:pPr>
        <w:rPr>
          <w:szCs w:val="22"/>
        </w:rPr>
      </w:pPr>
    </w:p>
    <w:p w14:paraId="5C378C69" w14:textId="77777777" w:rsidR="00303C62" w:rsidRDefault="00303C62">
      <w:pPr>
        <w:rPr>
          <w:rFonts w:ascii="Arial Narrow" w:hAnsi="Arial Narrow"/>
          <w:b/>
          <w:bCs/>
        </w:rPr>
      </w:pPr>
      <w:r>
        <w:br w:type="page"/>
      </w:r>
    </w:p>
    <w:p w14:paraId="5A12744E" w14:textId="77777777" w:rsidR="00A56575" w:rsidRPr="004622EC" w:rsidRDefault="004417C9" w:rsidP="004622EC">
      <w:pPr>
        <w:pStyle w:val="2"/>
        <w:numPr>
          <w:ilvl w:val="0"/>
          <w:numId w:val="0"/>
        </w:numPr>
        <w:rPr>
          <w:rFonts w:asciiTheme="majorHAnsi" w:hAnsiTheme="majorHAnsi"/>
        </w:rPr>
      </w:pPr>
      <w:bookmarkStart w:id="162" w:name="_Ref476654923"/>
      <w:bookmarkStart w:id="163" w:name="_Toc479693905"/>
      <w:r w:rsidRPr="004622EC">
        <w:rPr>
          <w:rFonts w:asciiTheme="majorHAnsi" w:hAnsiTheme="majorHAnsi"/>
        </w:rPr>
        <w:t>Annex</w:t>
      </w:r>
      <w:r w:rsidR="007C3A6F" w:rsidRPr="004622EC">
        <w:rPr>
          <w:rFonts w:asciiTheme="majorHAnsi" w:hAnsiTheme="majorHAnsi"/>
        </w:rPr>
        <w:t xml:space="preserve"> </w:t>
      </w:r>
      <w:r w:rsidR="00CC7279">
        <w:rPr>
          <w:rFonts w:asciiTheme="majorHAnsi" w:hAnsiTheme="majorHAnsi"/>
        </w:rPr>
        <w:t>O</w:t>
      </w:r>
      <w:r w:rsidR="00715B3D">
        <w:rPr>
          <w:rFonts w:asciiTheme="majorHAnsi" w:hAnsiTheme="majorHAnsi"/>
        </w:rPr>
        <w:t>.</w:t>
      </w:r>
      <w:r w:rsidRPr="004622EC">
        <w:rPr>
          <w:rFonts w:asciiTheme="majorHAnsi" w:hAnsiTheme="majorHAnsi"/>
        </w:rPr>
        <w:t xml:space="preserve"> List of </w:t>
      </w:r>
      <w:r w:rsidR="00E12602">
        <w:rPr>
          <w:rFonts w:asciiTheme="majorHAnsi" w:hAnsiTheme="majorHAnsi"/>
        </w:rPr>
        <w:t>R</w:t>
      </w:r>
      <w:r w:rsidR="003D4FB8">
        <w:rPr>
          <w:rFonts w:asciiTheme="majorHAnsi" w:hAnsiTheme="majorHAnsi"/>
        </w:rPr>
        <w:t xml:space="preserve">eferences and </w:t>
      </w:r>
      <w:r w:rsidR="00E12602">
        <w:rPr>
          <w:rFonts w:asciiTheme="majorHAnsi" w:hAnsiTheme="majorHAnsi"/>
        </w:rPr>
        <w:t>R</w:t>
      </w:r>
      <w:r w:rsidRPr="004622EC">
        <w:rPr>
          <w:rFonts w:asciiTheme="majorHAnsi" w:hAnsiTheme="majorHAnsi"/>
        </w:rPr>
        <w:t xml:space="preserve">esources </w:t>
      </w:r>
      <w:r w:rsidR="00E12602">
        <w:rPr>
          <w:rFonts w:asciiTheme="majorHAnsi" w:hAnsiTheme="majorHAnsi"/>
        </w:rPr>
        <w:t>C</w:t>
      </w:r>
      <w:r w:rsidRPr="004622EC">
        <w:rPr>
          <w:rFonts w:asciiTheme="majorHAnsi" w:hAnsiTheme="majorHAnsi"/>
        </w:rPr>
        <w:t>onsulted</w:t>
      </w:r>
      <w:bookmarkEnd w:id="162"/>
      <w:bookmarkEnd w:id="163"/>
    </w:p>
    <w:p w14:paraId="1104BE36" w14:textId="77777777" w:rsidR="00561451" w:rsidRPr="00D75E6E" w:rsidRDefault="00561451" w:rsidP="00D75E6E"/>
    <w:p w14:paraId="7E01EA57" w14:textId="77777777" w:rsidR="00561451" w:rsidRPr="003D4FB8" w:rsidRDefault="00561451" w:rsidP="003D4FB8">
      <w:pPr>
        <w:tabs>
          <w:tab w:val="left" w:pos="709"/>
        </w:tabs>
        <w:ind w:left="810" w:hanging="720"/>
        <w:rPr>
          <w:rFonts w:cs="Arial"/>
          <w:szCs w:val="22"/>
          <w:lang w:val="en-GB"/>
        </w:rPr>
      </w:pPr>
      <w:r w:rsidRPr="003D4FB8">
        <w:rPr>
          <w:rFonts w:cs="Arial"/>
          <w:szCs w:val="22"/>
          <w:lang w:val="en-GB"/>
        </w:rPr>
        <w:t xml:space="preserve">ADB (2013) Country Gender Assessment: Kazakhstan </w:t>
      </w:r>
    </w:p>
    <w:p w14:paraId="2A880BCF" w14:textId="77777777" w:rsidR="00561451" w:rsidRPr="003D4FB8" w:rsidRDefault="00561451" w:rsidP="003D4FB8">
      <w:pPr>
        <w:tabs>
          <w:tab w:val="left" w:pos="709"/>
        </w:tabs>
        <w:ind w:left="810" w:hanging="720"/>
        <w:rPr>
          <w:rFonts w:cs="Arial"/>
          <w:szCs w:val="22"/>
          <w:lang w:val="en-GB"/>
        </w:rPr>
      </w:pPr>
      <w:r w:rsidRPr="003D4FB8">
        <w:rPr>
          <w:rFonts w:cs="Arial"/>
          <w:szCs w:val="22"/>
          <w:lang w:val="en-GB"/>
        </w:rPr>
        <w:t>IFC (2015) Investor Guide. Development of Renewable energy projects in Kazakhstan. Washington</w:t>
      </w:r>
    </w:p>
    <w:p w14:paraId="4039D5F2" w14:textId="77777777" w:rsidR="00C432CF" w:rsidRDefault="00561451" w:rsidP="00C432CF">
      <w:pPr>
        <w:widowControl w:val="0"/>
        <w:tabs>
          <w:tab w:val="left" w:pos="709"/>
        </w:tabs>
        <w:autoSpaceDE w:val="0"/>
        <w:autoSpaceDN w:val="0"/>
        <w:adjustRightInd w:val="0"/>
        <w:ind w:left="810" w:hanging="720"/>
        <w:rPr>
          <w:rFonts w:cs="Arial"/>
          <w:szCs w:val="22"/>
        </w:rPr>
      </w:pPr>
      <w:r w:rsidRPr="003D4FB8">
        <w:rPr>
          <w:rFonts w:cs="Arial"/>
          <w:szCs w:val="22"/>
        </w:rPr>
        <w:t>Kazakhstan National Inventory Report to UNFCCC (2014)</w:t>
      </w:r>
      <w:r w:rsidRPr="003D4FB8">
        <w:rPr>
          <w:rFonts w:ascii="Times" w:hAnsi="Times" w:cs="Times"/>
          <w:szCs w:val="22"/>
        </w:rPr>
        <w:t xml:space="preserve"> </w:t>
      </w:r>
      <w:hyperlink r:id="rId55" w:history="1">
        <w:r w:rsidRPr="003D4FB8">
          <w:rPr>
            <w:rStyle w:val="ae"/>
            <w:rFonts w:cs="Arial"/>
            <w:kern w:val="1"/>
            <w:szCs w:val="22"/>
          </w:rPr>
          <w:t>http://unfccc.int/national_reports/annex_i_ghg_inventories/national_inventories_submissions/items/8108.php</w:t>
        </w:r>
      </w:hyperlink>
    </w:p>
    <w:p w14:paraId="05D18547" w14:textId="77777777" w:rsidR="00C432CF" w:rsidRDefault="00C432CF" w:rsidP="003D4FB8">
      <w:pPr>
        <w:tabs>
          <w:tab w:val="left" w:pos="709"/>
        </w:tabs>
        <w:ind w:left="810" w:hanging="720"/>
        <w:rPr>
          <w:rFonts w:cs="Arial"/>
          <w:szCs w:val="22"/>
        </w:rPr>
      </w:pPr>
      <w:r>
        <w:rPr>
          <w:rFonts w:cs="Arial"/>
          <w:szCs w:val="22"/>
        </w:rPr>
        <w:t>Ministry of Investment and Development. Presentation on Energy saving and increasing energy efficiency. Astana. 2016</w:t>
      </w:r>
    </w:p>
    <w:p w14:paraId="51F29888" w14:textId="77777777" w:rsidR="00561451" w:rsidRPr="003D4FB8" w:rsidRDefault="00561451" w:rsidP="003D4FB8">
      <w:pPr>
        <w:tabs>
          <w:tab w:val="left" w:pos="709"/>
        </w:tabs>
        <w:ind w:left="810" w:hanging="720"/>
        <w:rPr>
          <w:rFonts w:cs="Arial"/>
          <w:szCs w:val="22"/>
          <w:lang w:val="en-GB"/>
        </w:rPr>
      </w:pPr>
      <w:r w:rsidRPr="003D4FB8">
        <w:rPr>
          <w:rFonts w:cs="Arial"/>
          <w:szCs w:val="22"/>
        </w:rPr>
        <w:t>EBRD (2015) http://www.ebrd.com/news/2015/first-largescale-solar-plant-in-kazakhstan-receives-ebrd-backing.html</w:t>
      </w:r>
    </w:p>
    <w:p w14:paraId="62D28BE5" w14:textId="77777777" w:rsidR="00561451" w:rsidRPr="003D4FB8" w:rsidRDefault="00561451" w:rsidP="003D4FB8">
      <w:pPr>
        <w:tabs>
          <w:tab w:val="left" w:pos="709"/>
        </w:tabs>
        <w:ind w:left="810" w:hanging="720"/>
        <w:rPr>
          <w:rFonts w:cs="Arial"/>
          <w:szCs w:val="22"/>
          <w:lang w:val="en-GB"/>
        </w:rPr>
      </w:pPr>
      <w:r w:rsidRPr="003D4FB8">
        <w:rPr>
          <w:rFonts w:cs="Arial"/>
          <w:szCs w:val="22"/>
          <w:lang w:val="en-GB"/>
        </w:rPr>
        <w:t>Kazeurope (2016). Renewable energy opportunities in Kazakhstan. Presentation slides http://kazeurope.com/wp-content/uploads/2016/04/Renewable_Energy_Opportunities_in_Kazakhstan.pdf</w:t>
      </w:r>
    </w:p>
    <w:p w14:paraId="424DBF03" w14:textId="77777777" w:rsidR="00561451" w:rsidRPr="003D4FB8" w:rsidRDefault="00561451" w:rsidP="003D4FB8">
      <w:pPr>
        <w:tabs>
          <w:tab w:val="left" w:pos="709"/>
        </w:tabs>
        <w:ind w:left="810" w:hanging="720"/>
        <w:rPr>
          <w:rFonts w:cs="Arial"/>
          <w:szCs w:val="22"/>
          <w:lang w:val="en-GB"/>
        </w:rPr>
      </w:pPr>
      <w:r w:rsidRPr="003D4FB8">
        <w:rPr>
          <w:rFonts w:cs="Arial"/>
          <w:szCs w:val="22"/>
          <w:lang w:val="en-GB"/>
        </w:rPr>
        <w:t xml:space="preserve">KEGOC (2016) Kazakhstan Electric Power Industry Key Factors, </w:t>
      </w:r>
      <w:hyperlink r:id="rId56" w:history="1">
        <w:r w:rsidRPr="003D4FB8">
          <w:rPr>
            <w:szCs w:val="22"/>
          </w:rPr>
          <w:t>http://www.kegoc.kz/en/power-industry/kazakhstan-electric-power-industry-key-factors</w:t>
        </w:r>
      </w:hyperlink>
      <w:r w:rsidRPr="003D4FB8">
        <w:rPr>
          <w:rFonts w:cs="Arial"/>
          <w:szCs w:val="22"/>
          <w:lang w:val="en-GB"/>
        </w:rPr>
        <w:t>, accessed 1 July 2016</w:t>
      </w:r>
    </w:p>
    <w:p w14:paraId="3BA5A25E" w14:textId="77777777" w:rsidR="00561451" w:rsidRDefault="00561451" w:rsidP="003D4FB8">
      <w:pPr>
        <w:tabs>
          <w:tab w:val="left" w:pos="709"/>
        </w:tabs>
        <w:ind w:left="810" w:hanging="720"/>
        <w:rPr>
          <w:rStyle w:val="ae"/>
          <w:rFonts w:cs="Arial"/>
          <w:szCs w:val="22"/>
        </w:rPr>
      </w:pPr>
      <w:r w:rsidRPr="003D4FB8">
        <w:rPr>
          <w:rFonts w:cs="Arial"/>
          <w:szCs w:val="22"/>
        </w:rPr>
        <w:t>Ministry of Energy of Kazakhstan (2016).</w:t>
      </w:r>
      <w:r w:rsidRPr="003D4FB8">
        <w:rPr>
          <w:szCs w:val="22"/>
        </w:rPr>
        <w:t xml:space="preserve"> </w:t>
      </w:r>
      <w:hyperlink r:id="rId57" w:history="1">
        <w:r w:rsidRPr="003D4FB8">
          <w:rPr>
            <w:rStyle w:val="ae"/>
            <w:rFonts w:cs="Arial"/>
            <w:szCs w:val="22"/>
          </w:rPr>
          <w:t>http://energo.gov.kz</w:t>
        </w:r>
      </w:hyperlink>
    </w:p>
    <w:p w14:paraId="5C52C68A" w14:textId="77777777" w:rsidR="0075018D" w:rsidRPr="0075018D" w:rsidRDefault="0075018D" w:rsidP="0075018D">
      <w:pPr>
        <w:tabs>
          <w:tab w:val="left" w:pos="709"/>
        </w:tabs>
        <w:ind w:left="810" w:hanging="720"/>
        <w:rPr>
          <w:rFonts w:cs="Arial"/>
          <w:szCs w:val="22"/>
        </w:rPr>
      </w:pPr>
      <w:r w:rsidRPr="0075018D">
        <w:rPr>
          <w:rFonts w:cs="Arial"/>
          <w:szCs w:val="22"/>
        </w:rPr>
        <w:t xml:space="preserve">Schmidt, T.S., Born, R., Schneider, M. (2012). Assessing the Costs of Photovoltaic and Wind Power in Six Developing Countries. Nature Climate Change 2, 548-553 </w:t>
      </w:r>
    </w:p>
    <w:p w14:paraId="6E978687" w14:textId="77777777" w:rsidR="00561451" w:rsidRPr="003D4FB8" w:rsidRDefault="00561451" w:rsidP="003D4FB8">
      <w:pPr>
        <w:tabs>
          <w:tab w:val="left" w:pos="709"/>
        </w:tabs>
        <w:ind w:left="810" w:hanging="720"/>
        <w:rPr>
          <w:rFonts w:cs="Arial"/>
          <w:szCs w:val="22"/>
          <w:lang w:val="en-GB"/>
        </w:rPr>
      </w:pPr>
      <w:r w:rsidRPr="003D4FB8">
        <w:rPr>
          <w:rFonts w:cs="Arial"/>
          <w:szCs w:val="22"/>
          <w:lang w:val="en-GB"/>
        </w:rPr>
        <w:t>UNDP and United Nations Development Fund for Women (2004) Bridging the Gender Digital Divide: A Report on Gender and ICT in Central and Eastern Europe and the Commonwealth of Independent States.</w:t>
      </w:r>
    </w:p>
    <w:p w14:paraId="4610E68C" w14:textId="77777777" w:rsidR="00561451" w:rsidRPr="003D4FB8" w:rsidRDefault="00561451" w:rsidP="003D4FB8">
      <w:pPr>
        <w:tabs>
          <w:tab w:val="left" w:pos="709"/>
        </w:tabs>
        <w:ind w:left="810" w:hanging="720"/>
        <w:rPr>
          <w:rFonts w:cs="Arial"/>
          <w:szCs w:val="22"/>
          <w:lang w:val="en-GB"/>
        </w:rPr>
      </w:pPr>
      <w:r w:rsidRPr="003D4FB8">
        <w:rPr>
          <w:rFonts w:cs="Arial"/>
          <w:szCs w:val="22"/>
          <w:lang w:val="en-GB"/>
        </w:rPr>
        <w:t>UNDP (2014) Renewable Energy Country Snapshot Kazakhstan</w:t>
      </w:r>
    </w:p>
    <w:p w14:paraId="11696C4B" w14:textId="77777777" w:rsidR="00561451" w:rsidRPr="003D4FB8" w:rsidRDefault="00561451" w:rsidP="003D4FB8">
      <w:pPr>
        <w:tabs>
          <w:tab w:val="left" w:pos="709"/>
        </w:tabs>
        <w:ind w:left="810" w:hanging="720"/>
        <w:rPr>
          <w:rFonts w:cs="Arial"/>
          <w:szCs w:val="22"/>
          <w:lang w:val="en-GB"/>
        </w:rPr>
      </w:pPr>
      <w:r w:rsidRPr="003D4FB8">
        <w:rPr>
          <w:rFonts w:cs="Arial"/>
          <w:szCs w:val="22"/>
          <w:lang w:val="en-GB"/>
        </w:rPr>
        <w:t>UNDP (2014) Sustainable Energy and Human Development in Europe and the CIS</w:t>
      </w:r>
    </w:p>
    <w:p w14:paraId="146C2E26" w14:textId="77777777" w:rsidR="00C16E30" w:rsidRPr="003D4FB8" w:rsidRDefault="00410E03" w:rsidP="003D4FB8">
      <w:pPr>
        <w:tabs>
          <w:tab w:val="left" w:pos="709"/>
        </w:tabs>
        <w:ind w:left="810" w:hanging="720"/>
        <w:rPr>
          <w:rFonts w:cs="Arial"/>
          <w:szCs w:val="22"/>
          <w:lang w:val="en-GB"/>
        </w:rPr>
      </w:pPr>
      <w:r w:rsidRPr="003D4FB8">
        <w:rPr>
          <w:rFonts w:cs="Arial"/>
          <w:szCs w:val="22"/>
          <w:lang w:val="en-GB"/>
        </w:rPr>
        <w:t>UNIDO</w:t>
      </w:r>
      <w:r w:rsidR="00937ED9">
        <w:rPr>
          <w:rFonts w:cs="Arial"/>
          <w:szCs w:val="22"/>
          <w:lang w:val="en-GB"/>
        </w:rPr>
        <w:t xml:space="preserve"> (2013)</w:t>
      </w:r>
      <w:r w:rsidR="00C16E30" w:rsidRPr="003D4FB8">
        <w:rPr>
          <w:rFonts w:cs="Arial"/>
          <w:szCs w:val="22"/>
          <w:lang w:val="en-GB"/>
        </w:rPr>
        <w:t xml:space="preserve">. Sustainable </w:t>
      </w:r>
      <w:r w:rsidR="00937ED9">
        <w:rPr>
          <w:rFonts w:cs="Arial"/>
          <w:szCs w:val="22"/>
          <w:lang w:val="en-GB"/>
        </w:rPr>
        <w:t>E</w:t>
      </w:r>
      <w:r w:rsidR="00C16E30" w:rsidRPr="003D4FB8">
        <w:rPr>
          <w:rFonts w:cs="Arial"/>
          <w:szCs w:val="22"/>
          <w:lang w:val="en-GB"/>
        </w:rPr>
        <w:t xml:space="preserve">nergy for </w:t>
      </w:r>
      <w:r w:rsidR="00937ED9">
        <w:rPr>
          <w:rFonts w:cs="Arial"/>
          <w:szCs w:val="22"/>
          <w:lang w:val="en-GB"/>
        </w:rPr>
        <w:t>A</w:t>
      </w:r>
      <w:r w:rsidR="00937ED9" w:rsidRPr="003D4FB8">
        <w:rPr>
          <w:rFonts w:cs="Arial"/>
          <w:szCs w:val="22"/>
          <w:lang w:val="en-GB"/>
        </w:rPr>
        <w:t>ll</w:t>
      </w:r>
      <w:r w:rsidR="00C953AA" w:rsidRPr="003D4FB8">
        <w:rPr>
          <w:rFonts w:cs="Arial"/>
          <w:szCs w:val="22"/>
          <w:lang w:val="en-GB"/>
        </w:rPr>
        <w:t>:</w:t>
      </w:r>
      <w:r w:rsidR="00C16E30" w:rsidRPr="003D4FB8">
        <w:rPr>
          <w:rFonts w:cs="Arial"/>
          <w:szCs w:val="22"/>
          <w:lang w:val="en-GB"/>
        </w:rPr>
        <w:t xml:space="preserve"> </w:t>
      </w:r>
      <w:r w:rsidR="00937ED9">
        <w:rPr>
          <w:rFonts w:cs="Arial"/>
          <w:szCs w:val="22"/>
          <w:lang w:val="en-GB"/>
        </w:rPr>
        <w:t xml:space="preserve">The </w:t>
      </w:r>
      <w:r w:rsidR="00C16E30" w:rsidRPr="003D4FB8">
        <w:rPr>
          <w:rFonts w:cs="Arial"/>
          <w:szCs w:val="22"/>
          <w:lang w:val="en-GB"/>
        </w:rPr>
        <w:t>Gender Dimension</w:t>
      </w:r>
      <w:r w:rsidR="00937ED9">
        <w:rPr>
          <w:rFonts w:cs="Arial"/>
          <w:szCs w:val="22"/>
          <w:lang w:val="en-GB"/>
        </w:rPr>
        <w:t>s</w:t>
      </w:r>
    </w:p>
    <w:p w14:paraId="1533246D" w14:textId="77777777" w:rsidR="00410E03" w:rsidRPr="003D4FB8" w:rsidRDefault="00AA15A7" w:rsidP="003D4FB8">
      <w:pPr>
        <w:tabs>
          <w:tab w:val="left" w:pos="709"/>
        </w:tabs>
        <w:ind w:left="810" w:hanging="720"/>
        <w:rPr>
          <w:rFonts w:cs="Arial"/>
          <w:szCs w:val="22"/>
          <w:lang w:val="en-GB"/>
        </w:rPr>
      </w:pPr>
      <w:hyperlink r:id="rId58" w:history="1">
        <w:r w:rsidR="00EE54D1" w:rsidRPr="003D4FB8">
          <w:rPr>
            <w:rStyle w:val="ae"/>
            <w:rFonts w:cs="Arial"/>
            <w:szCs w:val="22"/>
            <w:lang w:val="en-GB"/>
          </w:rPr>
          <w:t>https://www.unido.org/fileadmin/user_media_upgrade/What_we_do/Topics/Women_and_Youth/GUIDANCENOTE_FINAL_WEB.pdf</w:t>
        </w:r>
      </w:hyperlink>
    </w:p>
    <w:p w14:paraId="66091B0C" w14:textId="77777777" w:rsidR="00EE54D1" w:rsidRDefault="00EE54D1" w:rsidP="003D4FB8">
      <w:pPr>
        <w:tabs>
          <w:tab w:val="left" w:pos="709"/>
        </w:tabs>
        <w:ind w:left="810" w:hanging="720"/>
        <w:rPr>
          <w:rFonts w:cs="Arial"/>
          <w:szCs w:val="22"/>
          <w:lang w:val="en-GB"/>
        </w:rPr>
      </w:pPr>
      <w:r w:rsidRPr="003D4FB8">
        <w:rPr>
          <w:rFonts w:cs="Arial"/>
          <w:szCs w:val="22"/>
          <w:lang w:val="en-GB"/>
        </w:rPr>
        <w:t>Waissbein O, Glemarec Y, Bayraktar H and Schmidt T S (2013) De</w:t>
      </w:r>
      <w:r w:rsidR="00A442AA">
        <w:rPr>
          <w:rFonts w:cs="Arial"/>
          <w:szCs w:val="22"/>
          <w:lang w:val="en-GB"/>
        </w:rPr>
        <w:t>r</w:t>
      </w:r>
      <w:r w:rsidRPr="003D4FB8">
        <w:rPr>
          <w:rFonts w:cs="Arial"/>
          <w:szCs w:val="22"/>
          <w:lang w:val="en-GB"/>
        </w:rPr>
        <w:t>isking Renewable Energy Investment: A Framework to Support Policymakers in Selecting Public Instruments to Promote Renewable Energy Investment in Developing Countries, UNDP: New York</w:t>
      </w:r>
    </w:p>
    <w:p w14:paraId="065F9712" w14:textId="77777777" w:rsidR="00181B1A" w:rsidRDefault="00181B1A" w:rsidP="003D4FB8">
      <w:pPr>
        <w:tabs>
          <w:tab w:val="left" w:pos="709"/>
        </w:tabs>
        <w:ind w:left="810" w:hanging="720"/>
        <w:rPr>
          <w:rFonts w:cs="Arial"/>
          <w:szCs w:val="22"/>
          <w:lang w:val="en-GB"/>
        </w:rPr>
      </w:pPr>
    </w:p>
    <w:p w14:paraId="1C333CBF" w14:textId="77777777" w:rsidR="00181B1A" w:rsidRPr="00181B1A" w:rsidRDefault="00181B1A" w:rsidP="00181B1A">
      <w:pPr>
        <w:pStyle w:val="2"/>
        <w:pageBreakBefore/>
        <w:numPr>
          <w:ilvl w:val="0"/>
          <w:numId w:val="0"/>
        </w:numPr>
        <w:rPr>
          <w:rFonts w:asciiTheme="majorHAnsi" w:hAnsiTheme="majorHAnsi"/>
        </w:rPr>
      </w:pPr>
      <w:bookmarkStart w:id="164" w:name="_Toc479693906"/>
      <w:r w:rsidRPr="00181B1A">
        <w:rPr>
          <w:rFonts w:asciiTheme="majorHAnsi" w:hAnsiTheme="majorHAnsi"/>
        </w:rPr>
        <w:t>Annex P. Co-financing letters</w:t>
      </w:r>
      <w:bookmarkEnd w:id="164"/>
    </w:p>
    <w:p w14:paraId="74AE2F7E" w14:textId="77777777" w:rsidR="00181B1A" w:rsidRDefault="00181B1A" w:rsidP="003D4FB8">
      <w:pPr>
        <w:tabs>
          <w:tab w:val="left" w:pos="709"/>
        </w:tabs>
        <w:ind w:left="810" w:hanging="720"/>
        <w:rPr>
          <w:rFonts w:cs="Arial"/>
          <w:szCs w:val="22"/>
          <w:lang w:val="en-GB"/>
        </w:rPr>
      </w:pPr>
    </w:p>
    <w:p w14:paraId="5960F93F" w14:textId="77777777" w:rsidR="00181B1A" w:rsidRDefault="00181B1A" w:rsidP="003D4FB8">
      <w:pPr>
        <w:tabs>
          <w:tab w:val="left" w:pos="709"/>
        </w:tabs>
        <w:ind w:left="810" w:hanging="720"/>
        <w:rPr>
          <w:rFonts w:cs="Arial"/>
          <w:szCs w:val="22"/>
          <w:lang w:val="en-GB"/>
        </w:rPr>
      </w:pPr>
      <w:r>
        <w:rPr>
          <w:rFonts w:cs="Arial"/>
          <w:szCs w:val="22"/>
          <w:lang w:val="en-GB"/>
        </w:rPr>
        <w:t>The co-financing letters and their translation are provided separately.</w:t>
      </w:r>
    </w:p>
    <w:p w14:paraId="7846C51E" w14:textId="77777777" w:rsidR="00585A78" w:rsidRDefault="00585A78" w:rsidP="003D4FB8">
      <w:pPr>
        <w:tabs>
          <w:tab w:val="left" w:pos="709"/>
        </w:tabs>
        <w:ind w:left="810" w:hanging="720"/>
        <w:rPr>
          <w:rFonts w:cs="Arial"/>
          <w:szCs w:val="22"/>
          <w:lang w:val="en-GB"/>
        </w:rPr>
      </w:pPr>
    </w:p>
    <w:p w14:paraId="4E050AEE" w14:textId="77777777" w:rsidR="00585A78" w:rsidRPr="00585A78" w:rsidRDefault="00585A78" w:rsidP="00585A78">
      <w:pPr>
        <w:pStyle w:val="2"/>
        <w:pageBreakBefore/>
        <w:numPr>
          <w:ilvl w:val="0"/>
          <w:numId w:val="0"/>
        </w:numPr>
        <w:rPr>
          <w:rFonts w:asciiTheme="majorHAnsi" w:hAnsiTheme="majorHAnsi"/>
        </w:rPr>
      </w:pPr>
      <w:bookmarkStart w:id="165" w:name="_Toc479693907"/>
      <w:r w:rsidRPr="00585A78">
        <w:rPr>
          <w:rFonts w:asciiTheme="majorHAnsi" w:hAnsiTheme="majorHAnsi"/>
        </w:rPr>
        <w:t>Annex Q. Gender Mainstreaming Analysis and Action Plan</w:t>
      </w:r>
      <w:bookmarkEnd w:id="165"/>
    </w:p>
    <w:p w14:paraId="32813031" w14:textId="77777777" w:rsidR="00585A78" w:rsidRDefault="00585A78" w:rsidP="00585A78">
      <w:pPr>
        <w:rPr>
          <w:b/>
          <w:sz w:val="24"/>
          <w:szCs w:val="22"/>
        </w:rPr>
      </w:pPr>
    </w:p>
    <w:p w14:paraId="21229893" w14:textId="77777777" w:rsidR="00585A78" w:rsidRPr="009D5E4C" w:rsidRDefault="00585A78" w:rsidP="00585A78">
      <w:pPr>
        <w:rPr>
          <w:b/>
          <w:sz w:val="24"/>
          <w:szCs w:val="22"/>
        </w:rPr>
      </w:pPr>
      <w:r w:rsidRPr="009D5E4C">
        <w:rPr>
          <w:b/>
          <w:sz w:val="24"/>
          <w:szCs w:val="22"/>
        </w:rPr>
        <w:t xml:space="preserve">Introduction </w:t>
      </w:r>
    </w:p>
    <w:p w14:paraId="474411E6" w14:textId="77777777" w:rsidR="00585A78" w:rsidRPr="00954104" w:rsidRDefault="00585A78" w:rsidP="00585A78">
      <w:pPr>
        <w:rPr>
          <w:rFonts w:eastAsia="Times New Roman"/>
          <w:lang w:val="en-GB"/>
        </w:rPr>
      </w:pPr>
      <w:r w:rsidRPr="00954104">
        <w:rPr>
          <w:rFonts w:eastAsia="Times New Roman"/>
          <w:lang w:val="en-GB"/>
        </w:rPr>
        <w:t>According to the 2015 Global Gender Gap Report of the World Economic Forum, Kazakhstan is ranked 47</w:t>
      </w:r>
      <w:r w:rsidRPr="00954104">
        <w:rPr>
          <w:rFonts w:eastAsia="Times New Roman"/>
          <w:vertAlign w:val="superscript"/>
          <w:lang w:val="en-GB"/>
        </w:rPr>
        <w:t>th</w:t>
      </w:r>
      <w:r w:rsidRPr="00954104">
        <w:rPr>
          <w:rFonts w:eastAsia="Times New Roman"/>
          <w:lang w:val="en-GB"/>
        </w:rPr>
        <w:t xml:space="preserve"> (scored 0.719) in the Gender Gap Index (out of 145 countries). While education attainment is assessed well (28</w:t>
      </w:r>
      <w:r w:rsidRPr="00954104">
        <w:rPr>
          <w:rFonts w:eastAsia="Times New Roman"/>
          <w:vertAlign w:val="superscript"/>
          <w:lang w:val="en-GB"/>
        </w:rPr>
        <w:t>th</w:t>
      </w:r>
      <w:r w:rsidRPr="00954104">
        <w:rPr>
          <w:rFonts w:eastAsia="Times New Roman"/>
          <w:lang w:val="en-GB"/>
        </w:rPr>
        <w:t xml:space="preserve"> position), political empowerment of women is rather low (ranked 78</w:t>
      </w:r>
      <w:r w:rsidRPr="00954104">
        <w:rPr>
          <w:rFonts w:eastAsia="Times New Roman"/>
          <w:vertAlign w:val="superscript"/>
          <w:lang w:val="en-GB"/>
        </w:rPr>
        <w:t>th</w:t>
      </w:r>
      <w:r w:rsidRPr="00954104">
        <w:rPr>
          <w:rFonts w:eastAsia="Times New Roman"/>
          <w:lang w:val="en-GB"/>
        </w:rPr>
        <w:t xml:space="preserve">). It is worth noting that the ranking has been gradually improving over the years, for example, the score in 2006 when the ranking was first calculated was 0.693 only. </w:t>
      </w:r>
    </w:p>
    <w:p w14:paraId="196F7DDF" w14:textId="77777777" w:rsidR="00585A78" w:rsidRPr="00954104" w:rsidRDefault="00585A78" w:rsidP="00585A78">
      <w:pPr>
        <w:rPr>
          <w:rFonts w:eastAsia="Times New Roman"/>
          <w:lang w:val="en-GB"/>
        </w:rPr>
      </w:pPr>
    </w:p>
    <w:p w14:paraId="653C9B44" w14:textId="77777777" w:rsidR="00585A78" w:rsidRPr="00954104" w:rsidRDefault="00585A78" w:rsidP="00585A78">
      <w:pPr>
        <w:rPr>
          <w:rFonts w:eastAsia="Times New Roman"/>
          <w:lang w:val="en-GB"/>
        </w:rPr>
      </w:pPr>
      <w:r w:rsidRPr="00954104">
        <w:rPr>
          <w:rFonts w:eastAsia="Times New Roman"/>
          <w:lang w:val="en-GB"/>
        </w:rPr>
        <w:t>Kazakhstan’s new reform agenda “The 100 steps” can be leveraged to strengthen effective monitoring of gender equality initiatives. “The 100 steps” programme strives to establish a results-oriented state governance system with standardized procedures for monitoring, assessment and control. In addition, it stresses that the efficiency of implementing key initiatives by Ministers and Akims will be thoroughly monitored by the national commission. Moving forward, it will be important to mainstream the gender agenda within the broader governance reform initiatives to ensure that the national gender policy goes beyond declarative statements and translate into concrete action with measurable outcomes. Gender policy in Kazakhstan will need to increase awareness and understanding from line ministries and local executive bodies on the need of adopting a gender approach to policies.</w:t>
      </w:r>
    </w:p>
    <w:p w14:paraId="611D75F0" w14:textId="77777777" w:rsidR="00585A78" w:rsidRPr="00954104" w:rsidRDefault="00585A78" w:rsidP="00585A78">
      <w:pPr>
        <w:rPr>
          <w:rFonts w:eastAsia="Times New Roman"/>
          <w:lang w:val="en-GB"/>
        </w:rPr>
      </w:pPr>
    </w:p>
    <w:p w14:paraId="42426A27" w14:textId="77777777" w:rsidR="00585A78" w:rsidRPr="00954104" w:rsidRDefault="00585A78" w:rsidP="00585A78">
      <w:pPr>
        <w:rPr>
          <w:rFonts w:eastAsia="Times New Roman"/>
          <w:lang w:eastAsia="ru-RU"/>
        </w:rPr>
      </w:pPr>
      <w:r w:rsidRPr="00954104">
        <w:rPr>
          <w:rFonts w:eastAsia="Times New Roman"/>
          <w:lang w:eastAsia="ru-RU"/>
        </w:rPr>
        <w:t xml:space="preserve">In addition to the two laws governing gender policy ("On State Guarantees of Equal Rights and Equal Opportunities for Men and Women" and "On Prevention of Domestic Violence"), Kazakhstan ratified 12 international instruments in the field of gender equality. The country has acceded to the four fundamental documents of the UN Women's Rights: Declaration on the Elimination of Violence against Women (1993), the Beijing Declaration and Platform for Action (1995), the 2000 Millennium Declaration, the 2030 Agenda for Sustainable Development (2015). The recommendations of the UN Committee on the Elimination of Discrimination against Women were also implemented. </w:t>
      </w:r>
    </w:p>
    <w:p w14:paraId="08EF3E93" w14:textId="77777777" w:rsidR="00585A78" w:rsidRPr="00954104" w:rsidRDefault="00585A78" w:rsidP="00585A78">
      <w:pPr>
        <w:shd w:val="clear" w:color="auto" w:fill="FFFFFF"/>
        <w:spacing w:line="260" w:lineRule="atLeast"/>
        <w:rPr>
          <w:rFonts w:ascii="Times New Roman" w:eastAsia="Times New Roman" w:hAnsi="Times New Roman"/>
        </w:rPr>
      </w:pPr>
    </w:p>
    <w:p w14:paraId="5D405029" w14:textId="77777777" w:rsidR="00585A78" w:rsidRPr="001E33E9" w:rsidRDefault="00585A78" w:rsidP="00585A78">
      <w:pPr>
        <w:rPr>
          <w:rFonts w:eastAsia="Times New Roman"/>
          <w:b/>
          <w:sz w:val="24"/>
          <w:lang w:eastAsia="ru-RU"/>
        </w:rPr>
      </w:pPr>
      <w:r w:rsidRPr="001E33E9">
        <w:rPr>
          <w:rFonts w:eastAsia="Times New Roman"/>
          <w:b/>
          <w:sz w:val="24"/>
          <w:lang w:eastAsia="ru-RU"/>
        </w:rPr>
        <w:t>Gender equality: political dimensions</w:t>
      </w:r>
    </w:p>
    <w:p w14:paraId="07502F08" w14:textId="77777777" w:rsidR="00585A78" w:rsidRDefault="00585A78" w:rsidP="00585A78">
      <w:pPr>
        <w:rPr>
          <w:rFonts w:eastAsia="Times New Roman"/>
          <w:lang w:eastAsia="ru-RU"/>
        </w:rPr>
      </w:pPr>
    </w:p>
    <w:p w14:paraId="2A28FC3B" w14:textId="77777777" w:rsidR="00585A78" w:rsidRPr="00954104" w:rsidRDefault="00585A78" w:rsidP="00585A78">
      <w:pPr>
        <w:rPr>
          <w:rFonts w:eastAsia="Times New Roman"/>
          <w:lang w:eastAsia="ru-RU"/>
        </w:rPr>
      </w:pPr>
      <w:r w:rsidRPr="00954104">
        <w:rPr>
          <w:rFonts w:eastAsia="Times New Roman"/>
          <w:lang w:eastAsia="ru-RU"/>
        </w:rPr>
        <w:t xml:space="preserve">In Kazakhstan, women are still not sufficiently involved in the governmental and political structures. There is a typical gender pyramid of power, where women are present on the lower/secondary levels, but less well represented in high positions (in the decision-making level).  </w:t>
      </w:r>
    </w:p>
    <w:p w14:paraId="0161315D" w14:textId="77777777" w:rsidR="00585A78" w:rsidRPr="00954104" w:rsidRDefault="00585A78" w:rsidP="00585A78">
      <w:pPr>
        <w:rPr>
          <w:rFonts w:eastAsia="Times New Roman"/>
          <w:lang w:eastAsia="ru-RU"/>
        </w:rPr>
      </w:pPr>
    </w:p>
    <w:p w14:paraId="08AF6CAB" w14:textId="77777777" w:rsidR="00585A78" w:rsidRPr="00954104" w:rsidRDefault="00585A78" w:rsidP="00585A78">
      <w:pPr>
        <w:rPr>
          <w:rFonts w:eastAsia="Times New Roman"/>
        </w:rPr>
      </w:pPr>
      <w:r w:rsidRPr="00954104">
        <w:rPr>
          <w:rFonts w:eastAsia="Times New Roman"/>
          <w:lang w:eastAsia="ru-RU"/>
        </w:rPr>
        <w:t xml:space="preserve">Within the executive branch of government, </w:t>
      </w:r>
      <w:r w:rsidRPr="00954104">
        <w:rPr>
          <w:rFonts w:eastAsia="Times New Roman"/>
          <w:bCs/>
          <w:lang w:val="en-GB"/>
        </w:rPr>
        <w:t>the most important figure in guiding state policy and activity on gender mainstreaming is Secretary of State of the Republic of Kazakhstan Gulnara Abdykalikova.  Having formerly served as a Deputy Prime Minister and in other high-level positions in government and the private sector, she was appointed to this post by the President of the Republic of Kazakhstan.</w:t>
      </w:r>
      <w:r w:rsidRPr="00954104">
        <w:rPr>
          <w:rFonts w:eastAsia="Times New Roman"/>
        </w:rPr>
        <w:t xml:space="preserve">  Ms. Abdykalikova serves ex officio as the Head of various</w:t>
      </w:r>
      <w:r w:rsidRPr="00954104">
        <w:rPr>
          <w:rFonts w:eastAsia="Times New Roman"/>
          <w:lang w:val="en-GB"/>
        </w:rPr>
        <w:t xml:space="preserve"> national commissions</w:t>
      </w:r>
      <w:r w:rsidRPr="00954104">
        <w:rPr>
          <w:rFonts w:eastAsia="Times New Roman"/>
        </w:rPr>
        <w:t>, including “Gender Commission” [</w:t>
      </w:r>
      <w:r w:rsidRPr="00954104">
        <w:rPr>
          <w:rFonts w:eastAsia="Times New Roman"/>
          <w:lang w:val="en-GB"/>
        </w:rPr>
        <w:t>the National Commission for Women</w:t>
      </w:r>
      <w:r w:rsidRPr="00954104">
        <w:rPr>
          <w:rFonts w:eastAsia="Times New Roman"/>
        </w:rPr>
        <w:t>’s Affairs</w:t>
      </w:r>
      <w:r w:rsidRPr="00954104">
        <w:rPr>
          <w:rFonts w:eastAsia="Times New Roman"/>
          <w:lang w:val="en-GB"/>
        </w:rPr>
        <w:t>, Family and Demographic Policy</w:t>
      </w:r>
      <w:r w:rsidRPr="00954104">
        <w:rPr>
          <w:rFonts w:eastAsia="Times New Roman"/>
        </w:rPr>
        <w:t>],</w:t>
      </w:r>
      <w:r w:rsidRPr="00954104">
        <w:rPr>
          <w:rFonts w:eastAsia="Times New Roman"/>
          <w:lang w:val="en-GB"/>
        </w:rPr>
        <w:t xml:space="preserve"> </w:t>
      </w:r>
      <w:r w:rsidRPr="00954104">
        <w:rPr>
          <w:rFonts w:eastAsia="Times New Roman"/>
        </w:rPr>
        <w:t>and others. She is a great advocate for</w:t>
      </w:r>
      <w:r w:rsidRPr="00954104">
        <w:rPr>
          <w:rFonts w:eastAsia="Times New Roman"/>
          <w:lang w:val="en-GB"/>
        </w:rPr>
        <w:t xml:space="preserve"> reforms, especially in the area of women</w:t>
      </w:r>
      <w:r w:rsidRPr="00954104">
        <w:rPr>
          <w:rFonts w:eastAsia="Times New Roman"/>
        </w:rPr>
        <w:t>’s</w:t>
      </w:r>
      <w:r w:rsidRPr="00954104">
        <w:rPr>
          <w:rFonts w:eastAsia="Times New Roman"/>
          <w:lang w:val="en-GB"/>
        </w:rPr>
        <w:t xml:space="preserve"> political leadership. </w:t>
      </w:r>
      <w:r w:rsidRPr="00954104">
        <w:rPr>
          <w:rFonts w:eastAsia="Times New Roman"/>
        </w:rPr>
        <w:t>She is also a strong ally of UNDP in all its activities in the country.</w:t>
      </w:r>
    </w:p>
    <w:p w14:paraId="4CE89238" w14:textId="77777777" w:rsidR="00585A78" w:rsidRPr="00954104" w:rsidRDefault="00585A78" w:rsidP="00585A78">
      <w:pPr>
        <w:rPr>
          <w:rFonts w:eastAsia="Times New Roman"/>
          <w:lang w:val="en-GB" w:eastAsia="ru-RU"/>
        </w:rPr>
      </w:pPr>
    </w:p>
    <w:p w14:paraId="113E593B" w14:textId="77777777" w:rsidR="00585A78" w:rsidRPr="00954104" w:rsidRDefault="00585A78" w:rsidP="00585A78">
      <w:pPr>
        <w:rPr>
          <w:rFonts w:eastAsia="Times New Roman"/>
          <w:lang w:val="en-GB"/>
        </w:rPr>
      </w:pPr>
      <w:r w:rsidRPr="00954104">
        <w:rPr>
          <w:rFonts w:eastAsia="Times New Roman"/>
        </w:rPr>
        <w:t>D</w:t>
      </w:r>
      <w:r w:rsidRPr="00954104">
        <w:rPr>
          <w:rFonts w:eastAsia="Times New Roman"/>
          <w:lang w:val="en-GB"/>
        </w:rPr>
        <w:t>espite the Act on State Guarantees of Equal Rights and Opportunities for Men and Women, no temporary special measures have been introduced to increase and sustain a high level of women’s representation in legislative and executive bodies. According to the Civil Service Agency, women account for just 10% of political civil servants and 15% of political appointments (Corps A); in the Corps A reserve, women account for only 16.4% of the total. However, they comprise 54.9% of Corps B (administrative civil servants). Although the number of women in Parliament has increased overall, the number in the Senate has fallen twice in recent years, currently comprising just 6.4%. In addition, the legal framework on gender equality contains no comprehensive legal definition of direct or indirect discrimination in public or private spheres.</w:t>
      </w:r>
    </w:p>
    <w:p w14:paraId="1FF1F75D" w14:textId="77777777" w:rsidR="00585A78" w:rsidRPr="00954104" w:rsidRDefault="00585A78" w:rsidP="00585A78">
      <w:pPr>
        <w:rPr>
          <w:rFonts w:eastAsia="Times New Roman"/>
          <w:lang w:eastAsia="ru-RU"/>
        </w:rPr>
      </w:pPr>
    </w:p>
    <w:p w14:paraId="20AB76D7" w14:textId="77777777" w:rsidR="00585A78" w:rsidRPr="00954104" w:rsidRDefault="00585A78" w:rsidP="00585A78">
      <w:pPr>
        <w:rPr>
          <w:rFonts w:eastAsia="Times New Roman"/>
          <w:lang w:eastAsia="ru-RU"/>
        </w:rPr>
      </w:pPr>
      <w:r w:rsidRPr="00954104">
        <w:rPr>
          <w:rFonts w:eastAsia="Times New Roman"/>
          <w:lang w:eastAsia="ru-RU"/>
        </w:rPr>
        <w:t xml:space="preserve">But this situation is evolving, with slow reduction in imbalances even at higher levels, especially within the national legislature, the Majilis.  After the elections to the Majilis in 2016 the proportion of seats held by women in parliament has grown and is 27.1%, as a percentage, and in quantitative terms is the highest ever.  </w:t>
      </w:r>
    </w:p>
    <w:p w14:paraId="6CFAD797" w14:textId="77777777" w:rsidR="00585A78" w:rsidRPr="00954104" w:rsidRDefault="00585A78" w:rsidP="00585A78">
      <w:pPr>
        <w:shd w:val="clear" w:color="auto" w:fill="FFFFFF"/>
        <w:rPr>
          <w:rFonts w:asciiTheme="minorHAnsi" w:eastAsia="Times New Roman" w:hAnsiTheme="minorHAnsi"/>
          <w:lang w:eastAsia="ru-RU"/>
        </w:rPr>
      </w:pPr>
    </w:p>
    <w:p w14:paraId="6E2DB29D" w14:textId="77777777" w:rsidR="00585A78" w:rsidRDefault="00585A78" w:rsidP="00585A78">
      <w:pPr>
        <w:shd w:val="clear" w:color="auto" w:fill="FFFFFF"/>
        <w:rPr>
          <w:rFonts w:asciiTheme="minorHAnsi" w:eastAsia="Times New Roman" w:hAnsiTheme="minorHAnsi"/>
          <w:b/>
          <w:lang w:eastAsia="ru-RU"/>
        </w:rPr>
      </w:pPr>
    </w:p>
    <w:p w14:paraId="6A2A2D7D" w14:textId="77777777" w:rsidR="00585A78" w:rsidRPr="00585A78" w:rsidRDefault="00585A78" w:rsidP="00585A78">
      <w:pPr>
        <w:shd w:val="clear" w:color="auto" w:fill="FFFFFF"/>
        <w:rPr>
          <w:rFonts w:asciiTheme="majorHAnsi" w:eastAsia="Times New Roman" w:hAnsiTheme="majorHAnsi"/>
          <w:b/>
          <w:lang w:eastAsia="ru-RU"/>
        </w:rPr>
      </w:pPr>
      <w:r w:rsidRPr="00585A78">
        <w:rPr>
          <w:rFonts w:asciiTheme="majorHAnsi" w:eastAsia="Times New Roman" w:hAnsiTheme="majorHAnsi"/>
          <w:b/>
          <w:lang w:eastAsia="ru-RU"/>
        </w:rPr>
        <w:t>Table G.1. Share of women in Parliament of Kazakhstan (Majilis), in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951"/>
        <w:gridCol w:w="951"/>
        <w:gridCol w:w="951"/>
        <w:gridCol w:w="951"/>
        <w:gridCol w:w="951"/>
        <w:gridCol w:w="951"/>
        <w:gridCol w:w="951"/>
        <w:gridCol w:w="951"/>
        <w:gridCol w:w="951"/>
        <w:gridCol w:w="941"/>
      </w:tblGrid>
      <w:tr w:rsidR="00585A78" w:rsidRPr="00585A78" w14:paraId="2C2D8284" w14:textId="77777777" w:rsidTr="00FB2FCC">
        <w:tc>
          <w:tcPr>
            <w:tcW w:w="455" w:type="pct"/>
          </w:tcPr>
          <w:p w14:paraId="6F20095F" w14:textId="77777777" w:rsidR="00585A78" w:rsidRPr="00585A78" w:rsidRDefault="00585A78" w:rsidP="00FB2FCC">
            <w:pPr>
              <w:rPr>
                <w:rFonts w:asciiTheme="majorHAnsi" w:eastAsia="Times New Roman" w:hAnsiTheme="majorHAnsi"/>
                <w:b/>
                <w:sz w:val="21"/>
                <w:lang w:val="en-GB"/>
              </w:rPr>
            </w:pPr>
            <w:r w:rsidRPr="00585A78">
              <w:rPr>
                <w:rFonts w:asciiTheme="majorHAnsi" w:eastAsia="Times New Roman" w:hAnsiTheme="majorHAnsi"/>
                <w:b/>
                <w:sz w:val="21"/>
                <w:lang w:val="en-GB"/>
              </w:rPr>
              <w:t>2006</w:t>
            </w:r>
          </w:p>
        </w:tc>
        <w:tc>
          <w:tcPr>
            <w:tcW w:w="455" w:type="pct"/>
          </w:tcPr>
          <w:p w14:paraId="3B14701B" w14:textId="77777777" w:rsidR="00585A78" w:rsidRPr="00585A78" w:rsidRDefault="00585A78" w:rsidP="00FB2FCC">
            <w:pPr>
              <w:rPr>
                <w:rFonts w:asciiTheme="majorHAnsi" w:eastAsia="Times New Roman" w:hAnsiTheme="majorHAnsi"/>
                <w:b/>
                <w:sz w:val="21"/>
                <w:lang w:val="en-GB"/>
              </w:rPr>
            </w:pPr>
            <w:r w:rsidRPr="00585A78">
              <w:rPr>
                <w:rFonts w:asciiTheme="majorHAnsi" w:eastAsia="Times New Roman" w:hAnsiTheme="majorHAnsi"/>
                <w:b/>
                <w:sz w:val="21"/>
                <w:lang w:val="en-GB"/>
              </w:rPr>
              <w:t>2007</w:t>
            </w:r>
          </w:p>
        </w:tc>
        <w:tc>
          <w:tcPr>
            <w:tcW w:w="455" w:type="pct"/>
          </w:tcPr>
          <w:p w14:paraId="1A1D998C" w14:textId="77777777" w:rsidR="00585A78" w:rsidRPr="00585A78" w:rsidRDefault="00585A78" w:rsidP="00FB2FCC">
            <w:pPr>
              <w:rPr>
                <w:rFonts w:asciiTheme="majorHAnsi" w:eastAsia="Times New Roman" w:hAnsiTheme="majorHAnsi"/>
                <w:b/>
                <w:sz w:val="21"/>
                <w:lang w:val="en-GB"/>
              </w:rPr>
            </w:pPr>
            <w:r w:rsidRPr="00585A78">
              <w:rPr>
                <w:rFonts w:asciiTheme="majorHAnsi" w:eastAsia="Times New Roman" w:hAnsiTheme="majorHAnsi"/>
                <w:b/>
                <w:sz w:val="21"/>
                <w:lang w:val="en-GB"/>
              </w:rPr>
              <w:t>2008</w:t>
            </w:r>
          </w:p>
        </w:tc>
        <w:tc>
          <w:tcPr>
            <w:tcW w:w="455" w:type="pct"/>
          </w:tcPr>
          <w:p w14:paraId="7C984C40" w14:textId="77777777" w:rsidR="00585A78" w:rsidRPr="00585A78" w:rsidRDefault="00585A78" w:rsidP="00FB2FCC">
            <w:pPr>
              <w:rPr>
                <w:rFonts w:asciiTheme="majorHAnsi" w:eastAsia="Times New Roman" w:hAnsiTheme="majorHAnsi"/>
                <w:b/>
                <w:sz w:val="21"/>
                <w:lang w:val="en-GB"/>
              </w:rPr>
            </w:pPr>
            <w:r w:rsidRPr="00585A78">
              <w:rPr>
                <w:rFonts w:asciiTheme="majorHAnsi" w:eastAsia="Times New Roman" w:hAnsiTheme="majorHAnsi"/>
                <w:b/>
                <w:sz w:val="21"/>
                <w:lang w:val="en-GB"/>
              </w:rPr>
              <w:t>2009</w:t>
            </w:r>
          </w:p>
        </w:tc>
        <w:tc>
          <w:tcPr>
            <w:tcW w:w="455" w:type="pct"/>
          </w:tcPr>
          <w:p w14:paraId="79B21C85" w14:textId="77777777" w:rsidR="00585A78" w:rsidRPr="00585A78" w:rsidRDefault="00585A78" w:rsidP="00FB2FCC">
            <w:pPr>
              <w:rPr>
                <w:rFonts w:asciiTheme="majorHAnsi" w:eastAsia="Times New Roman" w:hAnsiTheme="majorHAnsi"/>
                <w:b/>
                <w:sz w:val="21"/>
                <w:lang w:val="en-GB"/>
              </w:rPr>
            </w:pPr>
            <w:r w:rsidRPr="00585A78">
              <w:rPr>
                <w:rFonts w:asciiTheme="majorHAnsi" w:eastAsia="Times New Roman" w:hAnsiTheme="majorHAnsi"/>
                <w:b/>
                <w:sz w:val="21"/>
                <w:lang w:val="en-GB"/>
              </w:rPr>
              <w:t>2010</w:t>
            </w:r>
          </w:p>
        </w:tc>
        <w:tc>
          <w:tcPr>
            <w:tcW w:w="455" w:type="pct"/>
          </w:tcPr>
          <w:p w14:paraId="40FD2276" w14:textId="77777777" w:rsidR="00585A78" w:rsidRPr="00585A78" w:rsidRDefault="00585A78" w:rsidP="00FB2FCC">
            <w:pPr>
              <w:rPr>
                <w:rFonts w:asciiTheme="majorHAnsi" w:eastAsia="Times New Roman" w:hAnsiTheme="majorHAnsi"/>
                <w:b/>
                <w:sz w:val="21"/>
                <w:lang w:val="en-GB"/>
              </w:rPr>
            </w:pPr>
            <w:r w:rsidRPr="00585A78">
              <w:rPr>
                <w:rFonts w:asciiTheme="majorHAnsi" w:eastAsia="Times New Roman" w:hAnsiTheme="majorHAnsi"/>
                <w:b/>
                <w:sz w:val="21"/>
                <w:lang w:val="en-GB"/>
              </w:rPr>
              <w:t>2011</w:t>
            </w:r>
          </w:p>
        </w:tc>
        <w:tc>
          <w:tcPr>
            <w:tcW w:w="455" w:type="pct"/>
          </w:tcPr>
          <w:p w14:paraId="4A1FE45B" w14:textId="77777777" w:rsidR="00585A78" w:rsidRPr="00585A78" w:rsidRDefault="00585A78" w:rsidP="00FB2FCC">
            <w:pPr>
              <w:rPr>
                <w:rFonts w:asciiTheme="majorHAnsi" w:eastAsia="Times New Roman" w:hAnsiTheme="majorHAnsi"/>
                <w:b/>
                <w:sz w:val="21"/>
                <w:lang w:val="en-GB"/>
              </w:rPr>
            </w:pPr>
            <w:r w:rsidRPr="00585A78">
              <w:rPr>
                <w:rFonts w:asciiTheme="majorHAnsi" w:eastAsia="Times New Roman" w:hAnsiTheme="majorHAnsi"/>
                <w:b/>
                <w:sz w:val="21"/>
                <w:lang w:val="en-GB"/>
              </w:rPr>
              <w:t>2012</w:t>
            </w:r>
          </w:p>
        </w:tc>
        <w:tc>
          <w:tcPr>
            <w:tcW w:w="455" w:type="pct"/>
          </w:tcPr>
          <w:p w14:paraId="44884895" w14:textId="77777777" w:rsidR="00585A78" w:rsidRPr="00585A78" w:rsidRDefault="00585A78" w:rsidP="00FB2FCC">
            <w:pPr>
              <w:rPr>
                <w:rFonts w:asciiTheme="majorHAnsi" w:eastAsia="Times New Roman" w:hAnsiTheme="majorHAnsi"/>
                <w:b/>
                <w:sz w:val="21"/>
                <w:lang w:val="en-GB"/>
              </w:rPr>
            </w:pPr>
            <w:r w:rsidRPr="00585A78">
              <w:rPr>
                <w:rFonts w:asciiTheme="majorHAnsi" w:eastAsia="Times New Roman" w:hAnsiTheme="majorHAnsi"/>
                <w:b/>
                <w:sz w:val="21"/>
                <w:lang w:val="en-GB"/>
              </w:rPr>
              <w:t>2013</w:t>
            </w:r>
          </w:p>
        </w:tc>
        <w:tc>
          <w:tcPr>
            <w:tcW w:w="455" w:type="pct"/>
          </w:tcPr>
          <w:p w14:paraId="3B554795" w14:textId="77777777" w:rsidR="00585A78" w:rsidRPr="00585A78" w:rsidRDefault="00585A78" w:rsidP="00FB2FCC">
            <w:pPr>
              <w:rPr>
                <w:rFonts w:asciiTheme="majorHAnsi" w:eastAsia="Times New Roman" w:hAnsiTheme="majorHAnsi"/>
                <w:b/>
                <w:sz w:val="21"/>
                <w:lang w:val="en-GB"/>
              </w:rPr>
            </w:pPr>
            <w:r w:rsidRPr="00585A78">
              <w:rPr>
                <w:rFonts w:asciiTheme="majorHAnsi" w:eastAsia="Times New Roman" w:hAnsiTheme="majorHAnsi"/>
                <w:b/>
                <w:sz w:val="21"/>
                <w:lang w:val="en-GB"/>
              </w:rPr>
              <w:t>2014</w:t>
            </w:r>
          </w:p>
        </w:tc>
        <w:tc>
          <w:tcPr>
            <w:tcW w:w="455" w:type="pct"/>
          </w:tcPr>
          <w:p w14:paraId="51A7F598" w14:textId="77777777" w:rsidR="00585A78" w:rsidRPr="00585A78" w:rsidRDefault="00585A78" w:rsidP="00FB2FCC">
            <w:pPr>
              <w:rPr>
                <w:rFonts w:asciiTheme="majorHAnsi" w:eastAsia="Times New Roman" w:hAnsiTheme="majorHAnsi"/>
                <w:b/>
                <w:sz w:val="21"/>
                <w:lang w:val="en-GB"/>
              </w:rPr>
            </w:pPr>
            <w:r w:rsidRPr="00585A78">
              <w:rPr>
                <w:rFonts w:asciiTheme="majorHAnsi" w:eastAsia="Times New Roman" w:hAnsiTheme="majorHAnsi"/>
                <w:b/>
                <w:sz w:val="21"/>
                <w:lang w:val="en-GB"/>
              </w:rPr>
              <w:t>2015</w:t>
            </w:r>
          </w:p>
        </w:tc>
        <w:tc>
          <w:tcPr>
            <w:tcW w:w="450" w:type="pct"/>
          </w:tcPr>
          <w:p w14:paraId="3385B996" w14:textId="77777777" w:rsidR="00585A78" w:rsidRPr="00585A78" w:rsidRDefault="00585A78" w:rsidP="00FB2FCC">
            <w:pPr>
              <w:rPr>
                <w:rFonts w:asciiTheme="majorHAnsi" w:eastAsia="Times New Roman" w:hAnsiTheme="majorHAnsi"/>
                <w:b/>
                <w:sz w:val="21"/>
                <w:lang w:val="en-GB"/>
              </w:rPr>
            </w:pPr>
            <w:r w:rsidRPr="00585A78">
              <w:rPr>
                <w:rFonts w:asciiTheme="majorHAnsi" w:eastAsia="Times New Roman" w:hAnsiTheme="majorHAnsi"/>
                <w:b/>
                <w:sz w:val="21"/>
                <w:lang w:val="en-GB"/>
              </w:rPr>
              <w:t>2016</w:t>
            </w:r>
          </w:p>
        </w:tc>
      </w:tr>
      <w:tr w:rsidR="00585A78" w:rsidRPr="00585A78" w14:paraId="60C90448" w14:textId="77777777" w:rsidTr="00FB2FCC">
        <w:tc>
          <w:tcPr>
            <w:tcW w:w="455" w:type="pct"/>
          </w:tcPr>
          <w:p w14:paraId="68F4BF51" w14:textId="77777777" w:rsidR="00585A78" w:rsidRPr="00585A78" w:rsidRDefault="00585A78" w:rsidP="00FB2FCC">
            <w:pPr>
              <w:rPr>
                <w:rFonts w:asciiTheme="majorHAnsi" w:eastAsia="Times New Roman" w:hAnsiTheme="majorHAnsi"/>
                <w:sz w:val="21"/>
                <w:lang w:val="en-GB"/>
              </w:rPr>
            </w:pPr>
            <w:r w:rsidRPr="00585A78">
              <w:rPr>
                <w:rFonts w:asciiTheme="majorHAnsi" w:eastAsia="Times New Roman" w:hAnsiTheme="majorHAnsi"/>
                <w:sz w:val="21"/>
                <w:lang w:val="en-GB"/>
              </w:rPr>
              <w:t>10,4</w:t>
            </w:r>
          </w:p>
        </w:tc>
        <w:tc>
          <w:tcPr>
            <w:tcW w:w="455" w:type="pct"/>
          </w:tcPr>
          <w:p w14:paraId="105C7D91" w14:textId="77777777" w:rsidR="00585A78" w:rsidRPr="00585A78" w:rsidRDefault="00585A78" w:rsidP="00FB2FCC">
            <w:pPr>
              <w:rPr>
                <w:rFonts w:asciiTheme="majorHAnsi" w:eastAsia="Times New Roman" w:hAnsiTheme="majorHAnsi"/>
                <w:sz w:val="21"/>
                <w:lang w:val="en-GB"/>
              </w:rPr>
            </w:pPr>
            <w:r w:rsidRPr="00585A78">
              <w:rPr>
                <w:rFonts w:asciiTheme="majorHAnsi" w:eastAsia="Times New Roman" w:hAnsiTheme="majorHAnsi"/>
                <w:sz w:val="21"/>
                <w:lang w:val="en-GB"/>
              </w:rPr>
              <w:t>16,8</w:t>
            </w:r>
          </w:p>
        </w:tc>
        <w:tc>
          <w:tcPr>
            <w:tcW w:w="455" w:type="pct"/>
          </w:tcPr>
          <w:p w14:paraId="4749CFCF" w14:textId="77777777" w:rsidR="00585A78" w:rsidRPr="00585A78" w:rsidRDefault="00585A78" w:rsidP="00FB2FCC">
            <w:pPr>
              <w:rPr>
                <w:rFonts w:asciiTheme="majorHAnsi" w:eastAsia="Times New Roman" w:hAnsiTheme="majorHAnsi"/>
                <w:sz w:val="21"/>
                <w:lang w:val="en-GB"/>
              </w:rPr>
            </w:pPr>
            <w:r w:rsidRPr="00585A78">
              <w:rPr>
                <w:rFonts w:asciiTheme="majorHAnsi" w:eastAsia="Times New Roman" w:hAnsiTheme="majorHAnsi"/>
                <w:sz w:val="21"/>
                <w:lang w:val="en-GB"/>
              </w:rPr>
              <w:t>17,0</w:t>
            </w:r>
          </w:p>
        </w:tc>
        <w:tc>
          <w:tcPr>
            <w:tcW w:w="455" w:type="pct"/>
          </w:tcPr>
          <w:p w14:paraId="75B61183" w14:textId="77777777" w:rsidR="00585A78" w:rsidRPr="00585A78" w:rsidRDefault="00585A78" w:rsidP="00FB2FCC">
            <w:pPr>
              <w:rPr>
                <w:rFonts w:asciiTheme="majorHAnsi" w:eastAsia="Times New Roman" w:hAnsiTheme="majorHAnsi"/>
                <w:sz w:val="21"/>
                <w:lang w:val="en-GB"/>
              </w:rPr>
            </w:pPr>
            <w:r w:rsidRPr="00585A78">
              <w:rPr>
                <w:rFonts w:asciiTheme="majorHAnsi" w:eastAsia="Times New Roman" w:hAnsiTheme="majorHAnsi"/>
                <w:sz w:val="21"/>
                <w:lang w:val="en-GB"/>
              </w:rPr>
              <w:t>17,8</w:t>
            </w:r>
          </w:p>
        </w:tc>
        <w:tc>
          <w:tcPr>
            <w:tcW w:w="455" w:type="pct"/>
          </w:tcPr>
          <w:p w14:paraId="64CABC35" w14:textId="77777777" w:rsidR="00585A78" w:rsidRPr="00585A78" w:rsidRDefault="00585A78" w:rsidP="00FB2FCC">
            <w:pPr>
              <w:rPr>
                <w:rFonts w:asciiTheme="majorHAnsi" w:eastAsia="Times New Roman" w:hAnsiTheme="majorHAnsi"/>
                <w:sz w:val="21"/>
                <w:lang w:val="en-GB"/>
              </w:rPr>
            </w:pPr>
            <w:r w:rsidRPr="00585A78">
              <w:rPr>
                <w:rFonts w:asciiTheme="majorHAnsi" w:eastAsia="Times New Roman" w:hAnsiTheme="majorHAnsi"/>
                <w:sz w:val="21"/>
                <w:lang w:val="en-GB"/>
              </w:rPr>
              <w:t>17,8</w:t>
            </w:r>
          </w:p>
        </w:tc>
        <w:tc>
          <w:tcPr>
            <w:tcW w:w="455" w:type="pct"/>
          </w:tcPr>
          <w:p w14:paraId="50A33391" w14:textId="77777777" w:rsidR="00585A78" w:rsidRPr="00585A78" w:rsidRDefault="00585A78" w:rsidP="00FB2FCC">
            <w:pPr>
              <w:rPr>
                <w:rFonts w:asciiTheme="majorHAnsi" w:eastAsia="Times New Roman" w:hAnsiTheme="majorHAnsi"/>
                <w:sz w:val="21"/>
                <w:lang w:val="en-GB"/>
              </w:rPr>
            </w:pPr>
            <w:r w:rsidRPr="00585A78">
              <w:rPr>
                <w:rFonts w:asciiTheme="majorHAnsi" w:eastAsia="Times New Roman" w:hAnsiTheme="majorHAnsi"/>
                <w:sz w:val="21"/>
                <w:lang w:val="en-GB"/>
              </w:rPr>
              <w:t>17,8</w:t>
            </w:r>
          </w:p>
        </w:tc>
        <w:tc>
          <w:tcPr>
            <w:tcW w:w="455" w:type="pct"/>
          </w:tcPr>
          <w:p w14:paraId="1FFE1440" w14:textId="77777777" w:rsidR="00585A78" w:rsidRPr="00585A78" w:rsidRDefault="00585A78" w:rsidP="00FB2FCC">
            <w:pPr>
              <w:rPr>
                <w:rFonts w:asciiTheme="majorHAnsi" w:eastAsia="Times New Roman" w:hAnsiTheme="majorHAnsi"/>
                <w:sz w:val="21"/>
                <w:lang w:val="en-GB"/>
              </w:rPr>
            </w:pPr>
            <w:r w:rsidRPr="00585A78">
              <w:rPr>
                <w:rFonts w:asciiTheme="majorHAnsi" w:eastAsia="Times New Roman" w:hAnsiTheme="majorHAnsi"/>
                <w:sz w:val="21"/>
                <w:lang w:val="en-GB"/>
              </w:rPr>
              <w:t>23,8</w:t>
            </w:r>
          </w:p>
        </w:tc>
        <w:tc>
          <w:tcPr>
            <w:tcW w:w="455" w:type="pct"/>
          </w:tcPr>
          <w:p w14:paraId="715B952B" w14:textId="77777777" w:rsidR="00585A78" w:rsidRPr="00585A78" w:rsidRDefault="00585A78" w:rsidP="00FB2FCC">
            <w:pPr>
              <w:rPr>
                <w:rFonts w:asciiTheme="majorHAnsi" w:eastAsia="Times New Roman" w:hAnsiTheme="majorHAnsi"/>
                <w:sz w:val="21"/>
                <w:lang w:val="en-GB"/>
              </w:rPr>
            </w:pPr>
            <w:r w:rsidRPr="00585A78">
              <w:rPr>
                <w:rFonts w:asciiTheme="majorHAnsi" w:eastAsia="Times New Roman" w:hAnsiTheme="majorHAnsi"/>
                <w:sz w:val="21"/>
                <w:lang w:val="en-GB"/>
              </w:rPr>
              <w:t>26,2</w:t>
            </w:r>
          </w:p>
        </w:tc>
        <w:tc>
          <w:tcPr>
            <w:tcW w:w="455" w:type="pct"/>
          </w:tcPr>
          <w:p w14:paraId="61767C1E" w14:textId="77777777" w:rsidR="00585A78" w:rsidRPr="00585A78" w:rsidRDefault="00585A78" w:rsidP="00FB2FCC">
            <w:pPr>
              <w:rPr>
                <w:rFonts w:asciiTheme="majorHAnsi" w:eastAsia="Times New Roman" w:hAnsiTheme="majorHAnsi"/>
                <w:b/>
                <w:sz w:val="21"/>
                <w:lang w:val="en-GB"/>
              </w:rPr>
            </w:pPr>
            <w:r w:rsidRPr="00585A78">
              <w:rPr>
                <w:rFonts w:asciiTheme="majorHAnsi" w:eastAsia="Times New Roman" w:hAnsiTheme="majorHAnsi"/>
                <w:sz w:val="21"/>
                <w:lang w:val="en-GB"/>
              </w:rPr>
              <w:t>26,2</w:t>
            </w:r>
          </w:p>
        </w:tc>
        <w:tc>
          <w:tcPr>
            <w:tcW w:w="455" w:type="pct"/>
          </w:tcPr>
          <w:p w14:paraId="19848183" w14:textId="77777777" w:rsidR="00585A78" w:rsidRPr="00585A78" w:rsidRDefault="00585A78" w:rsidP="00FB2FCC">
            <w:pPr>
              <w:rPr>
                <w:rFonts w:asciiTheme="majorHAnsi" w:eastAsia="Times New Roman" w:hAnsiTheme="majorHAnsi"/>
                <w:sz w:val="21"/>
                <w:lang w:val="en-GB"/>
              </w:rPr>
            </w:pPr>
            <w:r w:rsidRPr="00585A78">
              <w:rPr>
                <w:rFonts w:asciiTheme="majorHAnsi" w:eastAsia="Times New Roman" w:hAnsiTheme="majorHAnsi"/>
                <w:sz w:val="21"/>
                <w:lang w:val="en-GB"/>
              </w:rPr>
              <w:t>26,2</w:t>
            </w:r>
          </w:p>
        </w:tc>
        <w:tc>
          <w:tcPr>
            <w:tcW w:w="450" w:type="pct"/>
          </w:tcPr>
          <w:p w14:paraId="0B6946AD" w14:textId="77777777" w:rsidR="00585A78" w:rsidRPr="00585A78" w:rsidRDefault="00585A78" w:rsidP="00FB2FCC">
            <w:pPr>
              <w:rPr>
                <w:rFonts w:asciiTheme="majorHAnsi" w:eastAsia="Times New Roman" w:hAnsiTheme="majorHAnsi"/>
                <w:sz w:val="21"/>
                <w:lang w:val="en-GB"/>
              </w:rPr>
            </w:pPr>
            <w:r w:rsidRPr="00585A78">
              <w:rPr>
                <w:rFonts w:asciiTheme="majorHAnsi" w:eastAsia="Times New Roman" w:hAnsiTheme="majorHAnsi"/>
                <w:sz w:val="21"/>
                <w:lang w:val="en-GB"/>
              </w:rPr>
              <w:t>27,1</w:t>
            </w:r>
          </w:p>
        </w:tc>
      </w:tr>
    </w:tbl>
    <w:p w14:paraId="1AB62928" w14:textId="77777777" w:rsidR="00585A78" w:rsidRPr="00585A78" w:rsidRDefault="00585A78" w:rsidP="00585A78">
      <w:pPr>
        <w:shd w:val="clear" w:color="auto" w:fill="FFFFFF"/>
        <w:rPr>
          <w:rFonts w:asciiTheme="majorHAnsi" w:eastAsia="Times New Roman" w:hAnsiTheme="majorHAnsi"/>
          <w:sz w:val="18"/>
          <w:szCs w:val="20"/>
          <w:lang w:val="fr-FR" w:eastAsia="ru-RU"/>
        </w:rPr>
      </w:pPr>
      <w:r w:rsidRPr="00585A78">
        <w:rPr>
          <w:rFonts w:asciiTheme="majorHAnsi" w:eastAsia="Times New Roman" w:hAnsiTheme="majorHAnsi"/>
          <w:sz w:val="18"/>
          <w:szCs w:val="20"/>
          <w:lang w:val="fr-FR"/>
        </w:rPr>
        <w:t xml:space="preserve">Source: </w:t>
      </w:r>
      <w:hyperlink r:id="rId59" w:anchor="%40%3F_afrLoop%3D32692553901851092%26_adf.ctrl-state%3Doiphfbh21_63" w:history="1">
        <w:r w:rsidRPr="00585A78">
          <w:rPr>
            <w:rFonts w:asciiTheme="majorHAnsi" w:eastAsia="Times New Roman" w:hAnsiTheme="majorHAnsi"/>
            <w:color w:val="0000FF"/>
            <w:sz w:val="18"/>
            <w:szCs w:val="20"/>
            <w:u w:val="single"/>
            <w:shd w:val="clear" w:color="auto" w:fill="FFFFFF"/>
            <w:lang w:val="fr-FR"/>
          </w:rPr>
          <w:t>http://www.stat.gov.kz/faces/wcnav_externalId/homeGenderInd2?_afrLoop=32692553901851092#%40%3F_afrLoop%3D32692553901851092%26_adf.ctrl-state%3Doiphfbh21_63</w:t>
        </w:r>
      </w:hyperlink>
    </w:p>
    <w:p w14:paraId="5955A5B1" w14:textId="77777777" w:rsidR="00585A78" w:rsidRPr="00954104" w:rsidRDefault="00585A78" w:rsidP="00585A78">
      <w:pPr>
        <w:shd w:val="clear" w:color="auto" w:fill="FFFFFF"/>
        <w:spacing w:line="260" w:lineRule="atLeast"/>
        <w:rPr>
          <w:rFonts w:asciiTheme="minorHAnsi" w:eastAsia="Times New Roman" w:hAnsiTheme="minorHAnsi"/>
          <w:lang w:val="fr-FR"/>
        </w:rPr>
      </w:pPr>
    </w:p>
    <w:p w14:paraId="45C2600D" w14:textId="77777777" w:rsidR="00585A78" w:rsidRPr="00954104" w:rsidRDefault="00585A78" w:rsidP="00585A78">
      <w:pPr>
        <w:rPr>
          <w:rFonts w:eastAsia="Times New Roman"/>
          <w:lang w:val="en-GB"/>
        </w:rPr>
      </w:pPr>
      <w:r w:rsidRPr="00954104">
        <w:rPr>
          <w:rFonts w:eastAsia="Times New Roman"/>
          <w:lang w:val="en-GB"/>
        </w:rPr>
        <w:t xml:space="preserve">At the local level, the share of women delegates in the country as a whole is 17%. However, it is important to highlight that this number varies throughout the country depending on the region. </w:t>
      </w:r>
      <w:r w:rsidRPr="00954104">
        <w:rPr>
          <w:rFonts w:eastAsia="Times New Roman"/>
          <w:lang w:eastAsia="ru-RU"/>
        </w:rPr>
        <w:t xml:space="preserve">The number of women at maslikhats (regional legislative bodies) increased (22.2% in 2016 against 16.7% in 2006). The number of women in some of the maslikhats reaches about 30%, like Qostanay (31.6%), Pavlodar (29.6%), and North Kazakhstan (28.1%) and West Kazakhstan (26%) regions. </w:t>
      </w:r>
      <w:r w:rsidRPr="00954104">
        <w:rPr>
          <w:rFonts w:eastAsia="Times New Roman"/>
          <w:lang w:val="en-GB"/>
        </w:rPr>
        <w:t xml:space="preserve">While in some regions the representation of women is almost 30%, in other regions such as South Kazakhstan Oblast the representation of women is less than 4%. However, at the local level there have been significant improvements in the judiciary (51% of the judges in the regional courts are women). </w:t>
      </w:r>
    </w:p>
    <w:p w14:paraId="4CEBAA03" w14:textId="77777777" w:rsidR="00585A78" w:rsidRPr="00954104" w:rsidRDefault="00585A78" w:rsidP="00585A78">
      <w:pPr>
        <w:shd w:val="clear" w:color="auto" w:fill="FFFFFF"/>
        <w:spacing w:line="260" w:lineRule="atLeast"/>
        <w:rPr>
          <w:rFonts w:ascii="Times New Roman" w:eastAsia="Times New Roman" w:hAnsi="Times New Roman"/>
          <w:lang w:val="en-GB" w:eastAsia="ru-RU"/>
        </w:rPr>
      </w:pPr>
    </w:p>
    <w:p w14:paraId="07E62663" w14:textId="77777777" w:rsidR="00585A78" w:rsidRPr="00A5469F" w:rsidRDefault="00585A78" w:rsidP="00585A78">
      <w:pPr>
        <w:shd w:val="clear" w:color="auto" w:fill="FFFFFF"/>
        <w:spacing w:line="260" w:lineRule="atLeast"/>
        <w:rPr>
          <w:rFonts w:ascii="Times New Roman" w:eastAsia="Times New Roman" w:hAnsi="Times New Roman"/>
          <w:sz w:val="24"/>
          <w:lang w:eastAsia="ru-RU"/>
        </w:rPr>
      </w:pPr>
      <w:r w:rsidRPr="00DC32D0">
        <w:rPr>
          <w:rFonts w:ascii="Times New Roman" w:eastAsia="Times New Roman" w:hAnsi="Times New Roman"/>
          <w:noProof/>
          <w:sz w:val="24"/>
        </w:rPr>
        <w:drawing>
          <wp:inline distT="0" distB="0" distL="0" distR="0" wp14:anchorId="5BC636C5" wp14:editId="5E301070">
            <wp:extent cx="6064515" cy="4345551"/>
            <wp:effectExtent l="0" t="0" r="6350" b="0"/>
            <wp:docPr id="1" name="Picture 1" descr="C:\Users\murat.narkulov\Desktop\Карта англ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t.narkulov\Desktop\Карта англ201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72491" cy="4351266"/>
                    </a:xfrm>
                    <a:prstGeom prst="rect">
                      <a:avLst/>
                    </a:prstGeom>
                    <a:noFill/>
                    <a:ln>
                      <a:noFill/>
                    </a:ln>
                  </pic:spPr>
                </pic:pic>
              </a:graphicData>
            </a:graphic>
          </wp:inline>
        </w:drawing>
      </w:r>
    </w:p>
    <w:p w14:paraId="235B49A8" w14:textId="77777777" w:rsidR="00585A78" w:rsidRPr="00A5469F" w:rsidRDefault="00585A78" w:rsidP="00585A78">
      <w:pPr>
        <w:shd w:val="clear" w:color="auto" w:fill="FFFFFF"/>
        <w:rPr>
          <w:rFonts w:ascii="Times New Roman" w:eastAsia="Times New Roman" w:hAnsi="Times New Roman"/>
          <w:sz w:val="24"/>
          <w:lang w:eastAsia="ru-RU"/>
        </w:rPr>
      </w:pPr>
    </w:p>
    <w:p w14:paraId="00257386" w14:textId="77777777" w:rsidR="00585A78" w:rsidRPr="001E33E9" w:rsidRDefault="00585A78" w:rsidP="00585A78">
      <w:pPr>
        <w:rPr>
          <w:rFonts w:eastAsia="Times New Roman"/>
          <w:b/>
          <w:sz w:val="24"/>
          <w:szCs w:val="22"/>
          <w:lang w:val="en-GB"/>
        </w:rPr>
      </w:pPr>
      <w:r w:rsidRPr="001E33E9">
        <w:rPr>
          <w:rFonts w:eastAsia="Times New Roman"/>
          <w:b/>
          <w:sz w:val="24"/>
          <w:szCs w:val="22"/>
          <w:lang w:val="en-GB"/>
        </w:rPr>
        <w:t>Gender equality: demographic and economic dimensions</w:t>
      </w:r>
    </w:p>
    <w:p w14:paraId="37CD85B7" w14:textId="77777777" w:rsidR="00585A78" w:rsidRDefault="00585A78" w:rsidP="00585A78">
      <w:pPr>
        <w:rPr>
          <w:rFonts w:eastAsia="Times New Roman"/>
          <w:szCs w:val="22"/>
          <w:lang w:val="en-GB"/>
        </w:rPr>
      </w:pPr>
    </w:p>
    <w:p w14:paraId="628F937F" w14:textId="77777777" w:rsidR="00585A78" w:rsidRPr="00954104" w:rsidRDefault="00585A78" w:rsidP="00585A78">
      <w:pPr>
        <w:rPr>
          <w:rFonts w:eastAsia="Times New Roman"/>
          <w:szCs w:val="22"/>
          <w:lang w:val="en-GB"/>
        </w:rPr>
      </w:pPr>
      <w:r w:rsidRPr="00954104">
        <w:rPr>
          <w:rFonts w:eastAsia="Times New Roman"/>
          <w:szCs w:val="22"/>
          <w:lang w:val="en-GB"/>
        </w:rPr>
        <w:t>Men’s life expectancy at birth in Kazakhstan is 64.6 years and women’s is 74.1 years; gross national income per capita for men is $26,867 and for women is $15,408. Expected and mean years of schooling for men are 14.7 and 11.5 respectively. For women, they are 15.4 and 11.3. Kazakhstan’s population trends are also displayed in the report. It is expected that by 2030, the country’s population will reach 18.6 million people. The HDI currently estimates it at 16.6 million (although the official statistics within Kazakhstan already put the number at above 17 million). The annual growth rate has been 1% since 2010. The urban population is 53.3%. The fertility rate is 2.4 births per women. Before 2010, it was 2.0.</w:t>
      </w:r>
    </w:p>
    <w:p w14:paraId="391A6B72" w14:textId="77777777" w:rsidR="00585A78" w:rsidRPr="00954104" w:rsidRDefault="00585A78" w:rsidP="00585A78">
      <w:pPr>
        <w:rPr>
          <w:rFonts w:eastAsia="Times New Roman"/>
          <w:szCs w:val="22"/>
          <w:lang w:val="en-GB"/>
        </w:rPr>
      </w:pPr>
    </w:p>
    <w:p w14:paraId="4598B501" w14:textId="77777777" w:rsidR="00585A78" w:rsidRPr="00954104" w:rsidRDefault="00585A78" w:rsidP="00585A78">
      <w:pPr>
        <w:rPr>
          <w:rFonts w:eastAsia="Times New Roman"/>
          <w:szCs w:val="22"/>
          <w:lang w:val="en-GB"/>
        </w:rPr>
      </w:pPr>
      <w:r w:rsidRPr="00954104">
        <w:rPr>
          <w:rFonts w:eastAsia="Times New Roman"/>
          <w:szCs w:val="22"/>
          <w:lang w:val="en-GB"/>
        </w:rPr>
        <w:t>In Kazakhstan the labour market shows vertical segregation, meaning that women lack representation in leadership positions across the different sectors of the economy. Recent legal efforts and measures in Kazakhstan are aiming to increase women’s representation on boards in private sector. However, women are still underrepresented in top corporate jobs. According to the World Bank, 33.3% of small private enterprises have women managers and only 9.8% of large corporate firms have top women managers. This implies there still remains room for improvement and efforts should be taken to increase women’s access to leadership in private sector.</w:t>
      </w:r>
    </w:p>
    <w:p w14:paraId="0E64B0DF" w14:textId="77777777" w:rsidR="00585A78" w:rsidRPr="00954104" w:rsidRDefault="00585A78" w:rsidP="00585A78">
      <w:pPr>
        <w:rPr>
          <w:rFonts w:eastAsia="Times New Roman"/>
          <w:szCs w:val="22"/>
          <w:lang w:eastAsia="ru-RU"/>
        </w:rPr>
      </w:pPr>
    </w:p>
    <w:p w14:paraId="47E215C1" w14:textId="77777777" w:rsidR="00585A78" w:rsidRPr="00954104" w:rsidRDefault="00585A78" w:rsidP="00585A78">
      <w:pPr>
        <w:rPr>
          <w:rFonts w:eastAsia="Cambria"/>
          <w:szCs w:val="22"/>
          <w:lang w:val="en-GB"/>
        </w:rPr>
      </w:pPr>
      <w:r w:rsidRPr="00954104">
        <w:rPr>
          <w:rFonts w:eastAsia="Times New Roman"/>
          <w:szCs w:val="22"/>
          <w:lang w:val="en-GB"/>
        </w:rPr>
        <w:t>The gender gap is relatively low in Kazakhstan but labour market outcomes portray differences between women and men. The labour market in Kazakhstan is characterized as having high female participation, skilled workers and low unemployment rates. However, women are mainly self-employed meaning that women are less likely to have formal working arrangements lacking decent working conditions and proper social security benefits. Women also represent more than 70% of the total employees in sectors that are traditionally for women such as health care and education. Sectors such as the latter as well as food services, financial services and insurance demonstrate a high proportion of women workers. However, these are all sectors with low paying wages</w:t>
      </w:r>
      <w:r w:rsidRPr="00954104">
        <w:rPr>
          <w:rFonts w:eastAsia="Times New Roman"/>
          <w:szCs w:val="22"/>
          <w:vertAlign w:val="superscript"/>
          <w:lang w:val="en-GB"/>
        </w:rPr>
        <w:footnoteReference w:id="22"/>
      </w:r>
      <w:r w:rsidRPr="00954104">
        <w:rPr>
          <w:rFonts w:eastAsia="Cambria"/>
          <w:szCs w:val="22"/>
          <w:lang w:val="en-GB"/>
        </w:rPr>
        <w:t xml:space="preserve"> and account for only 2% of Kazakhstan’s GDP</w:t>
      </w:r>
      <w:r w:rsidRPr="00954104">
        <w:rPr>
          <w:rFonts w:eastAsia="Cambria"/>
          <w:szCs w:val="22"/>
          <w:vertAlign w:val="superscript"/>
          <w:lang w:val="en-GB"/>
        </w:rPr>
        <w:footnoteReference w:id="23"/>
      </w:r>
      <w:r w:rsidRPr="00954104">
        <w:rPr>
          <w:rFonts w:eastAsia="Cambria"/>
          <w:szCs w:val="22"/>
          <w:lang w:val="en-GB"/>
        </w:rPr>
        <w:t xml:space="preserve">. In 2009, women made up 59.2% of the informal sector of the rural population and this number continues to be relatively the same representing missed opportunities for </w:t>
      </w:r>
      <w:r w:rsidRPr="00954104">
        <w:rPr>
          <w:rFonts w:eastAsia="Times New Roman"/>
          <w:szCs w:val="22"/>
          <w:lang w:val="en-GB"/>
        </w:rPr>
        <w:t>inclusive growth. Since 2000, the labour participation rate of the population in Kazakhstan for people 15 years of age and above has been around 72%. This figure remained the same for 2011.  In regards to wages, the gender pay gap is below 10%. This figure can be higher in a number of OECD countries. However, despite this the gender pay gap is clearly present.</w:t>
      </w:r>
      <w:r w:rsidRPr="00954104">
        <w:rPr>
          <w:rFonts w:eastAsia="Cambria"/>
          <w:szCs w:val="22"/>
          <w:lang w:val="en-GB"/>
        </w:rPr>
        <w:t xml:space="preserve"> </w:t>
      </w:r>
    </w:p>
    <w:p w14:paraId="4769768A" w14:textId="77777777" w:rsidR="00585A78" w:rsidRPr="00954104" w:rsidRDefault="00585A78" w:rsidP="00585A78">
      <w:pPr>
        <w:rPr>
          <w:rFonts w:eastAsia="Times New Roman"/>
          <w:szCs w:val="22"/>
          <w:lang w:val="en-GB"/>
        </w:rPr>
      </w:pPr>
    </w:p>
    <w:p w14:paraId="33F5556A" w14:textId="77777777" w:rsidR="00585A78" w:rsidRPr="00954104" w:rsidRDefault="00585A78" w:rsidP="00585A78">
      <w:pPr>
        <w:rPr>
          <w:rFonts w:eastAsia="Times New Roman"/>
          <w:szCs w:val="22"/>
          <w:lang w:eastAsia="ru-RU"/>
        </w:rPr>
      </w:pPr>
      <w:r w:rsidRPr="00954104">
        <w:rPr>
          <w:rFonts w:eastAsia="Times New Roman"/>
          <w:szCs w:val="22"/>
          <w:lang w:eastAsia="ru-RU"/>
        </w:rPr>
        <w:t xml:space="preserve">In April 2016, Secretary of State Abdykalikova announced that the proportion of women in business has increased from 38% to 50% since 2006. In addition, Kazakhstan took the 25th place in the ranking of countries according to the proportion of working women of the WEF’s 2015 Global Competitiveness Index. Since 2010 female unemployment rate declined from 6.6% to 5.7% in the country. At the general level of economic activity of the population of Kazakhstan 71.7% in 2015. The level of economic activity of women was lower (66.7%) than men (77.3%), due primarily to more early retirement, and because of the earlier termination of employment. Despite the fact that the unemployment rate of the population over the period from 2008 to 2015 had a downward trend (2008: 6.6%; in 2015 - 5.1%), the level of female unemployment remains high in comparison with the male unemployment. Ratio of wages between men and women is 67.8% in 2015, while in 2010 it was 63.8%. </w:t>
      </w:r>
    </w:p>
    <w:p w14:paraId="65DA8FB5" w14:textId="77777777" w:rsidR="00585A78" w:rsidRPr="00954104" w:rsidRDefault="00585A78" w:rsidP="00585A78">
      <w:pPr>
        <w:rPr>
          <w:rFonts w:eastAsia="Times New Roman"/>
          <w:szCs w:val="22"/>
          <w:lang w:eastAsia="ru-RU"/>
        </w:rPr>
      </w:pPr>
    </w:p>
    <w:p w14:paraId="0CC8088B" w14:textId="77777777" w:rsidR="00585A78" w:rsidRPr="00954104" w:rsidRDefault="00585A78" w:rsidP="00585A78">
      <w:pPr>
        <w:rPr>
          <w:rFonts w:eastAsia="Times New Roman"/>
          <w:szCs w:val="22"/>
          <w:lang w:eastAsia="ru-RU"/>
        </w:rPr>
      </w:pPr>
      <w:r w:rsidRPr="00954104">
        <w:rPr>
          <w:rFonts w:eastAsia="Times New Roman"/>
          <w:szCs w:val="22"/>
          <w:lang w:eastAsia="ru-RU"/>
        </w:rPr>
        <w:t>According to JSC "Entrepreneurship Development Fund" Damu 1,280 small and medium-sized enterprises (SMEs) headed by women granted loans in 2015, and the amount of credit amounted to just over 19 billion tenge. The total number of active SMEs headed by women amounted to more than 325.4 thousand units, or 41% of the total. Most of them are individual entrepreneurs - 84.6%. The largest number of women entrepreneurs are concentrated in sectors such as wholesale and retail trade; repair of motor vehicles and motorcycles (50.3%), agriculture, forestry and fishing (16.6%), other services (9.4%) and real estate activities (6.6%).</w:t>
      </w:r>
    </w:p>
    <w:p w14:paraId="70FC84A6" w14:textId="77777777" w:rsidR="00585A78" w:rsidRDefault="00585A78" w:rsidP="00585A78">
      <w:pPr>
        <w:rPr>
          <w:rFonts w:eastAsia="Times New Roman"/>
          <w:lang w:val="en-GB"/>
        </w:rPr>
      </w:pPr>
    </w:p>
    <w:p w14:paraId="2279D170" w14:textId="77777777" w:rsidR="00585A78" w:rsidRPr="001E33E9" w:rsidRDefault="00585A78" w:rsidP="00585A78">
      <w:pPr>
        <w:rPr>
          <w:rFonts w:eastAsia="Times New Roman"/>
          <w:b/>
          <w:sz w:val="24"/>
          <w:lang w:val="en-GB"/>
        </w:rPr>
      </w:pPr>
      <w:r w:rsidRPr="001E33E9">
        <w:rPr>
          <w:rFonts w:eastAsia="Times New Roman"/>
          <w:b/>
          <w:sz w:val="24"/>
          <w:lang w:val="en-GB"/>
        </w:rPr>
        <w:t>National Commission for Women Affairs, Family and Demographic Policy</w:t>
      </w:r>
    </w:p>
    <w:p w14:paraId="3664765A" w14:textId="77777777" w:rsidR="00585A78" w:rsidRDefault="00585A78" w:rsidP="00585A78">
      <w:pPr>
        <w:rPr>
          <w:rFonts w:eastAsia="Times New Roman"/>
          <w:lang w:eastAsia="ru-RU"/>
        </w:rPr>
      </w:pPr>
    </w:p>
    <w:p w14:paraId="471D2B2B" w14:textId="77777777" w:rsidR="00585A78" w:rsidRPr="00954104" w:rsidRDefault="00585A78" w:rsidP="00585A78">
      <w:pPr>
        <w:rPr>
          <w:rFonts w:eastAsia="Times New Roman"/>
          <w:lang w:val="en-GB"/>
        </w:rPr>
      </w:pPr>
      <w:r w:rsidRPr="00954104">
        <w:rPr>
          <w:rFonts w:eastAsia="Times New Roman"/>
          <w:lang w:eastAsia="ru-RU"/>
        </w:rPr>
        <w:t xml:space="preserve">The leading institution on gender issues in Kazakhstan is the National Commission for Women Affairs, Family and Demographic Policy under the President, which has become an effective platform for dialogue between the government, civil society and international organizations. </w:t>
      </w:r>
      <w:r w:rsidRPr="00954104">
        <w:rPr>
          <w:rFonts w:eastAsia="Times New Roman"/>
          <w:lang w:val="en-GB"/>
        </w:rPr>
        <w:t xml:space="preserve">The National Commission on Women’s Affairs, Family and Demographic Policy is an advisory body to the President of the Republic of Kazakhstan directly subordinate and accountable to him, with its Secretariat located under the Administration of the Presidency. The National Commission for Women’s Affairs, Family and Demographic Policy is tasked to provide oversight in ensuring the effective implementation and monitoring the gender policy.  The National Commission consists of 23 permanent members appointed by the President. It is chaired by Secretary of State Abdykalikova. Members of the Commission include deputies, representatives of state bodies, national companies, teachers, business women and representatives of civil society. The Commission also has an Expert Council consisting of NGOs and academia. Members are appointed by the Chairperson of the Commission on a permanent basis. While the Commission meets as necessary but at least four times a year, the Council meets only on the instruction of the Chairperson on an irregular basis. Both the Commission and the Expert Council are not funded and work on a voluntary basis. The National Commission is composed of eminent individuals who play important roles in the country’s development. While such composition may provide an important soft power to the Commission for influencing the country’s agenda, limited institutionalisation of the gender machinery and more specifically, central gender institution, and its dependence on individuals risk mitigating the longevity and sustainable commitment and integration of gender equality efforts across the government. </w:t>
      </w:r>
    </w:p>
    <w:p w14:paraId="450DED9B" w14:textId="77777777" w:rsidR="00585A78" w:rsidRPr="00954104" w:rsidRDefault="00585A78" w:rsidP="00585A78">
      <w:pPr>
        <w:rPr>
          <w:rFonts w:eastAsia="Times New Roman"/>
          <w:lang w:eastAsia="ru-RU"/>
        </w:rPr>
      </w:pPr>
    </w:p>
    <w:p w14:paraId="42613D1C" w14:textId="77777777" w:rsidR="00585A78" w:rsidRPr="00954104" w:rsidRDefault="00585A78" w:rsidP="00585A78">
      <w:pPr>
        <w:rPr>
          <w:rFonts w:eastAsia="Times New Roman"/>
          <w:lang w:val="en-GB"/>
        </w:rPr>
      </w:pPr>
      <w:r w:rsidRPr="00954104">
        <w:rPr>
          <w:rFonts w:eastAsia="Times New Roman"/>
          <w:lang w:val="en-GB"/>
        </w:rPr>
        <w:t xml:space="preserve">In addition to the National Commission for Women’s Affairs, Family and Demographic Policy, all regions in Kazakhstan as well as the cities of Astana and Almaty have regional commissions placed under the office of the </w:t>
      </w:r>
      <w:r w:rsidRPr="00954104">
        <w:rPr>
          <w:rFonts w:eastAsia="Times New Roman"/>
          <w:i/>
          <w:iCs/>
          <w:lang w:val="en-GB"/>
        </w:rPr>
        <w:t xml:space="preserve">akim </w:t>
      </w:r>
      <w:r w:rsidRPr="00954104">
        <w:rPr>
          <w:rFonts w:eastAsia="Times New Roman"/>
          <w:lang w:val="en-GB"/>
        </w:rPr>
        <w:t>(head of the local executive branch)</w:t>
      </w:r>
      <w:r w:rsidRPr="00954104">
        <w:rPr>
          <w:rFonts w:eastAsia="Times New Roman"/>
          <w:i/>
          <w:iCs/>
          <w:lang w:val="en-GB"/>
        </w:rPr>
        <w:t xml:space="preserve">. </w:t>
      </w:r>
      <w:r w:rsidRPr="00954104">
        <w:rPr>
          <w:rFonts w:eastAsia="Times New Roman"/>
          <w:lang w:val="en-GB"/>
        </w:rPr>
        <w:t xml:space="preserve">Members of the regional commissions are appointed by the akims on the advice of the deputy </w:t>
      </w:r>
      <w:r w:rsidRPr="00954104">
        <w:rPr>
          <w:rFonts w:eastAsia="Times New Roman"/>
          <w:i/>
          <w:iCs/>
          <w:lang w:val="en-GB"/>
        </w:rPr>
        <w:t>akim</w:t>
      </w:r>
      <w:r w:rsidRPr="00954104">
        <w:rPr>
          <w:rFonts w:eastAsia="Times New Roman"/>
          <w:lang w:val="en-GB"/>
        </w:rPr>
        <w:t xml:space="preserve"> who chairs the regional commission. The members of the regional commission meet 4 – 5 time per year. During these meetings, </w:t>
      </w:r>
      <w:r w:rsidRPr="00954104">
        <w:rPr>
          <w:rFonts w:eastAsia="Times New Roman"/>
          <w:i/>
          <w:iCs/>
          <w:lang w:val="en-GB"/>
        </w:rPr>
        <w:t>akimats</w:t>
      </w:r>
      <w:r w:rsidRPr="00954104">
        <w:rPr>
          <w:rFonts w:eastAsia="Times New Roman"/>
          <w:lang w:val="en-GB"/>
        </w:rPr>
        <w:t xml:space="preserve"> (local executive bodies) provide information on the implementation of the 3 year action plans for gender equality. The members of the Commission orally assess the activity of the </w:t>
      </w:r>
      <w:r w:rsidRPr="00954104">
        <w:rPr>
          <w:rFonts w:eastAsia="Times New Roman"/>
          <w:i/>
          <w:iCs/>
          <w:lang w:val="en-GB"/>
        </w:rPr>
        <w:t xml:space="preserve">akimats </w:t>
      </w:r>
      <w:r w:rsidRPr="00954104">
        <w:rPr>
          <w:rFonts w:eastAsia="Times New Roman"/>
          <w:lang w:val="en-GB"/>
        </w:rPr>
        <w:t xml:space="preserve">on gender equality, oversee achievements and provide feedback. In parallel to the central gender machinery, the regional commissions are composed of eminent individuals who exercise an important soft power over </w:t>
      </w:r>
      <w:r w:rsidRPr="00954104">
        <w:rPr>
          <w:rFonts w:eastAsia="Times New Roman"/>
          <w:i/>
          <w:iCs/>
          <w:lang w:val="en-GB"/>
        </w:rPr>
        <w:t xml:space="preserve">akimats. </w:t>
      </w:r>
    </w:p>
    <w:p w14:paraId="277220EF" w14:textId="77777777" w:rsidR="00585A78" w:rsidRDefault="00585A78" w:rsidP="00585A78">
      <w:pPr>
        <w:rPr>
          <w:rFonts w:eastAsia="Times New Roman"/>
          <w:b/>
          <w:sz w:val="24"/>
          <w:szCs w:val="22"/>
          <w:lang w:eastAsia="ru-RU"/>
        </w:rPr>
      </w:pPr>
    </w:p>
    <w:p w14:paraId="6066286B" w14:textId="77777777" w:rsidR="00585A78" w:rsidRPr="001E33E9" w:rsidRDefault="00585A78" w:rsidP="00585A78">
      <w:pPr>
        <w:rPr>
          <w:rFonts w:eastAsia="Times New Roman"/>
          <w:b/>
          <w:sz w:val="24"/>
          <w:szCs w:val="22"/>
          <w:lang w:eastAsia="ru-RU"/>
        </w:rPr>
      </w:pPr>
      <w:r w:rsidRPr="001E33E9">
        <w:rPr>
          <w:rFonts w:eastAsia="Times New Roman"/>
          <w:b/>
          <w:sz w:val="24"/>
          <w:szCs w:val="22"/>
          <w:lang w:eastAsia="ru-RU"/>
        </w:rPr>
        <w:t>Gender equality strategy: 2006-2016 and 2017-2025</w:t>
      </w:r>
    </w:p>
    <w:p w14:paraId="4A298888" w14:textId="77777777" w:rsidR="00585A78" w:rsidRDefault="00585A78" w:rsidP="00585A78">
      <w:pPr>
        <w:rPr>
          <w:rFonts w:eastAsia="Times New Roman"/>
          <w:szCs w:val="22"/>
          <w:lang w:eastAsia="ru-RU"/>
        </w:rPr>
      </w:pPr>
    </w:p>
    <w:p w14:paraId="3667A651" w14:textId="77777777" w:rsidR="00585A78" w:rsidRPr="00954104" w:rsidRDefault="00585A78" w:rsidP="00585A78">
      <w:pPr>
        <w:rPr>
          <w:rFonts w:eastAsia="Times New Roman"/>
          <w:szCs w:val="22"/>
          <w:lang w:eastAsia="ru-RU"/>
        </w:rPr>
      </w:pPr>
      <w:r w:rsidRPr="00954104">
        <w:rPr>
          <w:rFonts w:eastAsia="Times New Roman"/>
          <w:szCs w:val="22"/>
          <w:lang w:eastAsia="ru-RU"/>
        </w:rPr>
        <w:t>The leading document in the gender area is the Strategy for Gender Equality in the Republic of Kazakhstan for 2006-2016 approved by the Decree of the President of the Republic of Kazakhstan dated November 29, 2005 number 1977 is a document of national importance, consolidating a set of interrelated measures and actions aimed at achieving the common goal of plans - the creation of conditions for the realization of equal rights and opportunities for men and women enshrined in the Constitution of the Republic of Kazakhstan and international documents, adopted by Kazakhstan.</w:t>
      </w:r>
    </w:p>
    <w:p w14:paraId="41645442" w14:textId="77777777" w:rsidR="00585A78" w:rsidRPr="00954104" w:rsidRDefault="00585A78" w:rsidP="00585A78">
      <w:pPr>
        <w:rPr>
          <w:rFonts w:eastAsia="Times New Roman"/>
          <w:szCs w:val="22"/>
          <w:lang w:eastAsia="ru-RU"/>
        </w:rPr>
      </w:pPr>
    </w:p>
    <w:p w14:paraId="410131DB" w14:textId="77777777" w:rsidR="00585A78" w:rsidRPr="00954104" w:rsidRDefault="00585A78" w:rsidP="00585A78">
      <w:pPr>
        <w:rPr>
          <w:rFonts w:eastAsia="Times New Roman"/>
          <w:szCs w:val="22"/>
          <w:lang w:eastAsia="ru-RU"/>
        </w:rPr>
      </w:pPr>
      <w:r w:rsidRPr="00954104">
        <w:rPr>
          <w:rFonts w:eastAsia="Times New Roman"/>
          <w:szCs w:val="22"/>
          <w:lang w:eastAsia="ru-RU"/>
        </w:rPr>
        <w:t>It should be noted that this Gender Equality Strategy is the first ever adopted in the history of independent Kazakhstan. At that time point the document was an innovative instrument opening a new stage in the social policy of the state to ensure a stable balance on the level of gender relations of the social sphere in general and provides, inter alia, the introduction of gender knowledge society education and awareness of the system of the necessity of legal and gender equality. Development of the project was the result of the constructive cooperation between the women empowerment CSOs, state bodies and international stakeholders (UN agencies and OSCE).</w:t>
      </w:r>
    </w:p>
    <w:p w14:paraId="65E27C24" w14:textId="77777777" w:rsidR="00585A78" w:rsidRPr="00954104" w:rsidRDefault="00585A78" w:rsidP="00585A78">
      <w:pPr>
        <w:rPr>
          <w:rFonts w:eastAsia="Times New Roman"/>
          <w:szCs w:val="22"/>
          <w:lang w:eastAsia="ru-RU"/>
        </w:rPr>
      </w:pPr>
    </w:p>
    <w:p w14:paraId="3CC16C43" w14:textId="77777777" w:rsidR="00585A78" w:rsidRPr="00954104" w:rsidRDefault="00585A78" w:rsidP="00585A78">
      <w:pPr>
        <w:rPr>
          <w:rFonts w:eastAsia="Times New Roman"/>
          <w:szCs w:val="22"/>
          <w:lang w:eastAsia="ru-RU"/>
        </w:rPr>
      </w:pPr>
      <w:r w:rsidRPr="00954104">
        <w:rPr>
          <w:rFonts w:eastAsia="Times New Roman"/>
          <w:szCs w:val="22"/>
          <w:lang w:eastAsia="ru-RU"/>
        </w:rPr>
        <w:t xml:space="preserve">2016 marks a decade of implementation of the strategy and UNDP in the framework of the gender project provides technical support to conduct its evaluation, a comprehensive assessment of the implementation of the strategy, results, problems and limitations, as well as the determination of the effectiveness of implemented activities compared to envisaged goals and objectives, develop proposals for the improvement of gender policy in Kazakhstan. </w:t>
      </w:r>
    </w:p>
    <w:p w14:paraId="6363117E" w14:textId="77777777" w:rsidR="00585A78" w:rsidRPr="00954104" w:rsidRDefault="00585A78" w:rsidP="00585A78">
      <w:pPr>
        <w:rPr>
          <w:rFonts w:eastAsia="Times New Roman"/>
          <w:szCs w:val="22"/>
          <w:lang w:eastAsia="ru-RU"/>
        </w:rPr>
      </w:pPr>
    </w:p>
    <w:p w14:paraId="6AA2EFBA" w14:textId="77777777" w:rsidR="00585A78" w:rsidRPr="00954104" w:rsidRDefault="00585A78" w:rsidP="00585A78">
      <w:pPr>
        <w:rPr>
          <w:rFonts w:eastAsia="Times New Roman"/>
          <w:szCs w:val="22"/>
          <w:lang w:eastAsia="ru-RU"/>
        </w:rPr>
      </w:pPr>
      <w:r w:rsidRPr="00954104">
        <w:rPr>
          <w:rFonts w:eastAsia="Times New Roman"/>
          <w:szCs w:val="22"/>
          <w:lang w:eastAsia="ru-RU"/>
        </w:rPr>
        <w:t>UNDP is assisting the Government of Kazakhstan, represented by the National Commission for Women Affairs, Family and Demographic Policy under the President of the Republic of Kazakhstan, to develop a new program of country-level document, based on a comprehensive gender-based campaign with a clear detailing the implementation of its instruments at all levels of government and all actors interact, defining the conditions for the formation of gender policy: the state; civil society; international organizations and the donor community.</w:t>
      </w:r>
    </w:p>
    <w:p w14:paraId="07D3B46D" w14:textId="77777777" w:rsidR="00585A78" w:rsidRPr="00954104" w:rsidRDefault="00585A78" w:rsidP="00585A78">
      <w:pPr>
        <w:rPr>
          <w:rFonts w:eastAsia="Times New Roman"/>
          <w:szCs w:val="22"/>
          <w:lang w:eastAsia="ru-RU"/>
        </w:rPr>
      </w:pPr>
    </w:p>
    <w:p w14:paraId="5FBD64C1" w14:textId="77777777" w:rsidR="00585A78" w:rsidRPr="00954104" w:rsidRDefault="00585A78" w:rsidP="00585A78">
      <w:pPr>
        <w:rPr>
          <w:rFonts w:eastAsia="Times New Roman"/>
          <w:szCs w:val="22"/>
          <w:lang w:eastAsia="ru-RU"/>
        </w:rPr>
      </w:pPr>
      <w:r w:rsidRPr="00954104">
        <w:rPr>
          <w:rFonts w:eastAsia="Times New Roman"/>
          <w:szCs w:val="22"/>
          <w:lang w:eastAsia="ru-RU"/>
        </w:rPr>
        <w:t>The new document will integrate the gender mainstreaming in the policies of central government bodies and regions on gender equality policy format project development level and will consist (but not limited) following focus areas:</w:t>
      </w:r>
    </w:p>
    <w:p w14:paraId="7FCF31ED" w14:textId="77777777" w:rsidR="00585A78" w:rsidRPr="00C25AC6" w:rsidRDefault="00585A78" w:rsidP="00585A78">
      <w:pPr>
        <w:numPr>
          <w:ilvl w:val="0"/>
          <w:numId w:val="55"/>
        </w:numPr>
        <w:spacing w:after="200"/>
        <w:contextualSpacing/>
        <w:jc w:val="both"/>
        <w:rPr>
          <w:rFonts w:eastAsia="Calibri"/>
          <w:szCs w:val="22"/>
          <w:lang w:eastAsia="ru-RU"/>
        </w:rPr>
      </w:pPr>
      <w:r w:rsidRPr="00C25AC6">
        <w:rPr>
          <w:rFonts w:eastAsia="Calibri"/>
          <w:szCs w:val="22"/>
          <w:lang w:eastAsia="ru-RU"/>
        </w:rPr>
        <w:t>The effect of gender inequality on economic and demographic loss</w:t>
      </w:r>
    </w:p>
    <w:p w14:paraId="4ABB4DEE" w14:textId="77777777" w:rsidR="00585A78" w:rsidRPr="00C25AC6" w:rsidRDefault="00585A78" w:rsidP="00585A78">
      <w:pPr>
        <w:numPr>
          <w:ilvl w:val="0"/>
          <w:numId w:val="55"/>
        </w:numPr>
        <w:spacing w:after="200"/>
        <w:contextualSpacing/>
        <w:jc w:val="both"/>
        <w:rPr>
          <w:rFonts w:eastAsia="Calibri"/>
          <w:szCs w:val="22"/>
          <w:lang w:eastAsia="ru-RU"/>
        </w:rPr>
      </w:pPr>
      <w:r w:rsidRPr="00C25AC6">
        <w:rPr>
          <w:rFonts w:eastAsia="Calibri"/>
          <w:szCs w:val="22"/>
          <w:lang w:eastAsia="ru-RU"/>
        </w:rPr>
        <w:t>Gender-oriented economic policy</w:t>
      </w:r>
    </w:p>
    <w:p w14:paraId="0EA96E9E" w14:textId="77777777" w:rsidR="00585A78" w:rsidRPr="00C229AB" w:rsidRDefault="00585A78" w:rsidP="00585A78">
      <w:pPr>
        <w:numPr>
          <w:ilvl w:val="0"/>
          <w:numId w:val="55"/>
        </w:numPr>
        <w:spacing w:after="200"/>
        <w:contextualSpacing/>
        <w:jc w:val="both"/>
        <w:rPr>
          <w:rFonts w:eastAsia="Calibri"/>
          <w:szCs w:val="22"/>
          <w:lang w:eastAsia="ru-RU"/>
        </w:rPr>
      </w:pPr>
      <w:r w:rsidRPr="00C229AB">
        <w:rPr>
          <w:rFonts w:eastAsia="Calibri"/>
          <w:szCs w:val="22"/>
          <w:lang w:eastAsia="ru-RU"/>
        </w:rPr>
        <w:t>The empowerment of women in social and political life</w:t>
      </w:r>
    </w:p>
    <w:p w14:paraId="15055DFF" w14:textId="77777777" w:rsidR="00585A78" w:rsidRPr="00C25AC6" w:rsidRDefault="00585A78" w:rsidP="00585A78">
      <w:pPr>
        <w:numPr>
          <w:ilvl w:val="0"/>
          <w:numId w:val="55"/>
        </w:numPr>
        <w:spacing w:after="200"/>
        <w:contextualSpacing/>
        <w:jc w:val="both"/>
        <w:rPr>
          <w:rFonts w:eastAsia="Calibri"/>
          <w:szCs w:val="22"/>
          <w:lang w:eastAsia="ru-RU"/>
        </w:rPr>
      </w:pPr>
      <w:r w:rsidRPr="00C25AC6">
        <w:rPr>
          <w:rFonts w:eastAsia="Calibri"/>
          <w:szCs w:val="22"/>
          <w:lang w:eastAsia="ru-RU"/>
        </w:rPr>
        <w:t>A gender approach to planning in the field of social policy</w:t>
      </w:r>
    </w:p>
    <w:p w14:paraId="09F3B4C4" w14:textId="77777777" w:rsidR="00585A78" w:rsidRPr="00C25AC6" w:rsidRDefault="00585A78" w:rsidP="00585A78">
      <w:pPr>
        <w:numPr>
          <w:ilvl w:val="0"/>
          <w:numId w:val="55"/>
        </w:numPr>
        <w:spacing w:after="200"/>
        <w:contextualSpacing/>
        <w:jc w:val="both"/>
        <w:rPr>
          <w:rFonts w:eastAsia="Calibri"/>
          <w:szCs w:val="22"/>
          <w:lang w:eastAsia="ru-RU"/>
        </w:rPr>
      </w:pPr>
      <w:r w:rsidRPr="00C25AC6">
        <w:rPr>
          <w:rFonts w:eastAsia="Calibri"/>
          <w:szCs w:val="22"/>
          <w:lang w:eastAsia="ru-RU"/>
        </w:rPr>
        <w:t>Gender criteria for the development of culture, science and education</w:t>
      </w:r>
    </w:p>
    <w:p w14:paraId="656A6E5C" w14:textId="77777777" w:rsidR="00585A78" w:rsidRPr="00C25AC6" w:rsidRDefault="00585A78" w:rsidP="00585A78">
      <w:pPr>
        <w:numPr>
          <w:ilvl w:val="0"/>
          <w:numId w:val="55"/>
        </w:numPr>
        <w:spacing w:after="200"/>
        <w:contextualSpacing/>
        <w:jc w:val="both"/>
        <w:rPr>
          <w:rFonts w:eastAsia="Calibri"/>
          <w:szCs w:val="22"/>
          <w:lang w:eastAsia="ru-RU"/>
        </w:rPr>
      </w:pPr>
      <w:r w:rsidRPr="00C25AC6">
        <w:rPr>
          <w:rFonts w:eastAsia="Calibri"/>
          <w:szCs w:val="22"/>
          <w:lang w:eastAsia="ru-RU"/>
        </w:rPr>
        <w:t>Gender issues in the health and prospects of their solutions</w:t>
      </w:r>
    </w:p>
    <w:p w14:paraId="3F18B13D" w14:textId="77777777" w:rsidR="00585A78" w:rsidRPr="00C25AC6" w:rsidRDefault="00585A78" w:rsidP="00585A78">
      <w:pPr>
        <w:numPr>
          <w:ilvl w:val="0"/>
          <w:numId w:val="55"/>
        </w:numPr>
        <w:spacing w:after="200"/>
        <w:contextualSpacing/>
        <w:jc w:val="both"/>
        <w:rPr>
          <w:rFonts w:eastAsia="Calibri"/>
          <w:szCs w:val="22"/>
          <w:lang w:eastAsia="ru-RU"/>
        </w:rPr>
      </w:pPr>
      <w:r w:rsidRPr="00C25AC6">
        <w:rPr>
          <w:rFonts w:eastAsia="Calibri"/>
          <w:szCs w:val="22"/>
          <w:lang w:eastAsia="ru-RU"/>
        </w:rPr>
        <w:t>Achieving gender equality in the family</w:t>
      </w:r>
    </w:p>
    <w:p w14:paraId="315447A1" w14:textId="77777777" w:rsidR="00585A78" w:rsidRPr="00C25AC6" w:rsidRDefault="00585A78" w:rsidP="00585A78">
      <w:pPr>
        <w:numPr>
          <w:ilvl w:val="0"/>
          <w:numId w:val="55"/>
        </w:numPr>
        <w:spacing w:after="200"/>
        <w:contextualSpacing/>
        <w:jc w:val="both"/>
        <w:rPr>
          <w:rFonts w:eastAsia="Calibri"/>
          <w:szCs w:val="22"/>
          <w:lang w:eastAsia="ru-RU"/>
        </w:rPr>
      </w:pPr>
      <w:r w:rsidRPr="00C25AC6">
        <w:rPr>
          <w:rFonts w:eastAsia="Calibri"/>
          <w:szCs w:val="22"/>
          <w:lang w:eastAsia="ru-RU"/>
        </w:rPr>
        <w:t>Strengthening the family and the role of the father in the upbringing</w:t>
      </w:r>
    </w:p>
    <w:p w14:paraId="094CB67F" w14:textId="77777777" w:rsidR="00585A78" w:rsidRPr="00C25AC6" w:rsidRDefault="00585A78" w:rsidP="00585A78">
      <w:pPr>
        <w:numPr>
          <w:ilvl w:val="0"/>
          <w:numId w:val="55"/>
        </w:numPr>
        <w:spacing w:after="200"/>
        <w:contextualSpacing/>
        <w:jc w:val="both"/>
        <w:rPr>
          <w:rFonts w:eastAsia="Calibri"/>
          <w:szCs w:val="22"/>
          <w:lang w:eastAsia="ru-RU"/>
        </w:rPr>
      </w:pPr>
      <w:r w:rsidRPr="00C25AC6">
        <w:rPr>
          <w:rFonts w:eastAsia="Calibri"/>
          <w:szCs w:val="22"/>
          <w:lang w:eastAsia="ru-RU"/>
        </w:rPr>
        <w:t>Prevention of gender-based violence</w:t>
      </w:r>
    </w:p>
    <w:p w14:paraId="5F01D2CB" w14:textId="77777777" w:rsidR="00585A78" w:rsidRPr="00C25AC6" w:rsidRDefault="00585A78" w:rsidP="00585A78">
      <w:pPr>
        <w:numPr>
          <w:ilvl w:val="0"/>
          <w:numId w:val="55"/>
        </w:numPr>
        <w:spacing w:after="200"/>
        <w:contextualSpacing/>
        <w:jc w:val="both"/>
        <w:rPr>
          <w:rFonts w:eastAsia="Calibri"/>
          <w:szCs w:val="22"/>
          <w:lang w:eastAsia="ru-RU"/>
        </w:rPr>
      </w:pPr>
      <w:r w:rsidRPr="00C25AC6">
        <w:rPr>
          <w:rFonts w:eastAsia="Calibri"/>
          <w:szCs w:val="22"/>
          <w:lang w:eastAsia="ru-RU"/>
        </w:rPr>
        <w:t>Gender requirements for information policy</w:t>
      </w:r>
    </w:p>
    <w:p w14:paraId="64009979" w14:textId="77777777" w:rsidR="00585A78" w:rsidRPr="00C25AC6" w:rsidRDefault="00585A78" w:rsidP="00585A78">
      <w:pPr>
        <w:numPr>
          <w:ilvl w:val="0"/>
          <w:numId w:val="55"/>
        </w:numPr>
        <w:spacing w:after="200"/>
        <w:contextualSpacing/>
        <w:jc w:val="both"/>
        <w:rPr>
          <w:rFonts w:eastAsia="Calibri"/>
          <w:szCs w:val="22"/>
          <w:lang w:eastAsia="ru-RU"/>
        </w:rPr>
      </w:pPr>
      <w:r w:rsidRPr="00C25AC6">
        <w:rPr>
          <w:rFonts w:eastAsia="Calibri"/>
          <w:szCs w:val="22"/>
          <w:lang w:eastAsia="ru-RU"/>
        </w:rPr>
        <w:t>Women's participation in peace and security</w:t>
      </w:r>
    </w:p>
    <w:p w14:paraId="060CAE19" w14:textId="77777777" w:rsidR="00585A78" w:rsidRPr="00954104" w:rsidRDefault="00585A78" w:rsidP="00585A78">
      <w:pPr>
        <w:rPr>
          <w:rFonts w:eastAsia="Times New Roman"/>
          <w:szCs w:val="22"/>
        </w:rPr>
      </w:pPr>
    </w:p>
    <w:p w14:paraId="2F7FA137" w14:textId="77777777" w:rsidR="00585A78" w:rsidRPr="00954104" w:rsidRDefault="00585A78" w:rsidP="00585A78">
      <w:pPr>
        <w:rPr>
          <w:rFonts w:eastAsia="Times New Roman"/>
          <w:bCs/>
          <w:i/>
          <w:szCs w:val="22"/>
          <w:lang w:val="en-GB" w:eastAsia="ja-JP"/>
        </w:rPr>
      </w:pPr>
      <w:r w:rsidRPr="00954104">
        <w:rPr>
          <w:rFonts w:eastAsia="Times-Roman"/>
          <w:szCs w:val="22"/>
          <w:lang w:val="en-GB"/>
        </w:rPr>
        <w:t>In Kazakhstan, while the state budget does earmark funds for gender related activities, gender responsive budgeting is a fairly untapped tool. Although, in principle, integrating a gender approach in the formulation of budgets is articulated in the Gender Strategy,</w:t>
      </w:r>
      <w:r w:rsidRPr="00954104">
        <w:rPr>
          <w:rFonts w:eastAsia="Times New Roman"/>
          <w:szCs w:val="22"/>
          <w:lang w:val="en-GB"/>
        </w:rPr>
        <w:t xml:space="preserve"> its application remains lagged. In the implementation of the Gender Strategy, the public budgets are allocated to achieve output indicators rather than focusing on the outcome results. </w:t>
      </w:r>
      <w:r w:rsidRPr="00954104">
        <w:rPr>
          <w:rFonts w:eastAsia="Times-Roman"/>
          <w:szCs w:val="22"/>
          <w:lang w:val="en-GB"/>
        </w:rPr>
        <w:t>Efforts are needed to refocus the resource allocation process towards greater linkages with expected results.</w:t>
      </w:r>
      <w:r w:rsidRPr="00954104">
        <w:rPr>
          <w:rFonts w:eastAsia="Times New Roman"/>
          <w:szCs w:val="22"/>
          <w:lang w:val="en-GB"/>
        </w:rPr>
        <w:t xml:space="preserve"> In order to effectively allocate public budgets, Kazakhstan may benefit from setting fewer and more measurable objectives and better targeting output and outcome indicators for gender equality through an evidence-based analysis of policies and programmes which allow for effective evaluation and monitoring.</w:t>
      </w:r>
    </w:p>
    <w:p w14:paraId="4E58944B" w14:textId="77777777" w:rsidR="00585A78" w:rsidRDefault="00585A78" w:rsidP="00585A78">
      <w:pPr>
        <w:pStyle w:val="a7"/>
        <w:tabs>
          <w:tab w:val="clear" w:pos="4153"/>
          <w:tab w:val="clear" w:pos="8306"/>
          <w:tab w:val="left" w:pos="426"/>
        </w:tabs>
        <w:spacing w:after="120"/>
        <w:rPr>
          <w:rFonts w:cs="Arial"/>
          <w:b/>
          <w:sz w:val="24"/>
          <w:szCs w:val="22"/>
          <w:lang w:val="en-GB"/>
        </w:rPr>
      </w:pPr>
    </w:p>
    <w:p w14:paraId="373DEEDE" w14:textId="77777777" w:rsidR="00585A78" w:rsidRPr="001E33E9" w:rsidRDefault="00585A78" w:rsidP="00585A78">
      <w:pPr>
        <w:pStyle w:val="a7"/>
        <w:tabs>
          <w:tab w:val="clear" w:pos="4153"/>
          <w:tab w:val="clear" w:pos="8306"/>
          <w:tab w:val="left" w:pos="426"/>
        </w:tabs>
        <w:spacing w:after="120"/>
        <w:rPr>
          <w:rFonts w:cs="Arial"/>
          <w:b/>
          <w:sz w:val="24"/>
          <w:szCs w:val="22"/>
          <w:lang w:val="en-GB"/>
        </w:rPr>
      </w:pPr>
      <w:r w:rsidRPr="001E33E9">
        <w:rPr>
          <w:rFonts w:cs="Arial"/>
          <w:b/>
          <w:sz w:val="24"/>
          <w:szCs w:val="22"/>
          <w:lang w:val="en-GB"/>
        </w:rPr>
        <w:t>Gender issues in the project</w:t>
      </w:r>
    </w:p>
    <w:p w14:paraId="5E018A85" w14:textId="77777777" w:rsidR="00585A78" w:rsidRDefault="00585A78" w:rsidP="00585A78">
      <w:pPr>
        <w:pStyle w:val="a7"/>
        <w:tabs>
          <w:tab w:val="clear" w:pos="4153"/>
          <w:tab w:val="clear" w:pos="8306"/>
          <w:tab w:val="left" w:pos="426"/>
        </w:tabs>
        <w:spacing w:after="120"/>
        <w:rPr>
          <w:rFonts w:cs="Arial"/>
          <w:szCs w:val="22"/>
          <w:lang w:val="en-GB"/>
        </w:rPr>
      </w:pPr>
      <w:r w:rsidRPr="00644BEB">
        <w:rPr>
          <w:rFonts w:cs="Arial"/>
          <w:szCs w:val="22"/>
          <w:lang w:val="en-GB"/>
        </w:rPr>
        <w:t>The overall outcome of the project will be an increased installed capacity of wind and solar power (MW) and lifetime renewable energy production (MWh) with associated reductions in GHG emissions and wider opportunities for gender mainstreaming in capacity building, financing and employment.</w:t>
      </w:r>
      <w:r w:rsidRPr="00F304AA">
        <w:t xml:space="preserve"> </w:t>
      </w:r>
      <w:r w:rsidRPr="00F304AA">
        <w:rPr>
          <w:rFonts w:cs="Arial"/>
          <w:szCs w:val="22"/>
          <w:lang w:val="en-GB"/>
        </w:rPr>
        <w:t>The project will involve gender mainstreaming opportunities in the establishment of MRV, where users will be trained on data collection and analysis; training and awareness-raising for commercial banks on performing due diligence for small-scale RES projects, and development of technology database and a mechanism for continuous update and systematic enforcement. The project will involve an in-country gender expert in developing gender-disaggregated data and indicators to ensure equitable gender representation.</w:t>
      </w:r>
    </w:p>
    <w:p w14:paraId="7C2C0247" w14:textId="77777777" w:rsidR="00585A78" w:rsidRPr="00F56264" w:rsidRDefault="00585A78" w:rsidP="00585A78">
      <w:pPr>
        <w:pStyle w:val="a7"/>
        <w:tabs>
          <w:tab w:val="clear" w:pos="4153"/>
          <w:tab w:val="clear" w:pos="8306"/>
          <w:tab w:val="left" w:pos="426"/>
        </w:tabs>
        <w:spacing w:after="120"/>
        <w:rPr>
          <w:rFonts w:cs="Arial"/>
          <w:szCs w:val="22"/>
          <w:lang w:val="en-GB"/>
        </w:rPr>
      </w:pPr>
      <w:r>
        <w:rPr>
          <w:rFonts w:cs="Arial"/>
          <w:szCs w:val="22"/>
          <w:lang w:val="en-GB"/>
        </w:rPr>
        <w:t>The “RES for Life” components of the project will allow women in rural and urban areas to</w:t>
      </w:r>
      <w:r w:rsidRPr="00F56264">
        <w:rPr>
          <w:kern w:val="1"/>
          <w:szCs w:val="22"/>
        </w:rPr>
        <w:t xml:space="preserve"> </w:t>
      </w:r>
      <w:r>
        <w:rPr>
          <w:rFonts w:cs="Arial"/>
          <w:szCs w:val="22"/>
          <w:lang w:val="en-GB"/>
        </w:rPr>
        <w:t xml:space="preserve">benefit </w:t>
      </w:r>
      <w:r w:rsidRPr="00F56264">
        <w:rPr>
          <w:kern w:val="1"/>
          <w:szCs w:val="22"/>
        </w:rPr>
        <w:t>greatly from improved energy services in the form of heat and power</w:t>
      </w:r>
      <w:r>
        <w:rPr>
          <w:kern w:val="1"/>
          <w:szCs w:val="22"/>
        </w:rPr>
        <w:t xml:space="preserve"> generated from renewable energy sources</w:t>
      </w:r>
      <w:r w:rsidRPr="00F56264">
        <w:rPr>
          <w:kern w:val="1"/>
          <w:szCs w:val="22"/>
        </w:rPr>
        <w:t>. These improvements could ease women’s workloads, reduce the time spent on household tasks such as cooking and cleaning, and could provide improved comfort and reduced vulnerability during the heating season.</w:t>
      </w:r>
    </w:p>
    <w:p w14:paraId="3F60688F" w14:textId="77777777" w:rsidR="00585A78" w:rsidRPr="006004D1" w:rsidRDefault="00585A78" w:rsidP="00585A78">
      <w:pPr>
        <w:pStyle w:val="a7"/>
        <w:tabs>
          <w:tab w:val="clear" w:pos="4153"/>
          <w:tab w:val="clear" w:pos="8306"/>
          <w:tab w:val="left" w:pos="426"/>
        </w:tabs>
        <w:spacing w:after="120"/>
        <w:rPr>
          <w:rFonts w:cs="Arial"/>
          <w:szCs w:val="22"/>
          <w:lang w:val="en-GB"/>
        </w:rPr>
      </w:pPr>
      <w:r w:rsidRPr="006004D1">
        <w:rPr>
          <w:rFonts w:cs="Arial"/>
          <w:szCs w:val="22"/>
          <w:lang w:val="en-GB"/>
        </w:rPr>
        <w:t xml:space="preserve">Gender issues </w:t>
      </w:r>
      <w:r>
        <w:rPr>
          <w:rFonts w:cs="Arial"/>
          <w:szCs w:val="22"/>
          <w:lang w:val="en-GB"/>
        </w:rPr>
        <w:t>are</w:t>
      </w:r>
      <w:r w:rsidRPr="006004D1">
        <w:rPr>
          <w:rFonts w:cs="Arial"/>
          <w:szCs w:val="22"/>
          <w:lang w:val="en-GB"/>
        </w:rPr>
        <w:t xml:space="preserve"> mainstreamed in the design of </w:t>
      </w:r>
      <w:r>
        <w:rPr>
          <w:rFonts w:cs="Arial"/>
          <w:szCs w:val="22"/>
          <w:lang w:val="en-GB"/>
        </w:rPr>
        <w:t>c</w:t>
      </w:r>
      <w:r w:rsidRPr="006004D1">
        <w:rPr>
          <w:rFonts w:cs="Arial"/>
          <w:szCs w:val="22"/>
          <w:lang w:val="en-GB"/>
        </w:rPr>
        <w:t>omponents 2 and 3 of the project as follows:</w:t>
      </w:r>
    </w:p>
    <w:p w14:paraId="70981F12" w14:textId="77777777" w:rsidR="00585A78" w:rsidRPr="006E404E" w:rsidRDefault="00585A78" w:rsidP="00585A78">
      <w:pPr>
        <w:pStyle w:val="Normalbullets"/>
        <w:numPr>
          <w:ilvl w:val="0"/>
          <w:numId w:val="49"/>
        </w:numPr>
        <w:contextualSpacing/>
        <w:rPr>
          <w:rFonts w:cs="Arial"/>
          <w:szCs w:val="22"/>
          <w:lang w:eastAsia="ko-KR"/>
        </w:rPr>
      </w:pPr>
      <w:r w:rsidRPr="006E404E">
        <w:rPr>
          <w:rFonts w:cs="Arial"/>
          <w:szCs w:val="22"/>
          <w:lang w:eastAsia="ko-KR"/>
        </w:rPr>
        <w:t>Component 2 “Renewable Energy for Life: Policy Derisking</w:t>
      </w:r>
      <w:r>
        <w:rPr>
          <w:rFonts w:cs="Arial"/>
          <w:szCs w:val="22"/>
          <w:lang w:eastAsia="ko-KR"/>
        </w:rPr>
        <w:t>”</w:t>
      </w:r>
      <w:r w:rsidRPr="006E404E">
        <w:rPr>
          <w:rFonts w:cs="Arial"/>
          <w:szCs w:val="22"/>
          <w:lang w:eastAsia="ko-KR"/>
        </w:rPr>
        <w:t>: at least 50% of beneficiaries for training and capacity building related to RES are women and/or women-headed organizations (i.e. Associations of Apartment Owners, SMEs, farming communities);</w:t>
      </w:r>
    </w:p>
    <w:p w14:paraId="16ECEFAD" w14:textId="77777777" w:rsidR="00585A78" w:rsidRPr="006E404E" w:rsidRDefault="00585A78" w:rsidP="00585A78">
      <w:pPr>
        <w:pStyle w:val="Normalbullets"/>
        <w:numPr>
          <w:ilvl w:val="0"/>
          <w:numId w:val="49"/>
        </w:numPr>
        <w:contextualSpacing/>
        <w:rPr>
          <w:rFonts w:cs="Arial"/>
          <w:szCs w:val="22"/>
          <w:lang w:eastAsia="ko-KR"/>
        </w:rPr>
      </w:pPr>
      <w:r w:rsidRPr="006E404E">
        <w:rPr>
          <w:rFonts w:cs="Arial"/>
          <w:szCs w:val="22"/>
          <w:lang w:eastAsia="ko-KR"/>
        </w:rPr>
        <w:t>Component 3 “Renewable Energy for Life: Financial Derisking and Financial Incentives” at least 50% of beneficiaries for project-supported “Renewable Energy for Life” applications in cities and rural areas will be women.</w:t>
      </w:r>
    </w:p>
    <w:p w14:paraId="1AB37653" w14:textId="77777777" w:rsidR="00585A78" w:rsidRDefault="00585A78" w:rsidP="00585A78">
      <w:pPr>
        <w:pStyle w:val="a7"/>
        <w:tabs>
          <w:tab w:val="clear" w:pos="4153"/>
          <w:tab w:val="clear" w:pos="8306"/>
          <w:tab w:val="left" w:pos="426"/>
        </w:tabs>
        <w:spacing w:after="120"/>
        <w:rPr>
          <w:rFonts w:cs="Arial"/>
          <w:szCs w:val="22"/>
          <w:lang w:val="en-GB"/>
        </w:rPr>
      </w:pPr>
      <w:r>
        <w:rPr>
          <w:rFonts w:cs="Arial"/>
          <w:szCs w:val="22"/>
          <w:lang w:val="en-GB"/>
        </w:rPr>
        <w:t xml:space="preserve">The project </w:t>
      </w:r>
      <w:r w:rsidRPr="006004D1">
        <w:rPr>
          <w:rFonts w:cs="Arial"/>
          <w:szCs w:val="22"/>
          <w:lang w:val="en-GB"/>
        </w:rPr>
        <w:t>also address</w:t>
      </w:r>
      <w:r>
        <w:rPr>
          <w:rFonts w:cs="Arial"/>
          <w:szCs w:val="22"/>
          <w:lang w:val="en-GB"/>
        </w:rPr>
        <w:t>es</w:t>
      </w:r>
      <w:r w:rsidRPr="006004D1">
        <w:rPr>
          <w:rFonts w:cs="Arial"/>
          <w:szCs w:val="22"/>
          <w:lang w:val="en-GB"/>
        </w:rPr>
        <w:t xml:space="preserve"> gender aspects in the following ways throughout the life cycle of the project:</w:t>
      </w:r>
      <w:r>
        <w:rPr>
          <w:rFonts w:cs="Arial"/>
          <w:szCs w:val="22"/>
          <w:lang w:val="en-GB"/>
        </w:rPr>
        <w:t xml:space="preserve"> </w:t>
      </w:r>
    </w:p>
    <w:p w14:paraId="71CF03A6" w14:textId="77777777" w:rsidR="00585A78" w:rsidRPr="006E404E" w:rsidRDefault="00585A78" w:rsidP="00585A78">
      <w:pPr>
        <w:pStyle w:val="Normalbullets"/>
        <w:numPr>
          <w:ilvl w:val="0"/>
          <w:numId w:val="49"/>
        </w:numPr>
        <w:contextualSpacing/>
        <w:rPr>
          <w:rFonts w:cs="Arial"/>
          <w:szCs w:val="22"/>
          <w:lang w:eastAsia="ko-KR"/>
        </w:rPr>
      </w:pPr>
      <w:r w:rsidRPr="006E404E">
        <w:rPr>
          <w:rFonts w:cs="Arial"/>
          <w:szCs w:val="22"/>
          <w:lang w:eastAsia="ko-KR"/>
        </w:rPr>
        <w:t>The project applies a gender marker as per UNDP guidance;</w:t>
      </w:r>
    </w:p>
    <w:p w14:paraId="2DCBEBAB" w14:textId="77777777" w:rsidR="00585A78" w:rsidRPr="006E404E" w:rsidRDefault="00585A78" w:rsidP="00585A78">
      <w:pPr>
        <w:pStyle w:val="Normalbullets"/>
        <w:numPr>
          <w:ilvl w:val="0"/>
          <w:numId w:val="49"/>
        </w:numPr>
        <w:contextualSpacing/>
        <w:rPr>
          <w:rFonts w:cs="Arial"/>
          <w:szCs w:val="22"/>
          <w:lang w:eastAsia="ko-KR"/>
        </w:rPr>
      </w:pPr>
      <w:r w:rsidRPr="006E404E">
        <w:rPr>
          <w:rFonts w:cs="Arial"/>
          <w:szCs w:val="22"/>
          <w:lang w:eastAsia="ko-KR"/>
        </w:rPr>
        <w:t>The project incorporates gender issues in the project results framework, including gender-sensitive actions, indicators, targets, and/or budget;</w:t>
      </w:r>
    </w:p>
    <w:p w14:paraId="031CDC69" w14:textId="77777777" w:rsidR="00585A78" w:rsidRPr="006E404E" w:rsidRDefault="00585A78" w:rsidP="00585A78">
      <w:pPr>
        <w:pStyle w:val="Normalbullets"/>
        <w:numPr>
          <w:ilvl w:val="0"/>
          <w:numId w:val="49"/>
        </w:numPr>
        <w:contextualSpacing/>
        <w:rPr>
          <w:rFonts w:cs="Arial"/>
          <w:szCs w:val="22"/>
          <w:lang w:eastAsia="ko-KR"/>
        </w:rPr>
      </w:pPr>
      <w:r w:rsidRPr="006E404E">
        <w:rPr>
          <w:rFonts w:cs="Arial"/>
          <w:szCs w:val="22"/>
          <w:lang w:eastAsia="ko-KR"/>
        </w:rPr>
        <w:t>The project will monitor the share of women and men as direct beneficiaries;</w:t>
      </w:r>
    </w:p>
    <w:p w14:paraId="05406118" w14:textId="77777777" w:rsidR="00585A78" w:rsidRPr="006E404E" w:rsidRDefault="00585A78" w:rsidP="00585A78">
      <w:pPr>
        <w:pStyle w:val="Normalbullets"/>
        <w:numPr>
          <w:ilvl w:val="0"/>
          <w:numId w:val="49"/>
        </w:numPr>
        <w:contextualSpacing/>
        <w:rPr>
          <w:rFonts w:cs="Arial"/>
          <w:szCs w:val="22"/>
          <w:lang w:eastAsia="ko-KR"/>
        </w:rPr>
      </w:pPr>
      <w:r w:rsidRPr="006E404E">
        <w:rPr>
          <w:rFonts w:cs="Arial"/>
          <w:szCs w:val="22"/>
          <w:lang w:eastAsia="ko-KR"/>
        </w:rPr>
        <w:t>An analysis of women’s inclusion in project activities will be included in both the mid-term evaluation and the terminal evaluation of the project and will be explicitly stated in the terms of reference for those evaluations.</w:t>
      </w:r>
    </w:p>
    <w:p w14:paraId="11D98B00" w14:textId="77777777" w:rsidR="00585A78" w:rsidRPr="00954104" w:rsidRDefault="00585A78" w:rsidP="00585A78">
      <w:pPr>
        <w:rPr>
          <w:rFonts w:eastAsia="Times New Roman"/>
          <w:szCs w:val="22"/>
          <w:lang w:val="en-GB"/>
        </w:rPr>
      </w:pPr>
    </w:p>
    <w:p w14:paraId="61B628B9" w14:textId="77777777" w:rsidR="00585A78" w:rsidRPr="00A5469F" w:rsidRDefault="00585A78" w:rsidP="00585A78">
      <w:pPr>
        <w:rPr>
          <w:rFonts w:eastAsia="Times New Roman"/>
          <w:sz w:val="24"/>
          <w:lang w:val="en-GB"/>
        </w:rPr>
      </w:pPr>
    </w:p>
    <w:p w14:paraId="244538D5" w14:textId="77777777" w:rsidR="00585A78" w:rsidRPr="00A5469F" w:rsidRDefault="00585A78" w:rsidP="00585A78">
      <w:pPr>
        <w:keepNext/>
        <w:keepLines/>
        <w:rPr>
          <w:rFonts w:eastAsia="Times New Roman"/>
          <w:b/>
          <w:sz w:val="24"/>
          <w:lang w:val="en-GB"/>
        </w:rPr>
      </w:pPr>
      <w:r>
        <w:rPr>
          <w:rFonts w:eastAsia="Times New Roman"/>
          <w:b/>
          <w:sz w:val="24"/>
          <w:lang w:val="en-GB"/>
        </w:rPr>
        <w:t>Table G.2</w:t>
      </w:r>
      <w:r w:rsidRPr="00A5469F">
        <w:rPr>
          <w:rFonts w:eastAsia="Times New Roman"/>
          <w:b/>
          <w:sz w:val="24"/>
          <w:lang w:val="en-GB"/>
        </w:rPr>
        <w:t>.  Gender-related indicators and targets from the Project Results Framework</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800"/>
        <w:gridCol w:w="1980"/>
        <w:gridCol w:w="2160"/>
        <w:gridCol w:w="1867"/>
      </w:tblGrid>
      <w:tr w:rsidR="00585A78" w:rsidRPr="00EA29A5" w14:paraId="3AB6CB24" w14:textId="77777777" w:rsidTr="00FB2FCC">
        <w:trPr>
          <w:trHeight w:val="235"/>
          <w:tblHeader/>
        </w:trPr>
        <w:tc>
          <w:tcPr>
            <w:tcW w:w="1818" w:type="dxa"/>
          </w:tcPr>
          <w:p w14:paraId="0EA209AA" w14:textId="77777777" w:rsidR="00585A78" w:rsidRPr="00954104" w:rsidRDefault="00585A78" w:rsidP="00585A78">
            <w:pPr>
              <w:keepNext/>
              <w:keepLines/>
              <w:rPr>
                <w:rFonts w:eastAsia="Times New Roman"/>
                <w:b/>
                <w:bCs/>
                <w:szCs w:val="18"/>
                <w:lang w:val="en-GB"/>
              </w:rPr>
            </w:pPr>
            <w:r w:rsidRPr="00954104">
              <w:rPr>
                <w:rFonts w:eastAsia="Times New Roman"/>
                <w:b/>
                <w:bCs/>
                <w:szCs w:val="18"/>
                <w:lang w:val="en-GB"/>
              </w:rPr>
              <w:t>Indicator</w:t>
            </w:r>
          </w:p>
        </w:tc>
        <w:tc>
          <w:tcPr>
            <w:tcW w:w="1800" w:type="dxa"/>
          </w:tcPr>
          <w:p w14:paraId="795980C4" w14:textId="77777777" w:rsidR="00585A78" w:rsidRPr="00954104" w:rsidRDefault="00585A78" w:rsidP="00585A78">
            <w:pPr>
              <w:keepNext/>
              <w:keepLines/>
              <w:rPr>
                <w:rFonts w:eastAsia="Times New Roman"/>
                <w:b/>
                <w:bCs/>
                <w:szCs w:val="18"/>
                <w:lang w:val="en-GB"/>
              </w:rPr>
            </w:pPr>
            <w:r w:rsidRPr="00954104">
              <w:rPr>
                <w:rFonts w:eastAsia="Times New Roman"/>
                <w:b/>
                <w:bCs/>
                <w:szCs w:val="18"/>
                <w:lang w:val="en-GB"/>
              </w:rPr>
              <w:t>Baseline</w:t>
            </w:r>
          </w:p>
        </w:tc>
        <w:tc>
          <w:tcPr>
            <w:tcW w:w="1980" w:type="dxa"/>
          </w:tcPr>
          <w:p w14:paraId="79ADE060" w14:textId="77777777" w:rsidR="00585A78" w:rsidRPr="00954104" w:rsidRDefault="00585A78" w:rsidP="00585A78">
            <w:pPr>
              <w:keepNext/>
              <w:keepLines/>
              <w:rPr>
                <w:rFonts w:eastAsia="Times New Roman"/>
                <w:b/>
                <w:bCs/>
                <w:szCs w:val="18"/>
                <w:lang w:val="en-GB"/>
              </w:rPr>
            </w:pPr>
            <w:r w:rsidRPr="00954104">
              <w:rPr>
                <w:rFonts w:eastAsia="Times New Roman"/>
                <w:b/>
                <w:bCs/>
                <w:szCs w:val="18"/>
                <w:lang w:val="en-GB"/>
              </w:rPr>
              <w:t>Midterm Target</w:t>
            </w:r>
          </w:p>
        </w:tc>
        <w:tc>
          <w:tcPr>
            <w:tcW w:w="2160" w:type="dxa"/>
          </w:tcPr>
          <w:p w14:paraId="1E85C8C6" w14:textId="77777777" w:rsidR="00585A78" w:rsidRPr="00954104" w:rsidRDefault="00585A78" w:rsidP="00585A78">
            <w:pPr>
              <w:keepNext/>
              <w:keepLines/>
              <w:rPr>
                <w:rFonts w:eastAsia="Times New Roman"/>
                <w:b/>
                <w:bCs/>
                <w:szCs w:val="18"/>
                <w:lang w:val="en-GB"/>
              </w:rPr>
            </w:pPr>
            <w:r w:rsidRPr="00954104">
              <w:rPr>
                <w:rFonts w:eastAsia="Times New Roman"/>
                <w:b/>
                <w:bCs/>
                <w:szCs w:val="18"/>
                <w:lang w:val="en-GB"/>
              </w:rPr>
              <w:t>Final Target</w:t>
            </w:r>
          </w:p>
        </w:tc>
        <w:tc>
          <w:tcPr>
            <w:tcW w:w="1867" w:type="dxa"/>
          </w:tcPr>
          <w:p w14:paraId="0D741E30" w14:textId="77777777" w:rsidR="00585A78" w:rsidRPr="00954104" w:rsidRDefault="00585A78" w:rsidP="00585A78">
            <w:pPr>
              <w:keepNext/>
              <w:keepLines/>
              <w:rPr>
                <w:rFonts w:eastAsia="Times New Roman"/>
                <w:b/>
                <w:bCs/>
                <w:szCs w:val="18"/>
                <w:lang w:val="en-GB"/>
              </w:rPr>
            </w:pPr>
            <w:r w:rsidRPr="00954104">
              <w:rPr>
                <w:rFonts w:eastAsia="Times New Roman"/>
                <w:b/>
                <w:bCs/>
                <w:szCs w:val="18"/>
                <w:lang w:val="en-GB"/>
              </w:rPr>
              <w:t>Assumptions</w:t>
            </w:r>
          </w:p>
        </w:tc>
      </w:tr>
      <w:tr w:rsidR="00585A78" w:rsidRPr="00EA29A5" w14:paraId="415B39A3" w14:textId="77777777" w:rsidTr="00FB2FCC">
        <w:trPr>
          <w:trHeight w:val="235"/>
        </w:trPr>
        <w:tc>
          <w:tcPr>
            <w:tcW w:w="1818" w:type="dxa"/>
          </w:tcPr>
          <w:p w14:paraId="119BE44B" w14:textId="77777777" w:rsidR="00585A78" w:rsidRPr="00F304AA" w:rsidRDefault="00585A78" w:rsidP="00585A78">
            <w:pPr>
              <w:keepNext/>
              <w:keepLines/>
              <w:rPr>
                <w:rFonts w:eastAsia="Times New Roman"/>
                <w:bCs/>
                <w:szCs w:val="18"/>
                <w:lang w:val="en-GB"/>
              </w:rPr>
            </w:pPr>
            <w:r>
              <w:rPr>
                <w:rFonts w:eastAsia="Times New Roman"/>
                <w:bCs/>
                <w:szCs w:val="18"/>
                <w:lang w:val="en-GB"/>
              </w:rPr>
              <w:t>Outcome indicator 2.2</w:t>
            </w:r>
            <w:r w:rsidRPr="00F304AA">
              <w:rPr>
                <w:rFonts w:eastAsia="Times New Roman"/>
                <w:bCs/>
                <w:szCs w:val="18"/>
                <w:lang w:val="en-GB"/>
              </w:rPr>
              <w:t>: Knowledge of small-scale applications in rural and urban areas</w:t>
            </w:r>
          </w:p>
        </w:tc>
        <w:tc>
          <w:tcPr>
            <w:tcW w:w="1800" w:type="dxa"/>
          </w:tcPr>
          <w:p w14:paraId="2491DE46" w14:textId="77777777" w:rsidR="00585A78" w:rsidRPr="00F304AA" w:rsidRDefault="00585A78" w:rsidP="00585A78">
            <w:pPr>
              <w:keepNext/>
              <w:keepLines/>
              <w:rPr>
                <w:rFonts w:eastAsia="Times New Roman"/>
                <w:bCs/>
                <w:szCs w:val="18"/>
                <w:lang w:val="en-GB"/>
              </w:rPr>
            </w:pPr>
            <w:r w:rsidRPr="00F304AA">
              <w:rPr>
                <w:rFonts w:eastAsia="Times New Roman"/>
                <w:bCs/>
                <w:szCs w:val="18"/>
                <w:lang w:val="en-GB"/>
              </w:rPr>
              <w:t>RES projects are perceived as more risky, expensive and second class energy supply options compared to traditional energy sources</w:t>
            </w:r>
          </w:p>
        </w:tc>
        <w:tc>
          <w:tcPr>
            <w:tcW w:w="1980" w:type="dxa"/>
          </w:tcPr>
          <w:p w14:paraId="0B08F2C8" w14:textId="77777777" w:rsidR="00585A78" w:rsidRPr="00F304AA" w:rsidRDefault="00585A78" w:rsidP="00585A78">
            <w:pPr>
              <w:keepNext/>
              <w:keepLines/>
              <w:rPr>
                <w:rFonts w:eastAsia="Times New Roman"/>
                <w:bCs/>
                <w:szCs w:val="18"/>
                <w:lang w:val="en-GB"/>
              </w:rPr>
            </w:pPr>
            <w:r w:rsidRPr="00F304AA">
              <w:rPr>
                <w:rFonts w:eastAsia="Times New Roman"/>
                <w:bCs/>
                <w:szCs w:val="18"/>
                <w:lang w:val="en-GB"/>
              </w:rPr>
              <w:t>Developed awareness raising media campaign and short-, medium- and long- term communication strategy to support development of RES. The communication will reflect gender perspectives, channels and needs</w:t>
            </w:r>
          </w:p>
        </w:tc>
        <w:tc>
          <w:tcPr>
            <w:tcW w:w="2160" w:type="dxa"/>
          </w:tcPr>
          <w:p w14:paraId="7156A3D7" w14:textId="77777777" w:rsidR="00585A78" w:rsidRPr="00F304AA" w:rsidRDefault="00585A78" w:rsidP="00585A78">
            <w:pPr>
              <w:keepNext/>
              <w:keepLines/>
              <w:rPr>
                <w:rFonts w:eastAsia="Times New Roman"/>
                <w:bCs/>
                <w:szCs w:val="18"/>
                <w:lang w:val="en-GB"/>
              </w:rPr>
            </w:pPr>
            <w:r w:rsidRPr="00F304AA">
              <w:rPr>
                <w:rFonts w:eastAsia="Times New Roman"/>
                <w:bCs/>
                <w:szCs w:val="18"/>
                <w:lang w:val="en-GB"/>
              </w:rPr>
              <w:t>At least 25% of women and 25% of men in target stakeholder groups understand the benefits and risks of renewables and support their development</w:t>
            </w:r>
          </w:p>
        </w:tc>
        <w:tc>
          <w:tcPr>
            <w:tcW w:w="1867" w:type="dxa"/>
          </w:tcPr>
          <w:p w14:paraId="23D8705C" w14:textId="77777777" w:rsidR="00585A78" w:rsidRPr="00F304AA" w:rsidRDefault="00585A78" w:rsidP="00585A78">
            <w:pPr>
              <w:keepNext/>
              <w:keepLines/>
              <w:rPr>
                <w:rFonts w:eastAsia="Times New Roman"/>
                <w:bCs/>
                <w:szCs w:val="18"/>
                <w:lang w:val="en-GB"/>
              </w:rPr>
            </w:pPr>
            <w:r w:rsidRPr="00F304AA">
              <w:rPr>
                <w:rFonts w:eastAsia="Times New Roman"/>
                <w:bCs/>
                <w:szCs w:val="18"/>
                <w:lang w:val="en-GB"/>
              </w:rPr>
              <w:t>Key stakeholder groups are willing to participate in capacity building and awareness raising activities and have access to the right media sources</w:t>
            </w:r>
          </w:p>
        </w:tc>
      </w:tr>
    </w:tbl>
    <w:p w14:paraId="63BEEF3D" w14:textId="77777777" w:rsidR="00585A78" w:rsidRPr="00A5469F" w:rsidRDefault="00585A78" w:rsidP="00585A78">
      <w:pPr>
        <w:rPr>
          <w:rFonts w:eastAsia="Times New Roman"/>
          <w:sz w:val="24"/>
          <w:szCs w:val="20"/>
          <w:lang w:val="en-GB"/>
        </w:rPr>
      </w:pPr>
    </w:p>
    <w:p w14:paraId="2EECECE0" w14:textId="77777777" w:rsidR="00585A78" w:rsidRPr="00954104" w:rsidRDefault="00585A78" w:rsidP="00585A78">
      <w:pPr>
        <w:rPr>
          <w:rFonts w:eastAsia="Times New Roman"/>
          <w:szCs w:val="20"/>
          <w:lang w:val="en-GB"/>
        </w:rPr>
      </w:pPr>
      <w:r w:rsidRPr="00954104">
        <w:rPr>
          <w:rFonts w:eastAsia="Times New Roman"/>
          <w:szCs w:val="20"/>
          <w:lang w:val="en-GB"/>
        </w:rPr>
        <w:t xml:space="preserve">Gender is less central to other program activities, but those too are also aligned with gender mainstreaming.  </w:t>
      </w:r>
      <w:r w:rsidRPr="001E33E9">
        <w:rPr>
          <w:rFonts w:eastAsia="Times New Roman"/>
          <w:szCs w:val="20"/>
          <w:lang w:val="en-GB"/>
        </w:rPr>
        <w:t>The project will analyse any gender-based differences in access to financing and capacity building, and will involve an in-country gender expert in developing gender-disaggregated data and indicators to ensure an equitable gender representation in the selection process for financing, focus group discussions and training.</w:t>
      </w:r>
      <w:r>
        <w:rPr>
          <w:rFonts w:eastAsia="Times New Roman"/>
          <w:szCs w:val="20"/>
          <w:lang w:val="en-GB"/>
        </w:rPr>
        <w:t xml:space="preserve"> </w:t>
      </w:r>
      <w:r w:rsidRPr="001E33E9">
        <w:rPr>
          <w:rFonts w:eastAsia="Times New Roman"/>
          <w:szCs w:val="20"/>
          <w:lang w:val="en-GB"/>
        </w:rPr>
        <w:t>Capacity building opportunities incorporated in the project that will ensure female participation include: establishment of RES technology MRV where users will be trained on data collection and analysis; training and awareness-raising for commercial banks; etc.</w:t>
      </w:r>
    </w:p>
    <w:p w14:paraId="52480E90" w14:textId="77777777" w:rsidR="00585A78" w:rsidRPr="00954104" w:rsidRDefault="00585A78" w:rsidP="00585A78">
      <w:pPr>
        <w:rPr>
          <w:rFonts w:eastAsia="Times New Roman"/>
          <w:szCs w:val="20"/>
          <w:lang w:val="en-GB"/>
        </w:rPr>
      </w:pPr>
    </w:p>
    <w:p w14:paraId="31638534" w14:textId="77777777" w:rsidR="00585A78" w:rsidRPr="00954104" w:rsidRDefault="00585A78" w:rsidP="00585A78">
      <w:pPr>
        <w:rPr>
          <w:rFonts w:eastAsia="Times New Roman"/>
          <w:szCs w:val="20"/>
          <w:lang w:val="en-GB"/>
        </w:rPr>
      </w:pPr>
      <w:r w:rsidRPr="00954104">
        <w:rPr>
          <w:rFonts w:eastAsia="Times New Roman"/>
          <w:szCs w:val="20"/>
          <w:lang w:val="en-GB"/>
        </w:rPr>
        <w:t>Based on this initial assessment of gender issues for the project, no appreciable gender-related risks have been identified.</w:t>
      </w:r>
    </w:p>
    <w:p w14:paraId="51F9DC07" w14:textId="77777777" w:rsidR="00585A78" w:rsidRDefault="00585A78" w:rsidP="00585A78">
      <w:pPr>
        <w:rPr>
          <w:rFonts w:eastAsia="Times New Roman"/>
          <w:b/>
          <w:sz w:val="24"/>
          <w:szCs w:val="20"/>
          <w:lang w:val="en-GB"/>
        </w:rPr>
      </w:pPr>
    </w:p>
    <w:p w14:paraId="797AE4F6" w14:textId="77777777" w:rsidR="00585A78" w:rsidRPr="00F84CF7" w:rsidRDefault="00585A78" w:rsidP="00585A78">
      <w:pPr>
        <w:rPr>
          <w:rFonts w:eastAsia="Times New Roman"/>
          <w:b/>
          <w:sz w:val="24"/>
          <w:szCs w:val="20"/>
          <w:lang w:val="en-GB"/>
        </w:rPr>
      </w:pPr>
      <w:r w:rsidRPr="00F84CF7">
        <w:rPr>
          <w:rFonts w:eastAsia="Times New Roman"/>
          <w:b/>
          <w:sz w:val="24"/>
          <w:szCs w:val="20"/>
          <w:lang w:val="en-GB"/>
        </w:rPr>
        <w:t>Consultation and stakeholder involvement</w:t>
      </w:r>
    </w:p>
    <w:p w14:paraId="7AAEAB33" w14:textId="77777777" w:rsidR="00585A78" w:rsidRPr="00F84CF7" w:rsidRDefault="00585A78" w:rsidP="00585A78">
      <w:pPr>
        <w:rPr>
          <w:rFonts w:eastAsia="Times New Roman"/>
          <w:szCs w:val="20"/>
          <w:lang w:val="en-GB"/>
        </w:rPr>
      </w:pPr>
    </w:p>
    <w:p w14:paraId="19EAAADB" w14:textId="77777777" w:rsidR="00585A78" w:rsidRPr="00954104" w:rsidRDefault="00585A78" w:rsidP="00585A78">
      <w:pPr>
        <w:rPr>
          <w:rFonts w:eastAsia="Times New Roman"/>
          <w:szCs w:val="20"/>
          <w:lang w:val="en-GB"/>
        </w:rPr>
      </w:pPr>
      <w:r w:rsidRPr="00F84CF7">
        <w:rPr>
          <w:rFonts w:eastAsia="Times New Roman"/>
          <w:szCs w:val="20"/>
          <w:lang w:val="en-GB"/>
        </w:rPr>
        <w:t>In the project preparation phase, consultation has been carried out with all key stakeholder groups, allowing for equal inputs from both men and women. Every effort will be made to ensure that qualified</w:t>
      </w:r>
      <w:r w:rsidRPr="00954104">
        <w:rPr>
          <w:rFonts w:eastAsia="Times New Roman"/>
          <w:szCs w:val="20"/>
          <w:lang w:val="en-GB"/>
        </w:rPr>
        <w:t xml:space="preserve"> women will be proportionally represented on the Project Board. Institutions to be consulted on gender issues at national level will include, but not limited to focal points for gender at government ministries, civil society organizations working in the fields of gender and climate change, as well as research institutions and development partners working on gender issues.</w:t>
      </w:r>
    </w:p>
    <w:p w14:paraId="5AA9599E" w14:textId="77777777" w:rsidR="00585A78" w:rsidRPr="001E33E9" w:rsidRDefault="00585A78" w:rsidP="00585A78">
      <w:pPr>
        <w:rPr>
          <w:rFonts w:eastAsia="Times New Roman"/>
          <w:szCs w:val="20"/>
          <w:lang w:val="en-GB"/>
        </w:rPr>
      </w:pPr>
    </w:p>
    <w:p w14:paraId="2DDFD5DF" w14:textId="77777777" w:rsidR="00585A78" w:rsidRPr="00F84CF7" w:rsidRDefault="00585A78" w:rsidP="00585A78">
      <w:pPr>
        <w:rPr>
          <w:rFonts w:ascii="Cambria" w:eastAsia="Times New Roman" w:hAnsi="Cambria"/>
          <w:b/>
          <w:bCs/>
          <w:color w:val="4F81BD"/>
          <w:sz w:val="26"/>
          <w:szCs w:val="26"/>
          <w:lang w:val="en-GB"/>
        </w:rPr>
      </w:pPr>
      <w:r w:rsidRPr="00F84CF7">
        <w:rPr>
          <w:rFonts w:eastAsia="Times New Roman"/>
          <w:b/>
          <w:sz w:val="24"/>
          <w:szCs w:val="20"/>
          <w:lang w:val="en-GB"/>
        </w:rPr>
        <w:t>Gender Mainstreaming Action Plan</w:t>
      </w:r>
    </w:p>
    <w:p w14:paraId="7F1C8CD2" w14:textId="77777777" w:rsidR="00585A78" w:rsidRPr="00F84CF7" w:rsidRDefault="00585A78" w:rsidP="00585A78">
      <w:pPr>
        <w:rPr>
          <w:rFonts w:eastAsia="Times New Roman"/>
          <w:lang w:val="en-GB"/>
        </w:rPr>
      </w:pPr>
      <w:r w:rsidRPr="00F84CF7">
        <w:rPr>
          <w:rFonts w:eastAsia="Times New Roman"/>
          <w:lang w:val="en-GB"/>
        </w:rPr>
        <w:t>Activities and outputs related to gender are enumerated below in the project’s Gender Action Plan.</w:t>
      </w:r>
    </w:p>
    <w:p w14:paraId="05535911" w14:textId="77777777" w:rsidR="00585A78" w:rsidRPr="00F84CF7" w:rsidRDefault="00585A78" w:rsidP="00585A78">
      <w:pPr>
        <w:rPr>
          <w:rFonts w:eastAsia="Times New Roman"/>
          <w:lang w:val="en-GB"/>
        </w:rPr>
      </w:pPr>
    </w:p>
    <w:p w14:paraId="698C8F8E" w14:textId="77777777" w:rsidR="00585A78" w:rsidRPr="00F84CF7" w:rsidRDefault="00585A78" w:rsidP="00585A78">
      <w:pPr>
        <w:rPr>
          <w:rFonts w:eastAsia="Times New Roman"/>
          <w:sz w:val="24"/>
          <w:lang w:val="en-GB"/>
        </w:rPr>
      </w:pPr>
      <w:r w:rsidRPr="00F84CF7">
        <w:rPr>
          <w:rFonts w:eastAsia="Times New Roman"/>
          <w:b/>
          <w:color w:val="231F20"/>
          <w:szCs w:val="20"/>
          <w:lang w:val="en-GB"/>
        </w:rPr>
        <w:t>Table G.3.  Gender Action Plan</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587"/>
        <w:gridCol w:w="1478"/>
        <w:gridCol w:w="1689"/>
        <w:gridCol w:w="1233"/>
        <w:gridCol w:w="1150"/>
        <w:gridCol w:w="934"/>
        <w:gridCol w:w="1379"/>
      </w:tblGrid>
      <w:tr w:rsidR="00585A78" w:rsidRPr="00585A78" w14:paraId="5B431F33" w14:textId="77777777" w:rsidTr="004C54B5">
        <w:trPr>
          <w:tblHeader/>
        </w:trPr>
        <w:tc>
          <w:tcPr>
            <w:tcW w:w="2587" w:type="dxa"/>
            <w:shd w:val="clear" w:color="auto" w:fill="auto"/>
            <w:hideMark/>
          </w:tcPr>
          <w:p w14:paraId="506C2522" w14:textId="77777777" w:rsidR="00585A78" w:rsidRPr="00585A78" w:rsidRDefault="00585A78" w:rsidP="00FB2FCC">
            <w:pPr>
              <w:rPr>
                <w:rFonts w:eastAsia="Times New Roman"/>
                <w:b/>
                <w:color w:val="231F20"/>
                <w:sz w:val="20"/>
                <w:szCs w:val="20"/>
                <w:lang w:val="en-GB"/>
              </w:rPr>
            </w:pPr>
            <w:r w:rsidRPr="00585A78">
              <w:rPr>
                <w:rFonts w:eastAsia="Times New Roman"/>
                <w:b/>
                <w:color w:val="231F20"/>
                <w:sz w:val="20"/>
                <w:szCs w:val="20"/>
                <w:lang w:val="en-GB"/>
              </w:rPr>
              <w:t>Gender-related activity</w:t>
            </w:r>
          </w:p>
        </w:tc>
        <w:tc>
          <w:tcPr>
            <w:tcW w:w="1478" w:type="dxa"/>
            <w:shd w:val="clear" w:color="auto" w:fill="auto"/>
            <w:hideMark/>
          </w:tcPr>
          <w:p w14:paraId="5FD96E6E" w14:textId="77777777" w:rsidR="00585A78" w:rsidRPr="00585A78" w:rsidRDefault="00585A78" w:rsidP="00FB2FCC">
            <w:pPr>
              <w:rPr>
                <w:rFonts w:eastAsia="Times New Roman"/>
                <w:b/>
                <w:color w:val="231F20"/>
                <w:sz w:val="20"/>
                <w:szCs w:val="20"/>
                <w:lang w:val="en-GB"/>
              </w:rPr>
            </w:pPr>
            <w:r w:rsidRPr="00585A78">
              <w:rPr>
                <w:rFonts w:eastAsia="Times New Roman"/>
                <w:b/>
                <w:color w:val="231F20"/>
                <w:sz w:val="20"/>
                <w:szCs w:val="20"/>
                <w:lang w:val="en-GB"/>
              </w:rPr>
              <w:t>Indicator</w:t>
            </w:r>
          </w:p>
        </w:tc>
        <w:tc>
          <w:tcPr>
            <w:tcW w:w="1689" w:type="dxa"/>
            <w:shd w:val="clear" w:color="auto" w:fill="auto"/>
            <w:hideMark/>
          </w:tcPr>
          <w:p w14:paraId="336E4D13" w14:textId="77777777" w:rsidR="00585A78" w:rsidRPr="00585A78" w:rsidRDefault="00585A78" w:rsidP="00FB2FCC">
            <w:pPr>
              <w:rPr>
                <w:rFonts w:eastAsia="Times New Roman"/>
                <w:b/>
                <w:color w:val="231F20"/>
                <w:sz w:val="20"/>
                <w:szCs w:val="20"/>
                <w:lang w:val="en-GB"/>
              </w:rPr>
            </w:pPr>
            <w:r w:rsidRPr="00585A78">
              <w:rPr>
                <w:rFonts w:eastAsia="Times New Roman"/>
                <w:b/>
                <w:color w:val="231F20"/>
                <w:sz w:val="20"/>
                <w:szCs w:val="20"/>
                <w:lang w:val="en-GB"/>
              </w:rPr>
              <w:t>Target</w:t>
            </w:r>
          </w:p>
        </w:tc>
        <w:tc>
          <w:tcPr>
            <w:tcW w:w="1233" w:type="dxa"/>
            <w:shd w:val="clear" w:color="auto" w:fill="auto"/>
            <w:hideMark/>
          </w:tcPr>
          <w:p w14:paraId="298FA6F3" w14:textId="77777777" w:rsidR="00585A78" w:rsidRPr="00585A78" w:rsidRDefault="00585A78" w:rsidP="00FB2FCC">
            <w:pPr>
              <w:rPr>
                <w:rFonts w:eastAsia="Times New Roman"/>
                <w:b/>
                <w:color w:val="231F20"/>
                <w:sz w:val="20"/>
                <w:szCs w:val="20"/>
                <w:lang w:val="en-GB"/>
              </w:rPr>
            </w:pPr>
            <w:r w:rsidRPr="00585A78">
              <w:rPr>
                <w:rFonts w:eastAsia="Times New Roman"/>
                <w:b/>
                <w:color w:val="231F20"/>
                <w:sz w:val="20"/>
                <w:szCs w:val="20"/>
                <w:lang w:val="en-GB"/>
              </w:rPr>
              <w:t>Baseline</w:t>
            </w:r>
          </w:p>
        </w:tc>
        <w:tc>
          <w:tcPr>
            <w:tcW w:w="0" w:type="auto"/>
            <w:shd w:val="clear" w:color="auto" w:fill="auto"/>
            <w:hideMark/>
          </w:tcPr>
          <w:p w14:paraId="070471FA" w14:textId="77777777" w:rsidR="00585A78" w:rsidRPr="00585A78" w:rsidRDefault="00585A78" w:rsidP="00FB2FCC">
            <w:pPr>
              <w:rPr>
                <w:rFonts w:eastAsia="Times New Roman"/>
                <w:b/>
                <w:color w:val="231F20"/>
                <w:sz w:val="20"/>
                <w:szCs w:val="20"/>
                <w:lang w:val="en-GB"/>
              </w:rPr>
            </w:pPr>
            <w:r w:rsidRPr="00585A78">
              <w:rPr>
                <w:rFonts w:eastAsia="Times New Roman"/>
                <w:b/>
                <w:color w:val="231F20"/>
                <w:sz w:val="20"/>
                <w:szCs w:val="20"/>
                <w:lang w:val="en-GB"/>
              </w:rPr>
              <w:t>Budget (indicative)</w:t>
            </w:r>
          </w:p>
        </w:tc>
        <w:tc>
          <w:tcPr>
            <w:tcW w:w="0" w:type="auto"/>
            <w:shd w:val="clear" w:color="auto" w:fill="auto"/>
            <w:hideMark/>
          </w:tcPr>
          <w:p w14:paraId="5095320D" w14:textId="77777777" w:rsidR="00585A78" w:rsidRPr="00585A78" w:rsidRDefault="00585A78" w:rsidP="00FB2FCC">
            <w:pPr>
              <w:rPr>
                <w:rFonts w:eastAsia="Times New Roman"/>
                <w:b/>
                <w:color w:val="231F20"/>
                <w:sz w:val="20"/>
                <w:szCs w:val="20"/>
                <w:lang w:val="en-GB"/>
              </w:rPr>
            </w:pPr>
            <w:r w:rsidRPr="00585A78">
              <w:rPr>
                <w:rFonts w:eastAsia="Times New Roman"/>
                <w:b/>
                <w:color w:val="231F20"/>
                <w:sz w:val="20"/>
                <w:szCs w:val="20"/>
                <w:lang w:val="en-GB"/>
              </w:rPr>
              <w:t xml:space="preserve">Timeline </w:t>
            </w:r>
          </w:p>
        </w:tc>
        <w:tc>
          <w:tcPr>
            <w:tcW w:w="0" w:type="auto"/>
            <w:shd w:val="clear" w:color="auto" w:fill="auto"/>
            <w:hideMark/>
          </w:tcPr>
          <w:p w14:paraId="06ADF956" w14:textId="77777777" w:rsidR="00585A78" w:rsidRPr="00585A78" w:rsidRDefault="00585A78" w:rsidP="00FB2FCC">
            <w:pPr>
              <w:rPr>
                <w:rFonts w:eastAsia="Times New Roman"/>
                <w:b/>
                <w:color w:val="231F20"/>
                <w:sz w:val="20"/>
                <w:szCs w:val="20"/>
                <w:lang w:val="en-GB"/>
              </w:rPr>
            </w:pPr>
            <w:r w:rsidRPr="00585A78">
              <w:rPr>
                <w:rFonts w:eastAsia="Times New Roman"/>
                <w:b/>
                <w:color w:val="231F20"/>
                <w:sz w:val="20"/>
                <w:szCs w:val="20"/>
                <w:lang w:val="en-GB"/>
              </w:rPr>
              <w:t>Responsibility</w:t>
            </w:r>
          </w:p>
        </w:tc>
      </w:tr>
      <w:tr w:rsidR="00585A78" w:rsidRPr="00585A78" w14:paraId="3CA9270D" w14:textId="77777777" w:rsidTr="004C54B5">
        <w:tc>
          <w:tcPr>
            <w:tcW w:w="2587" w:type="dxa"/>
            <w:shd w:val="clear" w:color="auto" w:fill="auto"/>
          </w:tcPr>
          <w:p w14:paraId="3910C1E4" w14:textId="77777777" w:rsidR="00585A78" w:rsidRPr="00585A78" w:rsidRDefault="00585A78" w:rsidP="00FB2FCC">
            <w:pPr>
              <w:rPr>
                <w:b/>
                <w:bCs/>
                <w:sz w:val="20"/>
                <w:szCs w:val="20"/>
              </w:rPr>
            </w:pPr>
            <w:r w:rsidRPr="00585A78">
              <w:rPr>
                <w:b/>
                <w:bCs/>
                <w:sz w:val="20"/>
                <w:szCs w:val="20"/>
              </w:rPr>
              <w:t>Project Objective:</w:t>
            </w:r>
          </w:p>
          <w:p w14:paraId="52EB23EA" w14:textId="77777777" w:rsidR="00585A78" w:rsidRPr="00585A78" w:rsidRDefault="00585A78" w:rsidP="00FB2FCC">
            <w:pPr>
              <w:rPr>
                <w:b/>
                <w:bCs/>
                <w:sz w:val="20"/>
                <w:szCs w:val="20"/>
              </w:rPr>
            </w:pPr>
          </w:p>
          <w:p w14:paraId="21CDAAEA" w14:textId="77777777" w:rsidR="00585A78" w:rsidRPr="00585A78" w:rsidRDefault="00585A78" w:rsidP="00FB2FCC">
            <w:pPr>
              <w:rPr>
                <w:rFonts w:eastAsia="Times New Roman"/>
                <w:color w:val="231F20"/>
                <w:sz w:val="20"/>
                <w:szCs w:val="20"/>
                <w:lang w:val="en-GB"/>
              </w:rPr>
            </w:pPr>
            <w:r w:rsidRPr="00585A78">
              <w:rPr>
                <w:color w:val="000000"/>
                <w:sz w:val="20"/>
                <w:szCs w:val="20"/>
                <w:lang w:val="en-GB"/>
              </w:rPr>
              <w:t>Promote private-sector investment in renewable energy in Kazakhstan in order to achieve Kazakhstan’s 2030 target for renewable energy</w:t>
            </w:r>
          </w:p>
        </w:tc>
        <w:tc>
          <w:tcPr>
            <w:tcW w:w="1478" w:type="dxa"/>
            <w:shd w:val="clear" w:color="auto" w:fill="auto"/>
          </w:tcPr>
          <w:p w14:paraId="6A22A3DA" w14:textId="77777777" w:rsidR="00585A78" w:rsidRPr="00585A78" w:rsidRDefault="00585A78" w:rsidP="00FB2FCC">
            <w:pPr>
              <w:rPr>
                <w:rFonts w:eastAsia="Times New Roman"/>
                <w:color w:val="231F20"/>
                <w:sz w:val="20"/>
                <w:szCs w:val="20"/>
                <w:lang w:val="en-GB"/>
              </w:rPr>
            </w:pPr>
            <w:r w:rsidRPr="00585A78">
              <w:rPr>
                <w:rFonts w:eastAsia="Times New Roman" w:cs="Arial"/>
                <w:color w:val="000000"/>
                <w:sz w:val="20"/>
                <w:szCs w:val="20"/>
              </w:rPr>
              <w:t>Objective indicator 7: Number of direct project beneficiaries (UNDP mandatory indicator 3)</w:t>
            </w:r>
          </w:p>
        </w:tc>
        <w:tc>
          <w:tcPr>
            <w:tcW w:w="1689" w:type="dxa"/>
            <w:shd w:val="clear" w:color="auto" w:fill="auto"/>
          </w:tcPr>
          <w:p w14:paraId="4DF4E206" w14:textId="77777777" w:rsidR="00585A78" w:rsidRPr="00585A78" w:rsidRDefault="00585A78" w:rsidP="00FB2FCC">
            <w:pPr>
              <w:rPr>
                <w:rFonts w:eastAsia="Times New Roman"/>
                <w:color w:val="231F20"/>
                <w:sz w:val="20"/>
                <w:szCs w:val="20"/>
                <w:lang w:val="en-GB"/>
              </w:rPr>
            </w:pPr>
            <w:r w:rsidRPr="00585A78">
              <w:rPr>
                <w:rFonts w:eastAsia="Times New Roman" w:cs="Arial"/>
                <w:color w:val="000000"/>
                <w:sz w:val="20"/>
                <w:szCs w:val="20"/>
              </w:rPr>
              <w:t>28,500 people, 50% women</w:t>
            </w:r>
          </w:p>
        </w:tc>
        <w:tc>
          <w:tcPr>
            <w:tcW w:w="1233" w:type="dxa"/>
            <w:shd w:val="clear" w:color="auto" w:fill="auto"/>
          </w:tcPr>
          <w:p w14:paraId="468FD560" w14:textId="77777777" w:rsidR="00585A78" w:rsidRPr="00585A78" w:rsidRDefault="00585A78" w:rsidP="00FB2FCC">
            <w:pPr>
              <w:rPr>
                <w:rFonts w:eastAsia="Times New Roman"/>
                <w:color w:val="231F20"/>
                <w:sz w:val="20"/>
                <w:szCs w:val="20"/>
                <w:lang w:val="en-GB"/>
              </w:rPr>
            </w:pPr>
            <w:r w:rsidRPr="00585A78">
              <w:rPr>
                <w:rFonts w:eastAsia="Times New Roman" w:cs="Arial"/>
                <w:color w:val="000000"/>
                <w:sz w:val="20"/>
                <w:szCs w:val="20"/>
              </w:rPr>
              <w:t>0</w:t>
            </w:r>
          </w:p>
        </w:tc>
        <w:tc>
          <w:tcPr>
            <w:tcW w:w="0" w:type="auto"/>
            <w:shd w:val="clear" w:color="auto" w:fill="auto"/>
          </w:tcPr>
          <w:p w14:paraId="16F98B82" w14:textId="77777777" w:rsidR="00585A78" w:rsidRPr="00585A78" w:rsidRDefault="00585A78" w:rsidP="00FB2FCC">
            <w:pPr>
              <w:rPr>
                <w:rFonts w:eastAsia="Times New Roman"/>
                <w:color w:val="231F20"/>
                <w:sz w:val="20"/>
                <w:szCs w:val="20"/>
                <w:lang w:val="en-GB"/>
              </w:rPr>
            </w:pPr>
            <w:r w:rsidRPr="00585A78">
              <w:rPr>
                <w:rFonts w:eastAsia="Times New Roman"/>
                <w:color w:val="231F20"/>
                <w:sz w:val="20"/>
                <w:szCs w:val="20"/>
                <w:lang w:val="en-GB"/>
              </w:rPr>
              <w:t>N/A</w:t>
            </w:r>
          </w:p>
        </w:tc>
        <w:tc>
          <w:tcPr>
            <w:tcW w:w="0" w:type="auto"/>
            <w:shd w:val="clear" w:color="auto" w:fill="auto"/>
          </w:tcPr>
          <w:p w14:paraId="7E69C693" w14:textId="77777777" w:rsidR="00585A78" w:rsidRPr="00585A78" w:rsidRDefault="00585A78" w:rsidP="00FB2FCC">
            <w:pPr>
              <w:rPr>
                <w:rFonts w:eastAsia="Times New Roman"/>
                <w:color w:val="231F20"/>
                <w:sz w:val="20"/>
                <w:szCs w:val="20"/>
                <w:lang w:val="en-GB"/>
              </w:rPr>
            </w:pPr>
            <w:r w:rsidRPr="00585A78">
              <w:rPr>
                <w:rFonts w:eastAsia="Times New Roman"/>
                <w:color w:val="231F20"/>
                <w:sz w:val="20"/>
                <w:szCs w:val="20"/>
                <w:lang w:val="en-GB"/>
              </w:rPr>
              <w:t>Full project duration</w:t>
            </w:r>
          </w:p>
        </w:tc>
        <w:tc>
          <w:tcPr>
            <w:tcW w:w="0" w:type="auto"/>
            <w:shd w:val="clear" w:color="auto" w:fill="auto"/>
          </w:tcPr>
          <w:p w14:paraId="3AF3F920" w14:textId="77777777" w:rsidR="00585A78" w:rsidRPr="00585A78" w:rsidRDefault="00585A78" w:rsidP="00FB2FCC">
            <w:pPr>
              <w:rPr>
                <w:rFonts w:eastAsia="Times New Roman"/>
                <w:color w:val="231F20"/>
                <w:sz w:val="20"/>
                <w:szCs w:val="20"/>
                <w:lang w:val="en-GB"/>
              </w:rPr>
            </w:pPr>
            <w:r w:rsidRPr="00585A78">
              <w:rPr>
                <w:rFonts w:eastAsia="Times New Roman"/>
                <w:color w:val="231F20"/>
                <w:sz w:val="20"/>
                <w:szCs w:val="20"/>
                <w:lang w:val="en-GB"/>
              </w:rPr>
              <w:t>UNDP CO, Project Manager</w:t>
            </w:r>
          </w:p>
        </w:tc>
      </w:tr>
      <w:tr w:rsidR="00585A78" w:rsidRPr="00585A78" w14:paraId="3F22ACF0" w14:textId="77777777" w:rsidTr="004C54B5">
        <w:tc>
          <w:tcPr>
            <w:tcW w:w="0" w:type="auto"/>
            <w:gridSpan w:val="7"/>
            <w:shd w:val="clear" w:color="auto" w:fill="auto"/>
            <w:hideMark/>
          </w:tcPr>
          <w:p w14:paraId="404C032D" w14:textId="77777777" w:rsidR="00585A78" w:rsidRPr="00585A78" w:rsidRDefault="00585A78" w:rsidP="00FB2FCC">
            <w:pPr>
              <w:rPr>
                <w:rFonts w:eastAsia="Times New Roman"/>
                <w:b/>
                <w:color w:val="231F20"/>
                <w:sz w:val="20"/>
                <w:szCs w:val="20"/>
              </w:rPr>
            </w:pPr>
            <w:r w:rsidRPr="00585A78">
              <w:rPr>
                <w:rFonts w:eastAsia="Times New Roman"/>
                <w:b/>
                <w:color w:val="231F20"/>
                <w:sz w:val="20"/>
                <w:szCs w:val="20"/>
                <w:lang w:val="en-GB"/>
              </w:rPr>
              <w:t xml:space="preserve">Outcome 1:  </w:t>
            </w:r>
            <w:r w:rsidRPr="00585A78">
              <w:rPr>
                <w:bCs/>
                <w:sz w:val="20"/>
                <w:szCs w:val="20"/>
              </w:rPr>
              <w:t>Appropriate policies, programmes and capacities are in place to reduce risk and attract investment in small-scale (on-grid and off-grid) renewables</w:t>
            </w:r>
          </w:p>
        </w:tc>
      </w:tr>
      <w:tr w:rsidR="00585A78" w:rsidRPr="00585A78" w14:paraId="33098A3F" w14:textId="77777777" w:rsidTr="004C54B5">
        <w:tc>
          <w:tcPr>
            <w:tcW w:w="2587" w:type="dxa"/>
            <w:shd w:val="clear" w:color="auto" w:fill="auto"/>
          </w:tcPr>
          <w:p w14:paraId="305159FE" w14:textId="77777777" w:rsidR="00585A78" w:rsidRPr="00585A78" w:rsidRDefault="00585A78" w:rsidP="00FB2FCC">
            <w:pPr>
              <w:rPr>
                <w:rFonts w:eastAsia="Times New Roman"/>
                <w:color w:val="231F20"/>
                <w:sz w:val="20"/>
                <w:szCs w:val="20"/>
                <w:lang w:val="en-GB"/>
              </w:rPr>
            </w:pPr>
            <w:r w:rsidRPr="00585A78">
              <w:rPr>
                <w:rFonts w:eastAsia="Times New Roman"/>
                <w:color w:val="231F20"/>
                <w:sz w:val="20"/>
                <w:szCs w:val="20"/>
                <w:lang w:val="en-GB"/>
              </w:rPr>
              <w:t xml:space="preserve">Activity 1.2.1: Carry out training needs assessment, design a training programme, and provide training for local staff-members on large-scale renewable energy development issues. </w:t>
            </w:r>
          </w:p>
          <w:p w14:paraId="3BF620D8" w14:textId="77777777" w:rsidR="00585A78" w:rsidRPr="00585A78" w:rsidRDefault="00585A78" w:rsidP="00FB2FCC">
            <w:pPr>
              <w:rPr>
                <w:rFonts w:eastAsia="Times New Roman"/>
                <w:color w:val="231F20"/>
                <w:sz w:val="20"/>
                <w:szCs w:val="20"/>
                <w:lang w:val="en-GB"/>
              </w:rPr>
            </w:pPr>
            <w:r w:rsidRPr="00585A78">
              <w:rPr>
                <w:rFonts w:eastAsia="Times New Roman"/>
                <w:color w:val="231F20"/>
                <w:sz w:val="20"/>
                <w:szCs w:val="20"/>
                <w:lang w:val="en-GB"/>
              </w:rPr>
              <w:t>Activity 1.2.2: Organise regular information exchange events, conferences, workshops and seminars on large-scale renewable energy issues.</w:t>
            </w:r>
          </w:p>
          <w:p w14:paraId="6C56C174" w14:textId="77777777" w:rsidR="00585A78" w:rsidRPr="00585A78" w:rsidRDefault="00585A78" w:rsidP="00FB2FCC">
            <w:pPr>
              <w:rPr>
                <w:rFonts w:eastAsia="Times New Roman"/>
                <w:color w:val="231F20"/>
                <w:sz w:val="20"/>
                <w:szCs w:val="20"/>
                <w:lang w:val="en-GB"/>
              </w:rPr>
            </w:pPr>
          </w:p>
        </w:tc>
        <w:tc>
          <w:tcPr>
            <w:tcW w:w="1478" w:type="dxa"/>
            <w:shd w:val="clear" w:color="auto" w:fill="auto"/>
            <w:hideMark/>
          </w:tcPr>
          <w:p w14:paraId="574867D0" w14:textId="77777777" w:rsidR="00585A78" w:rsidRPr="00585A78" w:rsidRDefault="00585A78" w:rsidP="00FB2FCC">
            <w:pPr>
              <w:rPr>
                <w:rFonts w:eastAsia="Times New Roman"/>
                <w:color w:val="231F20"/>
                <w:sz w:val="20"/>
                <w:szCs w:val="20"/>
                <w:lang w:val="en-GB"/>
              </w:rPr>
            </w:pPr>
            <w:r w:rsidRPr="00585A78">
              <w:rPr>
                <w:rFonts w:eastAsia="Times New Roman"/>
                <w:color w:val="231F20"/>
                <w:sz w:val="20"/>
                <w:szCs w:val="20"/>
                <w:lang w:val="en-GB"/>
              </w:rPr>
              <w:t>Number of women representing various agencies who receive training and consultation via this activity</w:t>
            </w:r>
          </w:p>
        </w:tc>
        <w:tc>
          <w:tcPr>
            <w:tcW w:w="1689" w:type="dxa"/>
            <w:shd w:val="clear" w:color="auto" w:fill="auto"/>
            <w:hideMark/>
          </w:tcPr>
          <w:p w14:paraId="0FC38D54" w14:textId="77777777" w:rsidR="00585A78" w:rsidRPr="00585A78" w:rsidRDefault="00585A78" w:rsidP="00FB2FCC">
            <w:pPr>
              <w:rPr>
                <w:rFonts w:eastAsia="Times New Roman"/>
                <w:color w:val="231F20"/>
                <w:sz w:val="20"/>
                <w:szCs w:val="20"/>
                <w:lang w:val="en-GB"/>
              </w:rPr>
            </w:pPr>
            <w:r w:rsidRPr="00585A78">
              <w:rPr>
                <w:rFonts w:eastAsia="Times New Roman"/>
                <w:color w:val="231F20"/>
                <w:sz w:val="20"/>
                <w:szCs w:val="20"/>
                <w:lang w:val="en-GB"/>
              </w:rPr>
              <w:t>20 women representing at least three agencies, including at least three on study tour</w:t>
            </w:r>
          </w:p>
        </w:tc>
        <w:tc>
          <w:tcPr>
            <w:tcW w:w="1233" w:type="dxa"/>
            <w:shd w:val="clear" w:color="auto" w:fill="auto"/>
            <w:hideMark/>
          </w:tcPr>
          <w:p w14:paraId="5C117F2B" w14:textId="77777777" w:rsidR="00585A78" w:rsidRPr="00585A78" w:rsidRDefault="00585A78" w:rsidP="00FB2FCC">
            <w:pPr>
              <w:rPr>
                <w:rFonts w:eastAsia="Times New Roman"/>
                <w:color w:val="231F20"/>
                <w:sz w:val="20"/>
                <w:szCs w:val="20"/>
                <w:lang w:val="en-GB"/>
              </w:rPr>
            </w:pPr>
            <w:r w:rsidRPr="00585A78">
              <w:rPr>
                <w:rFonts w:eastAsia="Times New Roman"/>
                <w:color w:val="231F20"/>
                <w:sz w:val="20"/>
                <w:szCs w:val="20"/>
                <w:lang w:val="en-GB"/>
              </w:rPr>
              <w:t>No prior or ongoing training</w:t>
            </w:r>
          </w:p>
        </w:tc>
        <w:tc>
          <w:tcPr>
            <w:tcW w:w="0" w:type="auto"/>
            <w:shd w:val="clear" w:color="auto" w:fill="auto"/>
            <w:hideMark/>
          </w:tcPr>
          <w:p w14:paraId="2648828B" w14:textId="77777777" w:rsidR="00585A78" w:rsidRPr="00585A78" w:rsidRDefault="00585A78" w:rsidP="00FB2FCC">
            <w:pPr>
              <w:rPr>
                <w:rFonts w:eastAsia="Times New Roman"/>
                <w:color w:val="231F20"/>
                <w:sz w:val="20"/>
                <w:szCs w:val="20"/>
                <w:lang w:val="en-GB"/>
              </w:rPr>
            </w:pPr>
            <w:r w:rsidRPr="00585A78">
              <w:rPr>
                <w:rFonts w:eastAsia="Times New Roman"/>
                <w:color w:val="231F20"/>
                <w:sz w:val="20"/>
                <w:szCs w:val="20"/>
                <w:lang w:val="en-GB"/>
              </w:rPr>
              <w:t>$50,000</w:t>
            </w:r>
          </w:p>
        </w:tc>
        <w:tc>
          <w:tcPr>
            <w:tcW w:w="0" w:type="auto"/>
            <w:shd w:val="clear" w:color="auto" w:fill="auto"/>
            <w:hideMark/>
          </w:tcPr>
          <w:p w14:paraId="46C4D3E1" w14:textId="77777777" w:rsidR="00585A78" w:rsidRPr="00585A78" w:rsidRDefault="00585A78" w:rsidP="00FB2FCC">
            <w:pPr>
              <w:rPr>
                <w:rFonts w:eastAsia="Times New Roman"/>
                <w:color w:val="231F20"/>
                <w:sz w:val="20"/>
                <w:szCs w:val="20"/>
                <w:lang w:val="en-GB"/>
              </w:rPr>
            </w:pPr>
            <w:r w:rsidRPr="00585A78">
              <w:rPr>
                <w:rFonts w:eastAsia="Times New Roman"/>
                <w:color w:val="231F20"/>
                <w:sz w:val="20"/>
                <w:szCs w:val="20"/>
                <w:lang w:val="en-GB"/>
              </w:rPr>
              <w:t>Study tour in year 1 or 2; other training in years 1-4</w:t>
            </w:r>
          </w:p>
        </w:tc>
        <w:tc>
          <w:tcPr>
            <w:tcW w:w="0" w:type="auto"/>
            <w:shd w:val="clear" w:color="auto" w:fill="auto"/>
            <w:hideMark/>
          </w:tcPr>
          <w:p w14:paraId="08014039" w14:textId="77777777" w:rsidR="00585A78" w:rsidRPr="00585A78" w:rsidRDefault="00585A78" w:rsidP="00FB2FCC">
            <w:pPr>
              <w:rPr>
                <w:rFonts w:eastAsia="Times New Roman"/>
                <w:color w:val="231F20"/>
                <w:sz w:val="20"/>
                <w:szCs w:val="20"/>
                <w:lang w:val="en-GB"/>
              </w:rPr>
            </w:pPr>
            <w:r w:rsidRPr="00585A78">
              <w:rPr>
                <w:rFonts w:eastAsia="Times New Roman"/>
                <w:color w:val="231F20"/>
                <w:sz w:val="20"/>
                <w:szCs w:val="20"/>
                <w:lang w:val="en-GB"/>
              </w:rPr>
              <w:t>Project Manager</w:t>
            </w:r>
          </w:p>
        </w:tc>
      </w:tr>
      <w:tr w:rsidR="00585A78" w:rsidRPr="00585A78" w14:paraId="07ACDB2B" w14:textId="77777777" w:rsidTr="004C54B5">
        <w:trPr>
          <w:trHeight w:val="764"/>
        </w:trPr>
        <w:tc>
          <w:tcPr>
            <w:tcW w:w="0" w:type="auto"/>
            <w:gridSpan w:val="7"/>
            <w:shd w:val="clear" w:color="auto" w:fill="auto"/>
          </w:tcPr>
          <w:p w14:paraId="10096DEE" w14:textId="77777777" w:rsidR="00585A78" w:rsidRPr="00585A78" w:rsidRDefault="00585A78" w:rsidP="00FB2FCC">
            <w:pPr>
              <w:rPr>
                <w:rFonts w:cs="Arial"/>
                <w:sz w:val="20"/>
                <w:szCs w:val="20"/>
                <w:lang w:eastAsia="ko-KR"/>
              </w:rPr>
            </w:pPr>
            <w:r w:rsidRPr="00585A78">
              <w:rPr>
                <w:rFonts w:cs="Arial"/>
                <w:sz w:val="20"/>
                <w:szCs w:val="20"/>
                <w:lang w:eastAsia="ko-KR"/>
              </w:rPr>
              <w:t>Component 2 “Renewable Energy for Life: Policy Derisking“</w:t>
            </w:r>
          </w:p>
          <w:p w14:paraId="54CAEB2C" w14:textId="77777777" w:rsidR="00585A78" w:rsidRPr="00585A78" w:rsidRDefault="00585A78" w:rsidP="00FB2FCC">
            <w:pPr>
              <w:rPr>
                <w:rFonts w:eastAsia="Times New Roman"/>
                <w:b/>
                <w:color w:val="231F20"/>
                <w:sz w:val="20"/>
                <w:szCs w:val="20"/>
              </w:rPr>
            </w:pPr>
            <w:r w:rsidRPr="00585A78">
              <w:rPr>
                <w:rFonts w:cs="Arial"/>
                <w:b/>
                <w:sz w:val="20"/>
                <w:szCs w:val="20"/>
                <w:lang w:val="en-GB"/>
              </w:rPr>
              <w:t>Outcome 2: Appropriate policies, programmes and capacities are in place to reduce risk and attract investment in small-scale (on-grid and off-grid) renewables</w:t>
            </w:r>
          </w:p>
        </w:tc>
      </w:tr>
      <w:tr w:rsidR="00585A78" w:rsidRPr="00585A78" w14:paraId="5E913759" w14:textId="77777777" w:rsidTr="004C54B5">
        <w:trPr>
          <w:trHeight w:val="269"/>
        </w:trPr>
        <w:tc>
          <w:tcPr>
            <w:tcW w:w="2587" w:type="dxa"/>
            <w:shd w:val="clear" w:color="auto" w:fill="auto"/>
          </w:tcPr>
          <w:p w14:paraId="0D60AE7B" w14:textId="77777777" w:rsidR="00585A78" w:rsidRPr="00585A78" w:rsidRDefault="00585A78" w:rsidP="00FB2FCC">
            <w:pPr>
              <w:rPr>
                <w:rFonts w:cs="Arial"/>
                <w:sz w:val="20"/>
                <w:szCs w:val="20"/>
                <w:lang w:val="en-GB"/>
              </w:rPr>
            </w:pPr>
            <w:r w:rsidRPr="00585A78">
              <w:rPr>
                <w:rFonts w:cs="Arial"/>
                <w:sz w:val="20"/>
                <w:szCs w:val="20"/>
                <w:lang w:val="en-GB"/>
              </w:rPr>
              <w:t>Activity 2.1.3: Organise and implement training to build capacity of local officials and experts to develop policy interventions for small-scale renewable energy development</w:t>
            </w:r>
          </w:p>
          <w:p w14:paraId="51125E74" w14:textId="77777777" w:rsidR="00585A78" w:rsidRPr="00585A78" w:rsidRDefault="00585A78" w:rsidP="00FB2FCC">
            <w:pPr>
              <w:rPr>
                <w:rFonts w:eastAsia="Times New Roman"/>
                <w:color w:val="231F20"/>
                <w:sz w:val="20"/>
                <w:szCs w:val="20"/>
                <w:lang w:val="en-GB"/>
              </w:rPr>
            </w:pPr>
            <w:r w:rsidRPr="00585A78">
              <w:rPr>
                <w:rFonts w:cs="Arial"/>
                <w:sz w:val="20"/>
                <w:szCs w:val="20"/>
                <w:lang w:val="en-GB"/>
              </w:rPr>
              <w:t>Activity 2.2.4: Design and deliver training materials to support operation of the MRV system.</w:t>
            </w:r>
          </w:p>
        </w:tc>
        <w:tc>
          <w:tcPr>
            <w:tcW w:w="1478" w:type="dxa"/>
            <w:shd w:val="clear" w:color="auto" w:fill="auto"/>
          </w:tcPr>
          <w:p w14:paraId="48BE63B4" w14:textId="77777777" w:rsidR="00585A78" w:rsidRPr="00585A78" w:rsidRDefault="00585A78" w:rsidP="00FB2FCC">
            <w:pPr>
              <w:rPr>
                <w:rFonts w:eastAsia="Times New Roman"/>
                <w:color w:val="231F20"/>
                <w:sz w:val="20"/>
                <w:szCs w:val="20"/>
                <w:lang w:val="en-GB"/>
              </w:rPr>
            </w:pPr>
            <w:r w:rsidRPr="00585A78">
              <w:rPr>
                <w:rFonts w:eastAsia="Times New Roman" w:cs="Arial"/>
                <w:color w:val="000000"/>
                <w:sz w:val="20"/>
                <w:szCs w:val="20"/>
              </w:rPr>
              <w:t>Knowledge of small-scale applications in rural and urban areas</w:t>
            </w:r>
          </w:p>
        </w:tc>
        <w:tc>
          <w:tcPr>
            <w:tcW w:w="1689" w:type="dxa"/>
            <w:shd w:val="clear" w:color="auto" w:fill="auto"/>
          </w:tcPr>
          <w:p w14:paraId="4B03C8E1" w14:textId="77777777" w:rsidR="00585A78" w:rsidRPr="00585A78" w:rsidRDefault="00585A78" w:rsidP="00FB2FCC">
            <w:pPr>
              <w:rPr>
                <w:rFonts w:eastAsia="Times New Roman"/>
                <w:color w:val="231F20"/>
                <w:sz w:val="20"/>
                <w:szCs w:val="20"/>
                <w:lang w:val="en-GB"/>
              </w:rPr>
            </w:pPr>
            <w:r w:rsidRPr="00585A78">
              <w:rPr>
                <w:rFonts w:cs="Arial"/>
                <w:sz w:val="20"/>
                <w:szCs w:val="20"/>
                <w:lang w:eastAsia="ko-KR"/>
              </w:rPr>
              <w:t>At least 50% of beneficiaries for training and capacity building related to RES are women and/or women-headed organizations (i.e. Associations of Apartment Owners, SMEs, farming communities)</w:t>
            </w:r>
          </w:p>
        </w:tc>
        <w:tc>
          <w:tcPr>
            <w:tcW w:w="1233" w:type="dxa"/>
            <w:shd w:val="clear" w:color="auto" w:fill="auto"/>
          </w:tcPr>
          <w:p w14:paraId="6B3E4D6E" w14:textId="77777777" w:rsidR="00585A78" w:rsidRPr="00585A78" w:rsidRDefault="00585A78" w:rsidP="00FB2FCC">
            <w:pPr>
              <w:rPr>
                <w:rFonts w:eastAsia="Times New Roman"/>
                <w:color w:val="231F20"/>
                <w:sz w:val="20"/>
                <w:szCs w:val="20"/>
                <w:lang w:val="en-GB"/>
              </w:rPr>
            </w:pPr>
            <w:r w:rsidRPr="00585A78">
              <w:rPr>
                <w:rFonts w:eastAsia="Times New Roman" w:cs="Arial"/>
                <w:color w:val="000000"/>
                <w:sz w:val="20"/>
                <w:szCs w:val="20"/>
              </w:rPr>
              <w:t>RES projects are perceived as more risky, expensive and second class energy supply options compared to traditional energy sources</w:t>
            </w:r>
          </w:p>
        </w:tc>
        <w:tc>
          <w:tcPr>
            <w:tcW w:w="0" w:type="auto"/>
            <w:shd w:val="clear" w:color="auto" w:fill="auto"/>
          </w:tcPr>
          <w:p w14:paraId="502D722A" w14:textId="77777777" w:rsidR="00585A78" w:rsidRPr="00585A78" w:rsidRDefault="00585A78" w:rsidP="00FB2FCC">
            <w:pPr>
              <w:rPr>
                <w:rFonts w:eastAsia="Times New Roman"/>
                <w:color w:val="231F20"/>
                <w:sz w:val="20"/>
                <w:szCs w:val="20"/>
                <w:lang w:val="en-GB"/>
              </w:rPr>
            </w:pPr>
            <w:r w:rsidRPr="00585A78">
              <w:rPr>
                <w:rFonts w:eastAsia="Times New Roman"/>
                <w:color w:val="231F20"/>
                <w:sz w:val="20"/>
                <w:szCs w:val="20"/>
                <w:lang w:val="en-GB"/>
              </w:rPr>
              <w:t>$75,000</w:t>
            </w:r>
          </w:p>
        </w:tc>
        <w:tc>
          <w:tcPr>
            <w:tcW w:w="0" w:type="auto"/>
            <w:shd w:val="clear" w:color="auto" w:fill="auto"/>
          </w:tcPr>
          <w:p w14:paraId="7A81A32D" w14:textId="77777777" w:rsidR="00585A78" w:rsidRPr="00585A78" w:rsidRDefault="00585A78" w:rsidP="00FB2FCC">
            <w:pPr>
              <w:rPr>
                <w:rFonts w:eastAsia="Times New Roman"/>
                <w:color w:val="231F20"/>
                <w:sz w:val="20"/>
                <w:szCs w:val="20"/>
                <w:lang w:val="en-GB"/>
              </w:rPr>
            </w:pPr>
            <w:r w:rsidRPr="00585A78">
              <w:rPr>
                <w:rFonts w:eastAsia="Times New Roman"/>
                <w:color w:val="231F20"/>
                <w:sz w:val="20"/>
                <w:szCs w:val="20"/>
                <w:lang w:val="en-GB"/>
              </w:rPr>
              <w:t>Project duration</w:t>
            </w:r>
          </w:p>
        </w:tc>
        <w:tc>
          <w:tcPr>
            <w:tcW w:w="0" w:type="auto"/>
            <w:shd w:val="clear" w:color="auto" w:fill="auto"/>
          </w:tcPr>
          <w:p w14:paraId="5A5DE118" w14:textId="77777777" w:rsidR="00585A78" w:rsidRPr="00585A78" w:rsidRDefault="00585A78" w:rsidP="00FB2FCC">
            <w:pPr>
              <w:rPr>
                <w:rFonts w:eastAsia="Times New Roman"/>
                <w:color w:val="231F20"/>
                <w:sz w:val="20"/>
                <w:szCs w:val="20"/>
                <w:lang w:val="en-GB"/>
              </w:rPr>
            </w:pPr>
            <w:r w:rsidRPr="00585A78">
              <w:rPr>
                <w:rFonts w:eastAsia="Times New Roman"/>
                <w:color w:val="231F20"/>
                <w:sz w:val="20"/>
                <w:szCs w:val="20"/>
                <w:lang w:val="en-GB"/>
              </w:rPr>
              <w:t>UNDP CO, Project Manager</w:t>
            </w:r>
          </w:p>
        </w:tc>
      </w:tr>
      <w:tr w:rsidR="00585A78" w:rsidRPr="00585A78" w14:paraId="593B7BC7" w14:textId="77777777" w:rsidTr="004C54B5">
        <w:tc>
          <w:tcPr>
            <w:tcW w:w="0" w:type="auto"/>
            <w:gridSpan w:val="7"/>
            <w:shd w:val="clear" w:color="auto" w:fill="auto"/>
          </w:tcPr>
          <w:p w14:paraId="0405452D" w14:textId="77777777" w:rsidR="00585A78" w:rsidRPr="00585A78" w:rsidRDefault="00585A78" w:rsidP="00FB2FCC">
            <w:pPr>
              <w:rPr>
                <w:rFonts w:eastAsia="Times New Roman"/>
                <w:b/>
                <w:color w:val="231F20"/>
                <w:sz w:val="20"/>
                <w:szCs w:val="20"/>
              </w:rPr>
            </w:pPr>
            <w:r w:rsidRPr="00585A78">
              <w:rPr>
                <w:rFonts w:cs="Arial"/>
                <w:sz w:val="20"/>
                <w:szCs w:val="20"/>
                <w:lang w:eastAsia="ko-KR"/>
              </w:rPr>
              <w:t>Component 3 “Renewable Energy for Life: Financial Derisking and Financial Incentives”</w:t>
            </w:r>
          </w:p>
        </w:tc>
      </w:tr>
      <w:tr w:rsidR="00585A78" w:rsidRPr="00585A78" w14:paraId="06F7D907" w14:textId="77777777" w:rsidTr="004C54B5">
        <w:tc>
          <w:tcPr>
            <w:tcW w:w="2587" w:type="dxa"/>
            <w:shd w:val="clear" w:color="auto" w:fill="auto"/>
          </w:tcPr>
          <w:p w14:paraId="5A08767B" w14:textId="77777777" w:rsidR="00585A78" w:rsidRPr="00585A78" w:rsidRDefault="00585A78" w:rsidP="00FB2FCC">
            <w:pPr>
              <w:rPr>
                <w:rFonts w:cs="Arial"/>
                <w:sz w:val="20"/>
                <w:szCs w:val="20"/>
                <w:lang w:val="en-GB"/>
              </w:rPr>
            </w:pPr>
            <w:r w:rsidRPr="00585A78">
              <w:rPr>
                <w:rFonts w:cs="Arial"/>
                <w:sz w:val="20"/>
                <w:szCs w:val="20"/>
                <w:lang w:val="en-GB"/>
              </w:rPr>
              <w:t>Activity 3.2.1: Arrange and hold consultations with local financial institutions, banks, development finance institutions, institutional investors, and others to identify and refine plans to develop financial derisking instruments.</w:t>
            </w:r>
          </w:p>
          <w:p w14:paraId="11B629D3" w14:textId="77777777" w:rsidR="00585A78" w:rsidRPr="00585A78" w:rsidRDefault="00585A78" w:rsidP="00FB2FCC">
            <w:pPr>
              <w:rPr>
                <w:rFonts w:eastAsia="Times New Roman"/>
                <w:color w:val="231F20"/>
                <w:sz w:val="20"/>
                <w:szCs w:val="20"/>
                <w:lang w:val="en-GB"/>
              </w:rPr>
            </w:pPr>
            <w:r w:rsidRPr="00585A78">
              <w:rPr>
                <w:rFonts w:eastAsia="Times New Roman"/>
                <w:color w:val="231F20"/>
                <w:sz w:val="20"/>
                <w:szCs w:val="20"/>
                <w:lang w:val="en-GB"/>
              </w:rPr>
              <w:t>Activity 3.3.1: Carry out a training needs assessment for local banks and other financial institutions to determine priorities for training.</w:t>
            </w:r>
          </w:p>
          <w:p w14:paraId="146F2EAA" w14:textId="77777777" w:rsidR="00585A78" w:rsidRPr="00585A78" w:rsidRDefault="00585A78" w:rsidP="00FB2FCC">
            <w:pPr>
              <w:rPr>
                <w:rFonts w:eastAsia="Times New Roman"/>
                <w:color w:val="231F20"/>
                <w:sz w:val="20"/>
                <w:szCs w:val="20"/>
                <w:lang w:val="en-GB"/>
              </w:rPr>
            </w:pPr>
            <w:r w:rsidRPr="00585A78">
              <w:rPr>
                <w:rFonts w:eastAsia="Times New Roman"/>
                <w:color w:val="231F20"/>
                <w:sz w:val="20"/>
                <w:szCs w:val="20"/>
                <w:lang w:val="en-GB"/>
              </w:rPr>
              <w:t>Activity 3.3.2. Develop and deliver training for 3 local financial institutions. Training will include technical and financial aspects of small-scale renewables, and environmental and social safeguards.</w:t>
            </w:r>
          </w:p>
          <w:p w14:paraId="085DED47" w14:textId="1420E39F" w:rsidR="00585A78" w:rsidRPr="00585A78" w:rsidRDefault="00585A78" w:rsidP="000D682B">
            <w:pPr>
              <w:rPr>
                <w:rFonts w:eastAsia="Times New Roman"/>
                <w:color w:val="231F20"/>
                <w:sz w:val="20"/>
                <w:szCs w:val="20"/>
                <w:lang w:val="en-GB"/>
              </w:rPr>
            </w:pPr>
            <w:r w:rsidRPr="00585A78">
              <w:rPr>
                <w:rFonts w:eastAsia="Times New Roman"/>
                <w:color w:val="231F20"/>
                <w:sz w:val="20"/>
                <w:szCs w:val="20"/>
                <w:lang w:val="en-GB"/>
              </w:rPr>
              <w:t xml:space="preserve">Activity 3.4.1: </w:t>
            </w:r>
            <w:r w:rsidR="000D682B">
              <w:rPr>
                <w:rFonts w:eastAsia="Times New Roman"/>
                <w:color w:val="231F20"/>
                <w:sz w:val="20"/>
                <w:szCs w:val="20"/>
                <w:lang w:val="en-GB"/>
              </w:rPr>
              <w:t>Financial engagement with</w:t>
            </w:r>
            <w:r w:rsidRPr="00585A78">
              <w:rPr>
                <w:rFonts w:eastAsia="Times New Roman"/>
                <w:color w:val="231F20"/>
                <w:sz w:val="20"/>
                <w:szCs w:val="20"/>
                <w:lang w:val="en-GB"/>
              </w:rPr>
              <w:t xml:space="preserve"> small-scale renewable energy projects according to the criteria of the established financial mechanism</w:t>
            </w:r>
          </w:p>
        </w:tc>
        <w:tc>
          <w:tcPr>
            <w:tcW w:w="1478" w:type="dxa"/>
            <w:shd w:val="clear" w:color="auto" w:fill="auto"/>
          </w:tcPr>
          <w:p w14:paraId="16647524" w14:textId="77777777" w:rsidR="00585A78" w:rsidRPr="00585A78" w:rsidRDefault="00585A78" w:rsidP="00FB2FCC">
            <w:pPr>
              <w:rPr>
                <w:rFonts w:eastAsia="Times New Roman"/>
                <w:bCs/>
                <w:color w:val="231F20"/>
                <w:sz w:val="20"/>
                <w:szCs w:val="20"/>
                <w:lang w:val="en-GB"/>
              </w:rPr>
            </w:pPr>
            <w:r w:rsidRPr="00585A78">
              <w:rPr>
                <w:rFonts w:eastAsia="Times New Roman" w:cs="Arial"/>
                <w:color w:val="000000"/>
                <w:sz w:val="20"/>
                <w:szCs w:val="20"/>
              </w:rPr>
              <w:t>Capacity of the local financial institutions to support small-scale projects</w:t>
            </w:r>
          </w:p>
        </w:tc>
        <w:tc>
          <w:tcPr>
            <w:tcW w:w="1689" w:type="dxa"/>
            <w:shd w:val="clear" w:color="auto" w:fill="auto"/>
          </w:tcPr>
          <w:p w14:paraId="26EEB055" w14:textId="77777777" w:rsidR="00585A78" w:rsidRPr="00585A78" w:rsidRDefault="00585A78" w:rsidP="00FB2FCC">
            <w:pPr>
              <w:rPr>
                <w:rFonts w:eastAsia="Times New Roman"/>
                <w:bCs/>
                <w:color w:val="231F20"/>
                <w:sz w:val="20"/>
                <w:szCs w:val="20"/>
                <w:lang w:val="en-GB"/>
              </w:rPr>
            </w:pPr>
            <w:r w:rsidRPr="00585A78">
              <w:rPr>
                <w:rFonts w:eastAsia="Times New Roman" w:cs="Arial"/>
                <w:color w:val="000000"/>
                <w:sz w:val="20"/>
                <w:szCs w:val="20"/>
              </w:rPr>
              <w:t>At least one dedicated financial product is developed for support of small-scale RES</w:t>
            </w:r>
          </w:p>
        </w:tc>
        <w:tc>
          <w:tcPr>
            <w:tcW w:w="1233" w:type="dxa"/>
            <w:shd w:val="clear" w:color="auto" w:fill="auto"/>
          </w:tcPr>
          <w:p w14:paraId="2DEF86F2" w14:textId="77777777" w:rsidR="00585A78" w:rsidRPr="00585A78" w:rsidRDefault="00585A78" w:rsidP="00FB2FCC">
            <w:pPr>
              <w:rPr>
                <w:rFonts w:eastAsia="Times New Roman"/>
                <w:bCs/>
                <w:color w:val="231F20"/>
                <w:sz w:val="20"/>
                <w:szCs w:val="20"/>
                <w:lang w:val="en-GB"/>
              </w:rPr>
            </w:pPr>
            <w:r w:rsidRPr="00585A78">
              <w:rPr>
                <w:rFonts w:eastAsia="Times New Roman" w:cs="Arial"/>
                <w:color w:val="000000"/>
                <w:sz w:val="20"/>
                <w:szCs w:val="20"/>
              </w:rPr>
              <w:t>Lack of information, assessment skills and track-record for renewable energy projects amongst domestic financial sector. No dedicated financing products for small-scale RES.</w:t>
            </w:r>
          </w:p>
        </w:tc>
        <w:tc>
          <w:tcPr>
            <w:tcW w:w="0" w:type="auto"/>
            <w:shd w:val="clear" w:color="auto" w:fill="auto"/>
          </w:tcPr>
          <w:p w14:paraId="5918B220" w14:textId="77777777" w:rsidR="00585A78" w:rsidRPr="00585A78" w:rsidRDefault="00585A78" w:rsidP="00FB2FCC">
            <w:pPr>
              <w:rPr>
                <w:rFonts w:eastAsia="Times New Roman"/>
                <w:color w:val="231F20"/>
                <w:sz w:val="20"/>
                <w:szCs w:val="20"/>
                <w:lang w:val="en-GB"/>
              </w:rPr>
            </w:pPr>
            <w:r w:rsidRPr="00585A78">
              <w:rPr>
                <w:rFonts w:eastAsia="Times New Roman"/>
                <w:color w:val="231F20"/>
                <w:sz w:val="20"/>
                <w:szCs w:val="20"/>
                <w:lang w:val="en-GB"/>
              </w:rPr>
              <w:t>250,000</w:t>
            </w:r>
          </w:p>
        </w:tc>
        <w:tc>
          <w:tcPr>
            <w:tcW w:w="0" w:type="auto"/>
            <w:shd w:val="clear" w:color="auto" w:fill="auto"/>
          </w:tcPr>
          <w:p w14:paraId="23766904" w14:textId="77777777" w:rsidR="00585A78" w:rsidRPr="00585A78" w:rsidRDefault="00585A78" w:rsidP="00FB2FCC">
            <w:pPr>
              <w:rPr>
                <w:rFonts w:eastAsia="Times New Roman"/>
                <w:color w:val="231F20"/>
                <w:sz w:val="20"/>
                <w:szCs w:val="20"/>
                <w:lang w:val="en-GB"/>
              </w:rPr>
            </w:pPr>
            <w:r w:rsidRPr="00585A78">
              <w:rPr>
                <w:rFonts w:eastAsia="Times New Roman"/>
                <w:color w:val="231F20"/>
                <w:sz w:val="20"/>
                <w:szCs w:val="20"/>
                <w:lang w:val="en-GB"/>
              </w:rPr>
              <w:t>Project duration</w:t>
            </w:r>
          </w:p>
        </w:tc>
        <w:tc>
          <w:tcPr>
            <w:tcW w:w="0" w:type="auto"/>
            <w:shd w:val="clear" w:color="auto" w:fill="auto"/>
          </w:tcPr>
          <w:p w14:paraId="10A78DCE" w14:textId="77777777" w:rsidR="00585A78" w:rsidRPr="00585A78" w:rsidRDefault="00585A78" w:rsidP="00FB2FCC">
            <w:pPr>
              <w:rPr>
                <w:rFonts w:eastAsia="Times New Roman"/>
                <w:color w:val="231F20"/>
                <w:sz w:val="20"/>
                <w:szCs w:val="20"/>
                <w:lang w:val="en-GB"/>
              </w:rPr>
            </w:pPr>
            <w:r w:rsidRPr="00585A78">
              <w:rPr>
                <w:rFonts w:eastAsia="Times New Roman"/>
                <w:color w:val="231F20"/>
                <w:sz w:val="20"/>
                <w:szCs w:val="20"/>
                <w:lang w:val="en-GB"/>
              </w:rPr>
              <w:t>UNDP CO, Project Manager</w:t>
            </w:r>
          </w:p>
        </w:tc>
      </w:tr>
      <w:tr w:rsidR="00585A78" w:rsidRPr="00585A78" w14:paraId="3E580945" w14:textId="77777777" w:rsidTr="009D307B">
        <w:trPr>
          <w:trHeight w:val="197"/>
        </w:trPr>
        <w:tc>
          <w:tcPr>
            <w:tcW w:w="0" w:type="auto"/>
            <w:gridSpan w:val="5"/>
            <w:shd w:val="clear" w:color="auto" w:fill="D9D9D9"/>
            <w:hideMark/>
          </w:tcPr>
          <w:p w14:paraId="6D4D9611" w14:textId="249E92FA" w:rsidR="00585A78" w:rsidRPr="00585A78" w:rsidRDefault="00585A78" w:rsidP="00FB2FCC">
            <w:pPr>
              <w:rPr>
                <w:rFonts w:eastAsia="Times New Roman"/>
                <w:b/>
                <w:color w:val="231F20"/>
                <w:sz w:val="20"/>
                <w:szCs w:val="20"/>
                <w:lang w:val="en-GB"/>
              </w:rPr>
            </w:pPr>
            <w:r w:rsidRPr="00585A78">
              <w:rPr>
                <w:rFonts w:eastAsia="Times New Roman"/>
                <w:b/>
                <w:color w:val="231F20"/>
                <w:sz w:val="20"/>
                <w:szCs w:val="20"/>
                <w:lang w:val="en-GB"/>
              </w:rPr>
              <w:t xml:space="preserve">Total </w:t>
            </w:r>
            <w:r w:rsidR="009D307B">
              <w:rPr>
                <w:rFonts w:eastAsia="Times New Roman"/>
                <w:b/>
                <w:color w:val="231F20"/>
                <w:sz w:val="20"/>
                <w:szCs w:val="20"/>
                <w:lang w:val="en-GB"/>
              </w:rPr>
              <w:t xml:space="preserve">relevant </w:t>
            </w:r>
            <w:r w:rsidRPr="00585A78">
              <w:rPr>
                <w:rFonts w:eastAsia="Times New Roman"/>
                <w:b/>
                <w:color w:val="231F20"/>
                <w:sz w:val="20"/>
                <w:szCs w:val="20"/>
                <w:lang w:val="en-GB"/>
              </w:rPr>
              <w:t>budget allocation (indicative):</w:t>
            </w:r>
          </w:p>
        </w:tc>
        <w:tc>
          <w:tcPr>
            <w:tcW w:w="0" w:type="auto"/>
            <w:gridSpan w:val="2"/>
            <w:shd w:val="clear" w:color="auto" w:fill="FFFFFF"/>
          </w:tcPr>
          <w:p w14:paraId="5482F0AD" w14:textId="77777777" w:rsidR="00585A78" w:rsidRPr="00585A78" w:rsidRDefault="00585A78" w:rsidP="00FB2FCC">
            <w:pPr>
              <w:rPr>
                <w:rFonts w:eastAsia="Times New Roman"/>
                <w:i/>
                <w:color w:val="231F20"/>
                <w:sz w:val="20"/>
                <w:szCs w:val="20"/>
                <w:lang w:val="en-GB"/>
              </w:rPr>
            </w:pPr>
            <w:r w:rsidRPr="00585A78">
              <w:rPr>
                <w:rFonts w:eastAsia="Times New Roman"/>
                <w:i/>
                <w:color w:val="231F20"/>
                <w:sz w:val="20"/>
                <w:szCs w:val="20"/>
                <w:lang w:val="en-GB"/>
              </w:rPr>
              <w:t>$375,000</w:t>
            </w:r>
          </w:p>
        </w:tc>
      </w:tr>
    </w:tbl>
    <w:p w14:paraId="52686F89" w14:textId="77777777" w:rsidR="00585A78" w:rsidRPr="00A5469F" w:rsidRDefault="00585A78" w:rsidP="00585A78">
      <w:pPr>
        <w:rPr>
          <w:rFonts w:eastAsia="Times New Roman"/>
          <w:sz w:val="24"/>
          <w:lang w:val="en-GB"/>
        </w:rPr>
      </w:pPr>
    </w:p>
    <w:p w14:paraId="0B8BC1F3" w14:textId="77777777" w:rsidR="00585A78" w:rsidRPr="009D5E4C" w:rsidRDefault="00585A78" w:rsidP="00585A78">
      <w:pPr>
        <w:rPr>
          <w:b/>
          <w:szCs w:val="22"/>
        </w:rPr>
      </w:pPr>
    </w:p>
    <w:p w14:paraId="0B9C3F54" w14:textId="155CB284" w:rsidR="00585A78" w:rsidRPr="003D4FB8" w:rsidRDefault="00585A78" w:rsidP="003D4FB8">
      <w:pPr>
        <w:tabs>
          <w:tab w:val="left" w:pos="709"/>
        </w:tabs>
        <w:ind w:left="810" w:hanging="720"/>
        <w:rPr>
          <w:rFonts w:cs="Arial"/>
          <w:szCs w:val="22"/>
          <w:lang w:val="en-GB"/>
        </w:rPr>
      </w:pPr>
    </w:p>
    <w:sectPr w:rsidR="00585A78" w:rsidRPr="003D4FB8" w:rsidSect="004622EC">
      <w:pgSz w:w="11900" w:h="16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B4445" w14:textId="77777777" w:rsidR="00991455" w:rsidRDefault="00991455">
      <w:r>
        <w:separator/>
      </w:r>
    </w:p>
  </w:endnote>
  <w:endnote w:type="continuationSeparator" w:id="0">
    <w:p w14:paraId="01B33B66" w14:textId="77777777" w:rsidR="00991455" w:rsidRDefault="00991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dobe Garamond Pro">
    <w:charset w:val="00"/>
    <w:family w:val="auto"/>
    <w:pitch w:val="variable"/>
    <w:sig w:usb0="00000007" w:usb1="00000001" w:usb2="00000000" w:usb3="00000000" w:csb0="00000093" w:csb1="00000000"/>
  </w:font>
  <w:font w:name="Trebuchet MS">
    <w:panose1 w:val="020B0603020202020204"/>
    <w:charset w:val="CC"/>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Helvetica">
    <w:panose1 w:val="020B0604020202020204"/>
    <w:charset w:val="00"/>
    <w:family w:val="swiss"/>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Roman">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DBCD8" w14:textId="007EF0EF" w:rsidR="00A93E5E" w:rsidRDefault="00A93E5E" w:rsidP="004622EC">
    <w:pPr>
      <w:pStyle w:val="a7"/>
      <w:pBdr>
        <w:top w:val="single" w:sz="4" w:space="1" w:color="D9D9D9"/>
      </w:pBdr>
      <w:jc w:val="right"/>
    </w:pPr>
    <w:r>
      <w:fldChar w:fldCharType="begin"/>
    </w:r>
    <w:r>
      <w:instrText xml:space="preserve"> PAGE   \* MERGEFORMAT </w:instrText>
    </w:r>
    <w:r>
      <w:fldChar w:fldCharType="separate"/>
    </w:r>
    <w:r w:rsidR="00AA15A7">
      <w:rPr>
        <w:noProof/>
      </w:rPr>
      <w:t>ii</w:t>
    </w:r>
    <w:r>
      <w:rPr>
        <w:noProof/>
      </w:rPr>
      <w:fldChar w:fldCharType="end"/>
    </w:r>
    <w:r>
      <w:t xml:space="preserve"> | </w:t>
    </w:r>
    <w:r w:rsidRPr="0003763F">
      <w:rPr>
        <w:color w:val="7F7F7F"/>
        <w:spacing w:val="60"/>
      </w:rPr>
      <w:t>Page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A865A" w14:textId="77777777" w:rsidR="00A93E5E" w:rsidRDefault="00A93E5E" w:rsidP="00FD3A8F">
    <w:pPr>
      <w:pStyle w:val="a5"/>
    </w:pPr>
  </w:p>
  <w:p w14:paraId="18511B51" w14:textId="16130116" w:rsidR="00A93E5E" w:rsidRDefault="00A93E5E" w:rsidP="004622EC">
    <w:pPr>
      <w:pStyle w:val="a7"/>
      <w:pBdr>
        <w:top w:val="single" w:sz="4" w:space="1" w:color="D9D9D9"/>
      </w:pBdr>
      <w:tabs>
        <w:tab w:val="left" w:pos="14670"/>
      </w:tabs>
      <w:ind w:right="830"/>
      <w:jc w:val="right"/>
    </w:pPr>
    <w:r>
      <w:fldChar w:fldCharType="begin"/>
    </w:r>
    <w:r>
      <w:instrText xml:space="preserve"> PAGE   \* MERGEFORMAT </w:instrText>
    </w:r>
    <w:r>
      <w:fldChar w:fldCharType="separate"/>
    </w:r>
    <w:r w:rsidR="00AF3F97">
      <w:rPr>
        <w:noProof/>
      </w:rPr>
      <w:t>67</w:t>
    </w:r>
    <w:r>
      <w:rPr>
        <w:noProof/>
      </w:rPr>
      <w:fldChar w:fldCharType="end"/>
    </w:r>
    <w:r>
      <w:t xml:space="preserve"> | </w:t>
    </w:r>
    <w:r w:rsidRPr="0003763F">
      <w:rPr>
        <w:color w:val="7F7F7F"/>
        <w:spacing w:val="60"/>
      </w:rPr>
      <w:t>Page</w:t>
    </w:r>
  </w:p>
  <w:p w14:paraId="7A91A633" w14:textId="77777777" w:rsidR="00A93E5E" w:rsidRDefault="00A93E5E" w:rsidP="00FD3A8F">
    <w:pPr>
      <w:pStyle w:val="a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CE28C" w14:textId="77777777" w:rsidR="00A93E5E" w:rsidRDefault="00A93E5E" w:rsidP="00C04DD0">
    <w:pPr>
      <w:pStyle w:val="a7"/>
      <w:framePr w:wrap="around" w:vAnchor="text" w:hAnchor="margin" w:xAlign="right" w:y="1"/>
      <w:rPr>
        <w:rStyle w:val="a9"/>
        <w:b/>
        <w:bCs/>
      </w:rPr>
    </w:pPr>
    <w:r>
      <w:rPr>
        <w:rStyle w:val="a9"/>
      </w:rPr>
      <w:fldChar w:fldCharType="begin"/>
    </w:r>
    <w:r>
      <w:rPr>
        <w:rStyle w:val="a9"/>
      </w:rPr>
      <w:instrText xml:space="preserve">PAGE  </w:instrText>
    </w:r>
    <w:r>
      <w:rPr>
        <w:rStyle w:val="a9"/>
      </w:rPr>
      <w:fldChar w:fldCharType="end"/>
    </w:r>
  </w:p>
  <w:p w14:paraId="5E3BDBE4" w14:textId="77777777" w:rsidR="00A93E5E" w:rsidRDefault="00A93E5E">
    <w:pPr>
      <w:pStyle w:val="a7"/>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04BDD" w14:textId="77777777" w:rsidR="00A93E5E" w:rsidRDefault="00A93E5E" w:rsidP="00B853DE">
    <w:pPr>
      <w:pStyle w:val="a5"/>
    </w:pPr>
  </w:p>
  <w:p w14:paraId="658B1A33" w14:textId="28B59904" w:rsidR="00A93E5E" w:rsidRDefault="00A93E5E" w:rsidP="00B853DE">
    <w:pPr>
      <w:pStyle w:val="a7"/>
      <w:pBdr>
        <w:top w:val="single" w:sz="4" w:space="1" w:color="D9D9D9"/>
      </w:pBdr>
      <w:jc w:val="right"/>
    </w:pPr>
    <w:r>
      <w:fldChar w:fldCharType="begin"/>
    </w:r>
    <w:r>
      <w:instrText xml:space="preserve"> PAGE   \* MERGEFORMAT </w:instrText>
    </w:r>
    <w:r>
      <w:fldChar w:fldCharType="separate"/>
    </w:r>
    <w:r w:rsidR="00AF3F97">
      <w:rPr>
        <w:noProof/>
      </w:rPr>
      <w:t>79</w:t>
    </w:r>
    <w:r>
      <w:rPr>
        <w:noProof/>
      </w:rPr>
      <w:fldChar w:fldCharType="end"/>
    </w:r>
    <w:r>
      <w:t xml:space="preserve"> | </w:t>
    </w:r>
    <w:r w:rsidRPr="0003763F">
      <w:rPr>
        <w:color w:val="7F7F7F"/>
        <w:spacing w:val="60"/>
      </w:rPr>
      <w:t>Page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2317"/>
      <w:gridCol w:w="8103"/>
    </w:tblGrid>
    <w:tr w:rsidR="00A93E5E" w14:paraId="09489BBF" w14:textId="77777777">
      <w:trPr>
        <w:trHeight w:val="426"/>
      </w:trPr>
      <w:tc>
        <w:tcPr>
          <w:tcW w:w="2317" w:type="dxa"/>
        </w:tcPr>
        <w:p w14:paraId="5289CB34" w14:textId="77777777" w:rsidR="00A93E5E" w:rsidRDefault="00A93E5E" w:rsidP="00C04DD0">
          <w:pPr>
            <w:pStyle w:val="a5"/>
          </w:pPr>
        </w:p>
      </w:tc>
      <w:tc>
        <w:tcPr>
          <w:tcW w:w="8103" w:type="dxa"/>
        </w:tcPr>
        <w:p w14:paraId="0B4560F6" w14:textId="77777777" w:rsidR="00A93E5E" w:rsidRDefault="00A93E5E" w:rsidP="00C04DD0">
          <w:pPr>
            <w:pStyle w:val="a5"/>
            <w:rPr>
              <w:rFonts w:cs="Arial"/>
              <w:szCs w:val="22"/>
            </w:rPr>
          </w:pPr>
        </w:p>
        <w:p w14:paraId="7FA57363" w14:textId="77777777" w:rsidR="00A93E5E" w:rsidRDefault="00A93E5E" w:rsidP="00C04DD0">
          <w:pPr>
            <w:pStyle w:val="a5"/>
          </w:pPr>
          <w:r>
            <w:rPr>
              <w:rFonts w:cs="Arial"/>
              <w:color w:val="0000FF"/>
              <w:szCs w:val="22"/>
              <w:lang w:val="fr-FR"/>
            </w:rPr>
            <w:t xml:space="preserve"> </w:t>
          </w:r>
        </w:p>
      </w:tc>
    </w:tr>
  </w:tbl>
  <w:p w14:paraId="418BAEC0" w14:textId="77777777" w:rsidR="00A93E5E" w:rsidRDefault="00A93E5E" w:rsidP="00C04DD0">
    <w:pPr>
      <w:pStyle w:val="a7"/>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41298" w14:textId="77777777" w:rsidR="00A93E5E" w:rsidRDefault="00A93E5E" w:rsidP="00FD3A8F">
    <w:pPr>
      <w:pStyle w:val="a5"/>
    </w:pPr>
  </w:p>
  <w:p w14:paraId="5C6A0E82" w14:textId="064309B8" w:rsidR="00A93E5E" w:rsidRDefault="00A93E5E" w:rsidP="004622EC">
    <w:pPr>
      <w:pStyle w:val="a7"/>
      <w:pBdr>
        <w:top w:val="single" w:sz="4" w:space="1" w:color="D9D9D9"/>
      </w:pBdr>
      <w:tabs>
        <w:tab w:val="left" w:pos="14670"/>
      </w:tabs>
      <w:ind w:right="830"/>
      <w:jc w:val="right"/>
    </w:pPr>
    <w:r>
      <w:fldChar w:fldCharType="begin"/>
    </w:r>
    <w:r>
      <w:instrText xml:space="preserve"> PAGE   \* MERGEFORMAT </w:instrText>
    </w:r>
    <w:r>
      <w:fldChar w:fldCharType="separate"/>
    </w:r>
    <w:r w:rsidR="00AF3F97">
      <w:rPr>
        <w:noProof/>
      </w:rPr>
      <w:t>106</w:t>
    </w:r>
    <w:r>
      <w:rPr>
        <w:noProof/>
      </w:rPr>
      <w:fldChar w:fldCharType="end"/>
    </w:r>
    <w:r>
      <w:t xml:space="preserve"> | </w:t>
    </w:r>
    <w:r w:rsidRPr="0003763F">
      <w:rPr>
        <w:color w:val="7F7F7F"/>
        <w:spacing w:val="60"/>
      </w:rPr>
      <w:t>Page</w:t>
    </w:r>
  </w:p>
  <w:p w14:paraId="6BBB8164" w14:textId="77777777" w:rsidR="00A93E5E" w:rsidRDefault="00A93E5E" w:rsidP="00FD3A8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985C0" w14:textId="13358510" w:rsidR="00A93E5E" w:rsidRDefault="00A93E5E" w:rsidP="0003763F">
    <w:pPr>
      <w:pStyle w:val="a7"/>
      <w:pBdr>
        <w:top w:val="single" w:sz="4" w:space="1" w:color="D9D9D9"/>
      </w:pBdr>
      <w:jc w:val="right"/>
    </w:pPr>
    <w:r>
      <w:fldChar w:fldCharType="begin"/>
    </w:r>
    <w:r>
      <w:instrText xml:space="preserve"> PAGE   \* MERGEFORMAT </w:instrText>
    </w:r>
    <w:r>
      <w:fldChar w:fldCharType="separate"/>
    </w:r>
    <w:r w:rsidR="00AF3F97">
      <w:rPr>
        <w:noProof/>
      </w:rPr>
      <w:t>34</w:t>
    </w:r>
    <w:r>
      <w:rPr>
        <w:noProof/>
      </w:rPr>
      <w:fldChar w:fldCharType="end"/>
    </w:r>
    <w:r>
      <w:t xml:space="preserve"> | </w:t>
    </w:r>
    <w:r w:rsidRPr="0003763F">
      <w:rPr>
        <w:color w:val="7F7F7F"/>
        <w:spacing w:val="60"/>
      </w:rPr>
      <w:t>Page</w:t>
    </w:r>
  </w:p>
  <w:p w14:paraId="7EACF515" w14:textId="77777777" w:rsidR="00A93E5E" w:rsidRDefault="00A93E5E">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6C006" w14:textId="0D2B2F85" w:rsidR="00A93E5E" w:rsidRDefault="00A93E5E" w:rsidP="00DD472A">
    <w:pPr>
      <w:pStyle w:val="a7"/>
      <w:pBdr>
        <w:top w:val="single" w:sz="4" w:space="1" w:color="D9D9D9"/>
      </w:pBdr>
      <w:tabs>
        <w:tab w:val="left" w:pos="345"/>
        <w:tab w:val="right" w:pos="9360"/>
      </w:tabs>
      <w:jc w:val="left"/>
    </w:pPr>
    <w:r>
      <w:tab/>
    </w:r>
    <w:r>
      <w:tab/>
    </w:r>
    <w:r>
      <w:tab/>
    </w:r>
    <w:r>
      <w:tab/>
    </w:r>
    <w:r>
      <w:fldChar w:fldCharType="begin"/>
    </w:r>
    <w:r>
      <w:instrText xml:space="preserve"> PAGE   \* MERGEFORMAT </w:instrText>
    </w:r>
    <w:r>
      <w:fldChar w:fldCharType="separate"/>
    </w:r>
    <w:r w:rsidR="00AF3F97">
      <w:rPr>
        <w:noProof/>
      </w:rPr>
      <w:t>1</w:t>
    </w:r>
    <w:r>
      <w:rPr>
        <w:noProof/>
      </w:rPr>
      <w:fldChar w:fldCharType="end"/>
    </w:r>
    <w:r>
      <w:t xml:space="preserve"> | </w:t>
    </w:r>
    <w:r w:rsidRPr="00DD472A">
      <w:rPr>
        <w:color w:val="7F7F7F"/>
        <w:spacing w:val="60"/>
      </w:rPr>
      <w:t>Page</w:t>
    </w:r>
  </w:p>
  <w:p w14:paraId="11E17276" w14:textId="77777777" w:rsidR="00A93E5E" w:rsidRDefault="00A93E5E" w:rsidP="00CA6A37">
    <w:pPr>
      <w:pStyle w:val="a7"/>
      <w:pBdr>
        <w:top w:val="single" w:sz="4" w:space="1" w:color="D9D9D9"/>
      </w:pBdr>
      <w:tabs>
        <w:tab w:val="left" w:pos="345"/>
        <w:tab w:val="right" w:pos="9360"/>
      </w:tabs>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7E398" w14:textId="0E0FE940" w:rsidR="00A93E5E" w:rsidRDefault="00A93E5E" w:rsidP="00557168">
    <w:pPr>
      <w:pStyle w:val="a7"/>
      <w:pBdr>
        <w:top w:val="single" w:sz="4" w:space="1" w:color="D9D9D9"/>
      </w:pBdr>
      <w:ind w:right="1090"/>
      <w:jc w:val="right"/>
    </w:pPr>
    <w:r>
      <w:fldChar w:fldCharType="begin"/>
    </w:r>
    <w:r>
      <w:instrText xml:space="preserve"> PAGE   \* MERGEFORMAT </w:instrText>
    </w:r>
    <w:r>
      <w:fldChar w:fldCharType="separate"/>
    </w:r>
    <w:r w:rsidR="00AF3F97">
      <w:rPr>
        <w:noProof/>
      </w:rPr>
      <w:t>37</w:t>
    </w:r>
    <w:r>
      <w:rPr>
        <w:noProof/>
      </w:rPr>
      <w:fldChar w:fldCharType="end"/>
    </w:r>
    <w:r>
      <w:t xml:space="preserve"> | </w:t>
    </w:r>
    <w:r w:rsidRPr="0003763F">
      <w:rPr>
        <w:color w:val="7F7F7F"/>
        <w:spacing w:val="60"/>
      </w:rPr>
      <w:t>Page</w:t>
    </w:r>
  </w:p>
  <w:p w14:paraId="46C2EEFF" w14:textId="77777777" w:rsidR="00A93E5E" w:rsidRDefault="00A93E5E">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BE5F5" w14:textId="08F371BE" w:rsidR="00A93E5E" w:rsidRDefault="00A93E5E" w:rsidP="004622EC">
    <w:pPr>
      <w:pStyle w:val="a7"/>
      <w:pBdr>
        <w:top w:val="single" w:sz="4" w:space="1" w:color="D9D9D9"/>
      </w:pBdr>
      <w:tabs>
        <w:tab w:val="left" w:pos="345"/>
        <w:tab w:val="right" w:pos="9360"/>
      </w:tabs>
      <w:ind w:right="1090"/>
      <w:jc w:val="right"/>
    </w:pPr>
    <w:r>
      <w:tab/>
    </w:r>
    <w:r>
      <w:tab/>
    </w:r>
    <w:r>
      <w:tab/>
    </w:r>
    <w:r>
      <w:tab/>
    </w:r>
    <w:r>
      <w:fldChar w:fldCharType="begin"/>
    </w:r>
    <w:r>
      <w:instrText xml:space="preserve"> PAGE   \* MERGEFORMAT </w:instrText>
    </w:r>
    <w:r>
      <w:fldChar w:fldCharType="separate"/>
    </w:r>
    <w:r w:rsidR="00AF3F97">
      <w:rPr>
        <w:noProof/>
      </w:rPr>
      <w:t>35</w:t>
    </w:r>
    <w:r>
      <w:rPr>
        <w:noProof/>
      </w:rPr>
      <w:fldChar w:fldCharType="end"/>
    </w:r>
    <w:r>
      <w:t xml:space="preserve"> | </w:t>
    </w:r>
    <w:r w:rsidRPr="00DD472A">
      <w:rPr>
        <w:color w:val="7F7F7F"/>
        <w:spacing w:val="60"/>
      </w:rPr>
      <w:t>Page</w:t>
    </w:r>
  </w:p>
  <w:p w14:paraId="1DF1A3F3" w14:textId="77777777" w:rsidR="00A93E5E" w:rsidRDefault="00A93E5E">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1CBCF" w14:textId="77777777" w:rsidR="00A93E5E" w:rsidRDefault="00A93E5E" w:rsidP="00FD3A8F">
    <w:pPr>
      <w:pStyle w:val="a5"/>
    </w:pPr>
  </w:p>
  <w:p w14:paraId="61F4C24D" w14:textId="43F7FA7A" w:rsidR="00A93E5E" w:rsidRDefault="00A93E5E" w:rsidP="004622EC">
    <w:pPr>
      <w:pStyle w:val="a7"/>
      <w:pBdr>
        <w:top w:val="single" w:sz="4" w:space="1" w:color="D9D9D9"/>
      </w:pBdr>
      <w:tabs>
        <w:tab w:val="left" w:pos="14670"/>
      </w:tabs>
      <w:ind w:right="-80"/>
      <w:jc w:val="right"/>
    </w:pPr>
    <w:r>
      <w:fldChar w:fldCharType="begin"/>
    </w:r>
    <w:r>
      <w:instrText xml:space="preserve"> PAGE   \* MERGEFORMAT </w:instrText>
    </w:r>
    <w:r>
      <w:fldChar w:fldCharType="separate"/>
    </w:r>
    <w:r w:rsidR="00AF3F97">
      <w:rPr>
        <w:noProof/>
      </w:rPr>
      <w:t>48</w:t>
    </w:r>
    <w:r>
      <w:rPr>
        <w:noProof/>
      </w:rPr>
      <w:fldChar w:fldCharType="end"/>
    </w:r>
    <w:r>
      <w:t xml:space="preserve"> | </w:t>
    </w:r>
    <w:r w:rsidRPr="0003763F">
      <w:rPr>
        <w:color w:val="7F7F7F"/>
        <w:spacing w:val="60"/>
      </w:rPr>
      <w:t>Page</w:t>
    </w:r>
  </w:p>
  <w:p w14:paraId="05CEF8B7" w14:textId="77777777" w:rsidR="00A93E5E" w:rsidRDefault="00A93E5E" w:rsidP="00FD3A8F">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1C3EF" w14:textId="603F5592" w:rsidR="00A93E5E" w:rsidRDefault="00A93E5E" w:rsidP="00557168">
    <w:pPr>
      <w:pStyle w:val="a7"/>
      <w:pBdr>
        <w:top w:val="single" w:sz="4" w:space="1" w:color="D9D9D9"/>
      </w:pBdr>
      <w:jc w:val="right"/>
    </w:pPr>
    <w:r>
      <w:fldChar w:fldCharType="begin"/>
    </w:r>
    <w:r>
      <w:instrText xml:space="preserve"> PAGE   \* MERGEFORMAT </w:instrText>
    </w:r>
    <w:r>
      <w:fldChar w:fldCharType="separate"/>
    </w:r>
    <w:r w:rsidR="00AF3F97">
      <w:rPr>
        <w:noProof/>
      </w:rPr>
      <w:t>38</w:t>
    </w:r>
    <w:r>
      <w:rPr>
        <w:noProof/>
      </w:rPr>
      <w:fldChar w:fldCharType="end"/>
    </w:r>
    <w:r>
      <w:t xml:space="preserve"> | </w:t>
    </w:r>
    <w:r w:rsidRPr="0003763F">
      <w:rPr>
        <w:color w:val="7F7F7F"/>
        <w:spacing w:val="60"/>
      </w:rPr>
      <w:t>Page</w:t>
    </w:r>
  </w:p>
  <w:p w14:paraId="42F68975" w14:textId="77777777" w:rsidR="00A93E5E" w:rsidRDefault="00A93E5E">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BE1FB" w14:textId="77777777" w:rsidR="00A93E5E" w:rsidRDefault="00A93E5E" w:rsidP="00FD3A8F">
    <w:pPr>
      <w:pStyle w:val="a5"/>
    </w:pPr>
  </w:p>
  <w:p w14:paraId="68692902" w14:textId="7C14E6E7" w:rsidR="00A93E5E" w:rsidRDefault="00A93E5E" w:rsidP="00F879E1">
    <w:pPr>
      <w:pStyle w:val="a7"/>
      <w:pBdr>
        <w:top w:val="single" w:sz="4" w:space="1" w:color="D9D9D9"/>
      </w:pBdr>
      <w:tabs>
        <w:tab w:val="left" w:pos="14670"/>
      </w:tabs>
      <w:ind w:right="-80"/>
      <w:jc w:val="right"/>
    </w:pPr>
    <w:r>
      <w:fldChar w:fldCharType="begin"/>
    </w:r>
    <w:r>
      <w:instrText xml:space="preserve"> PAGE   \* MERGEFORMAT </w:instrText>
    </w:r>
    <w:r>
      <w:fldChar w:fldCharType="separate"/>
    </w:r>
    <w:r w:rsidR="00AF3F97">
      <w:rPr>
        <w:noProof/>
      </w:rPr>
      <w:t>62</w:t>
    </w:r>
    <w:r>
      <w:rPr>
        <w:noProof/>
      </w:rPr>
      <w:fldChar w:fldCharType="end"/>
    </w:r>
    <w:r>
      <w:t xml:space="preserve"> | </w:t>
    </w:r>
    <w:r w:rsidRPr="0003763F">
      <w:rPr>
        <w:color w:val="7F7F7F"/>
        <w:spacing w:val="60"/>
      </w:rPr>
      <w:t>Page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205A9" w14:textId="7E28941D" w:rsidR="00A93E5E" w:rsidRDefault="00A93E5E" w:rsidP="00F879E1">
    <w:pPr>
      <w:pStyle w:val="a7"/>
      <w:pBdr>
        <w:top w:val="single" w:sz="4" w:space="1" w:color="D9D9D9"/>
      </w:pBdr>
      <w:jc w:val="right"/>
    </w:pPr>
    <w:r>
      <w:fldChar w:fldCharType="begin"/>
    </w:r>
    <w:r>
      <w:instrText xml:space="preserve"> PAGE   \* MERGEFORMAT </w:instrText>
    </w:r>
    <w:r>
      <w:fldChar w:fldCharType="separate"/>
    </w:r>
    <w:r w:rsidR="00AF3F97">
      <w:rPr>
        <w:noProof/>
      </w:rPr>
      <w:t>63</w:t>
    </w:r>
    <w:r>
      <w:rPr>
        <w:noProof/>
      </w:rPr>
      <w:fldChar w:fldCharType="end"/>
    </w:r>
    <w:r>
      <w:t xml:space="preserve"> | </w:t>
    </w:r>
    <w:r w:rsidRPr="0003763F">
      <w:rPr>
        <w:color w:val="7F7F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23ADE" w14:textId="77777777" w:rsidR="00991455" w:rsidRDefault="00991455">
      <w:r>
        <w:separator/>
      </w:r>
    </w:p>
  </w:footnote>
  <w:footnote w:type="continuationSeparator" w:id="0">
    <w:p w14:paraId="36555F99" w14:textId="77777777" w:rsidR="00991455" w:rsidRDefault="00991455">
      <w:r>
        <w:continuationSeparator/>
      </w:r>
    </w:p>
  </w:footnote>
  <w:footnote w:id="1">
    <w:p w14:paraId="3E53F75B" w14:textId="77777777" w:rsidR="00A93E5E" w:rsidRPr="00D32A30" w:rsidRDefault="00A93E5E">
      <w:pPr>
        <w:pStyle w:val="aa"/>
        <w:rPr>
          <w:lang w:val="en-GB"/>
        </w:rPr>
      </w:pPr>
      <w:r>
        <w:rPr>
          <w:rStyle w:val="afa"/>
        </w:rPr>
        <w:footnoteRef/>
      </w:r>
      <w:r>
        <w:t xml:space="preserve"> </w:t>
      </w:r>
      <w:r w:rsidRPr="0083143D">
        <w:rPr>
          <w:rFonts w:ascii="Calibri" w:hAnsi="Calibri"/>
          <w:sz w:val="16"/>
          <w:szCs w:val="16"/>
        </w:rPr>
        <w:t xml:space="preserve">From </w:t>
      </w:r>
      <w:hyperlink r:id="rId1" w:history="1">
        <w:r w:rsidRPr="0083143D">
          <w:rPr>
            <w:rStyle w:val="ae"/>
            <w:rFonts w:ascii="Calibri" w:hAnsi="Calibri"/>
            <w:sz w:val="16"/>
            <w:szCs w:val="16"/>
          </w:rPr>
          <w:t>http://energo.gov.kz/index.php?id=5472</w:t>
        </w:r>
      </w:hyperlink>
      <w:r w:rsidRPr="0083143D">
        <w:rPr>
          <w:rFonts w:ascii="Calibri" w:hAnsi="Calibri"/>
          <w:sz w:val="16"/>
          <w:szCs w:val="16"/>
        </w:rPr>
        <w:t>, retrieved from January-March 2016</w:t>
      </w:r>
    </w:p>
  </w:footnote>
  <w:footnote w:id="2">
    <w:p w14:paraId="3645428A" w14:textId="77777777" w:rsidR="00A93E5E" w:rsidRPr="004622EC" w:rsidRDefault="00A93E5E" w:rsidP="00D81F7A">
      <w:pPr>
        <w:pStyle w:val="aa"/>
        <w:ind w:right="208"/>
        <w:rPr>
          <w:rFonts w:ascii="Calibri" w:hAnsi="Calibri"/>
        </w:rPr>
      </w:pPr>
      <w:r>
        <w:rPr>
          <w:rStyle w:val="afa"/>
        </w:rPr>
        <w:footnoteRef/>
      </w:r>
      <w:r>
        <w:t xml:space="preserve"> </w:t>
      </w:r>
      <w:r w:rsidRPr="004622EC">
        <w:rPr>
          <w:rFonts w:ascii="Calibri" w:hAnsi="Calibri" w:cs="Arial"/>
          <w:sz w:val="18"/>
          <w:szCs w:val="18"/>
          <w:lang w:val="en-GB"/>
        </w:rPr>
        <w:t>The originally established FiT, adopted in 2014, for wind was KZT 22.68 per kWh and for solar - KZT 34.61 per kWh (USD 0.12 and USD 0.19 respectively in January 2015). Solar projects with a capacity of up to 37 MW using locally produced modules are entitled for a special tariff of KZT 70 per kWh (US$ 0.38 in January 2015).</w:t>
      </w:r>
    </w:p>
  </w:footnote>
  <w:footnote w:id="3">
    <w:p w14:paraId="1A1671DD" w14:textId="77777777" w:rsidR="00A93E5E" w:rsidRPr="004622EC" w:rsidRDefault="00A93E5E" w:rsidP="00D81F7A">
      <w:pPr>
        <w:pStyle w:val="aa"/>
        <w:ind w:right="208"/>
        <w:rPr>
          <w:rFonts w:ascii="Calibri" w:hAnsi="Calibri"/>
        </w:rPr>
      </w:pPr>
      <w:r w:rsidRPr="004622EC">
        <w:rPr>
          <w:rStyle w:val="afa"/>
          <w:rFonts w:ascii="Calibri" w:hAnsi="Calibri"/>
        </w:rPr>
        <w:footnoteRef/>
      </w:r>
      <w:r w:rsidRPr="004622EC">
        <w:rPr>
          <w:rFonts w:ascii="Calibri" w:hAnsi="Calibri"/>
        </w:rPr>
        <w:t xml:space="preserve"> </w:t>
      </w:r>
      <w:r w:rsidRPr="004622EC">
        <w:rPr>
          <w:rFonts w:ascii="Calibri" w:hAnsi="Calibri" w:cs="Arial"/>
          <w:sz w:val="18"/>
        </w:rPr>
        <w:t xml:space="preserve">The RES law specifies two tariffs:  fixed tariffs established for solar, wind, </w:t>
      </w:r>
      <w:r w:rsidRPr="002B343A">
        <w:rPr>
          <w:rFonts w:ascii="Calibri" w:hAnsi="Calibri" w:cs="Arial"/>
          <w:sz w:val="18"/>
        </w:rPr>
        <w:t>etc.</w:t>
      </w:r>
      <w:r w:rsidRPr="004622EC">
        <w:rPr>
          <w:rFonts w:ascii="Calibri" w:hAnsi="Calibri" w:cs="Arial"/>
          <w:sz w:val="18"/>
        </w:rPr>
        <w:t>, which is used by the Settlement Center in the PPA when acquiring the power from the RE producers; and feed-in-</w:t>
      </w:r>
      <w:r w:rsidRPr="002B343A">
        <w:rPr>
          <w:rFonts w:ascii="Calibri" w:hAnsi="Calibri" w:cs="Arial"/>
          <w:sz w:val="18"/>
        </w:rPr>
        <w:t>tariff</w:t>
      </w:r>
      <w:r w:rsidRPr="004622EC">
        <w:rPr>
          <w:rFonts w:ascii="Calibri" w:hAnsi="Calibri" w:cs="Arial"/>
          <w:sz w:val="18"/>
        </w:rPr>
        <w:t xml:space="preserve"> – which is used by the Settlement Center for further sale of acquired RE power to the traditional energy companies. In this connection, the terminology on FiT used worldwide and the terminology used in Kazakhstan RES law may not be the same.</w:t>
      </w:r>
    </w:p>
  </w:footnote>
  <w:footnote w:id="4">
    <w:p w14:paraId="6A1AFAEF" w14:textId="77777777" w:rsidR="00A93E5E" w:rsidRPr="004622EC" w:rsidRDefault="00A93E5E" w:rsidP="00A54B94">
      <w:pPr>
        <w:pStyle w:val="aa"/>
        <w:rPr>
          <w:rFonts w:ascii="Calibri" w:hAnsi="Calibri"/>
        </w:rPr>
      </w:pPr>
      <w:r w:rsidRPr="004622EC">
        <w:rPr>
          <w:rStyle w:val="afa"/>
          <w:rFonts w:ascii="Calibri" w:hAnsi="Calibri"/>
        </w:rPr>
        <w:footnoteRef/>
      </w:r>
      <w:r w:rsidRPr="004622EC">
        <w:rPr>
          <w:rFonts w:ascii="Calibri" w:hAnsi="Calibri" w:cs="Arial"/>
          <w:sz w:val="18"/>
        </w:rPr>
        <w:t xml:space="preserve"> Detailed information about DREI is available at www.undp.org/drei</w:t>
      </w:r>
    </w:p>
  </w:footnote>
  <w:footnote w:id="5">
    <w:p w14:paraId="6EBC5CE4" w14:textId="692AEA06" w:rsidR="00A93E5E" w:rsidRPr="00F30B51" w:rsidRDefault="00A93E5E" w:rsidP="00F30B51">
      <w:pPr>
        <w:pStyle w:val="aa"/>
        <w:contextualSpacing/>
        <w:rPr>
          <w:rFonts w:asciiTheme="majorHAnsi" w:hAnsiTheme="majorHAnsi"/>
          <w:sz w:val="18"/>
          <w:szCs w:val="18"/>
        </w:rPr>
      </w:pPr>
      <w:r>
        <w:rPr>
          <w:rStyle w:val="afa"/>
        </w:rPr>
        <w:footnoteRef/>
      </w:r>
      <w:r>
        <w:t xml:space="preserve"> </w:t>
      </w:r>
      <w:r w:rsidRPr="00F30B51">
        <w:rPr>
          <w:rFonts w:asciiTheme="majorHAnsi" w:hAnsiTheme="majorHAnsi"/>
          <w:sz w:val="18"/>
          <w:szCs w:val="18"/>
        </w:rPr>
        <w:t>Equity investors in renewable energy typically have greater exposure to development risks. The modelling uses the full set of 9 risk categories for equity investors. The ‘permits risk’ and ‘financing risk’ categories are removed for debt investors, assuming that banks will have prerequisites, such as having licenses, technical feasibility studies, and equity financing in place, before considering a funding request. As such, the modelling uses 7 risk categories for debt investors.</w:t>
      </w:r>
    </w:p>
  </w:footnote>
  <w:footnote w:id="6">
    <w:p w14:paraId="4659F2C6" w14:textId="77777777" w:rsidR="00A93E5E" w:rsidRPr="00682134" w:rsidRDefault="00A93E5E" w:rsidP="00F30B51">
      <w:pPr>
        <w:pStyle w:val="aa"/>
        <w:contextualSpacing/>
        <w:rPr>
          <w:rFonts w:asciiTheme="majorHAnsi" w:hAnsiTheme="majorHAnsi"/>
          <w:sz w:val="18"/>
          <w:szCs w:val="18"/>
        </w:rPr>
      </w:pPr>
      <w:r w:rsidRPr="00682134">
        <w:rPr>
          <w:rStyle w:val="afa"/>
          <w:szCs w:val="18"/>
        </w:rPr>
        <w:footnoteRef/>
      </w:r>
      <w:r w:rsidRPr="00682134">
        <w:rPr>
          <w:sz w:val="18"/>
          <w:szCs w:val="18"/>
        </w:rPr>
        <w:t xml:space="preserve"> </w:t>
      </w:r>
      <w:r w:rsidRPr="00682134">
        <w:rPr>
          <w:rFonts w:asciiTheme="majorHAnsi" w:hAnsiTheme="majorHAnsi"/>
          <w:sz w:val="18"/>
          <w:szCs w:val="18"/>
        </w:rPr>
        <w:t xml:space="preserve">Different methodological approaches (e.g., face value, reserve, cost, no-cost) may be taken to costing financial derisking instruments. Here, a cost approach has been taken for the ‘take or pay clause in PPA’, ‘government guarantee for PPA’, and ‘currency indexation’, totaling USD </w:t>
      </w:r>
      <w:r>
        <w:rPr>
          <w:rFonts w:asciiTheme="majorHAnsi" w:hAnsiTheme="majorHAnsi"/>
          <w:sz w:val="18"/>
          <w:szCs w:val="18"/>
        </w:rPr>
        <w:t xml:space="preserve">116.5 </w:t>
      </w:r>
      <w:r w:rsidRPr="00682134">
        <w:rPr>
          <w:rFonts w:asciiTheme="majorHAnsi" w:hAnsiTheme="majorHAnsi"/>
          <w:sz w:val="18"/>
          <w:szCs w:val="18"/>
        </w:rPr>
        <w:t xml:space="preserve">m; a reserve approach has been taken for ‘public loans’, totaling USD </w:t>
      </w:r>
      <w:r>
        <w:rPr>
          <w:rFonts w:asciiTheme="majorHAnsi" w:hAnsiTheme="majorHAnsi"/>
          <w:sz w:val="18"/>
          <w:szCs w:val="18"/>
        </w:rPr>
        <w:t>152.</w:t>
      </w:r>
      <w:r w:rsidRPr="0012042E">
        <w:rPr>
          <w:rFonts w:asciiTheme="majorHAnsi" w:hAnsiTheme="majorHAnsi"/>
          <w:sz w:val="18"/>
          <w:szCs w:val="18"/>
        </w:rPr>
        <w:t>8</w:t>
      </w:r>
      <w:r>
        <w:rPr>
          <w:rFonts w:asciiTheme="majorHAnsi" w:hAnsiTheme="majorHAnsi"/>
          <w:sz w:val="18"/>
          <w:szCs w:val="18"/>
        </w:rPr>
        <w:t xml:space="preserve"> </w:t>
      </w:r>
      <w:r w:rsidRPr="00682134">
        <w:rPr>
          <w:rFonts w:asciiTheme="majorHAnsi" w:hAnsiTheme="majorHAnsi"/>
          <w:sz w:val="18"/>
          <w:szCs w:val="18"/>
        </w:rPr>
        <w:t>m</w:t>
      </w:r>
    </w:p>
  </w:footnote>
  <w:footnote w:id="7">
    <w:p w14:paraId="03C36FDA" w14:textId="77777777" w:rsidR="00A93E5E" w:rsidRDefault="00A93E5E" w:rsidP="00F30B51">
      <w:pPr>
        <w:pStyle w:val="aa"/>
        <w:contextualSpacing/>
      </w:pPr>
      <w:r>
        <w:rPr>
          <w:rStyle w:val="afa"/>
        </w:rPr>
        <w:footnoteRef/>
      </w:r>
      <w:r>
        <w:t xml:space="preserve"> </w:t>
      </w:r>
      <w:r>
        <w:rPr>
          <w:rFonts w:asciiTheme="majorHAnsi" w:hAnsiTheme="majorHAnsi"/>
          <w:sz w:val="18"/>
          <w:szCs w:val="18"/>
        </w:rPr>
        <w:t xml:space="preserve">As </w:t>
      </w:r>
      <w:r w:rsidRPr="00682134">
        <w:rPr>
          <w:rFonts w:asciiTheme="majorHAnsi" w:hAnsiTheme="majorHAnsi"/>
          <w:sz w:val="18"/>
          <w:szCs w:val="18"/>
        </w:rPr>
        <w:t xml:space="preserve">in the case of wind energy (see previous footnote), for solar PV, too, a cost approach has been taken for the ‘take or pay clause in PPA’,  ‘government guarantee for PPA‘, and ‘currency indexation’, totaling USD </w:t>
      </w:r>
      <w:r>
        <w:rPr>
          <w:rFonts w:asciiTheme="majorHAnsi" w:hAnsiTheme="majorHAnsi"/>
          <w:sz w:val="18"/>
          <w:szCs w:val="18"/>
        </w:rPr>
        <w:t xml:space="preserve">22.7 </w:t>
      </w:r>
      <w:r w:rsidRPr="00682134">
        <w:rPr>
          <w:rFonts w:asciiTheme="majorHAnsi" w:hAnsiTheme="majorHAnsi"/>
          <w:sz w:val="18"/>
          <w:szCs w:val="18"/>
        </w:rPr>
        <w:t>m; a reserve approach has been taken for</w:t>
      </w:r>
      <w:r>
        <w:rPr>
          <w:rFonts w:asciiTheme="majorHAnsi" w:hAnsiTheme="majorHAnsi"/>
          <w:sz w:val="18"/>
          <w:szCs w:val="18"/>
        </w:rPr>
        <w:t xml:space="preserve"> ‘public loans’, totaling USD 30.4 </w:t>
      </w:r>
      <w:r w:rsidRPr="00682134">
        <w:rPr>
          <w:rFonts w:asciiTheme="majorHAnsi" w:hAnsiTheme="majorHAnsi"/>
          <w:sz w:val="18"/>
          <w:szCs w:val="18"/>
        </w:rPr>
        <w:t>m</w:t>
      </w:r>
    </w:p>
  </w:footnote>
  <w:footnote w:id="8">
    <w:p w14:paraId="158FA86E" w14:textId="77777777" w:rsidR="00A93E5E" w:rsidRPr="00F30B51" w:rsidRDefault="00A93E5E" w:rsidP="000944AD">
      <w:pPr>
        <w:pStyle w:val="aa"/>
        <w:rPr>
          <w:rFonts w:asciiTheme="majorHAnsi" w:hAnsiTheme="majorHAnsi"/>
          <w:sz w:val="18"/>
          <w:szCs w:val="18"/>
        </w:rPr>
      </w:pPr>
      <w:r w:rsidRPr="00E24015">
        <w:rPr>
          <w:rStyle w:val="afa"/>
        </w:rPr>
        <w:footnoteRef/>
      </w:r>
      <w:r w:rsidRPr="00E24015">
        <w:t xml:space="preserve"> </w:t>
      </w:r>
      <w:r w:rsidRPr="00F30B51">
        <w:rPr>
          <w:rFonts w:asciiTheme="majorHAnsi" w:hAnsiTheme="majorHAnsi"/>
          <w:sz w:val="18"/>
          <w:szCs w:val="18"/>
        </w:rPr>
        <w:t>A “take-or-pay” clause is a clause found in a Power Purchase Agreement (PPA) that essentially allocates risk between parties in the scenario where transmission line failures or curtailment (required by the grid operator) result in the IPP being unable to deliver electricity generated by its renewable energy plant.</w:t>
      </w:r>
    </w:p>
  </w:footnote>
  <w:footnote w:id="9">
    <w:p w14:paraId="433D533C" w14:textId="77777777" w:rsidR="00A93E5E" w:rsidRDefault="00A93E5E">
      <w:pPr>
        <w:pStyle w:val="aa"/>
      </w:pPr>
      <w:r>
        <w:rPr>
          <w:rStyle w:val="afa"/>
        </w:rPr>
        <w:footnoteRef/>
      </w:r>
      <w:r>
        <w:t xml:space="preserve"> </w:t>
      </w:r>
      <w:r w:rsidRPr="00D67652">
        <w:rPr>
          <w:rFonts w:asciiTheme="majorHAnsi" w:hAnsiTheme="majorHAnsi"/>
          <w:sz w:val="18"/>
          <w:szCs w:val="18"/>
        </w:rPr>
        <w:t>Partial indexing involves tariffs in a local-currency denominated PPA being partially indexed to foreign hard currencies, such as EUR or USD. In this way, IPPs are partially protected against currency fluctuations, If a PPA bidding process is used, IPPs can be asked to specify (and effectively bid on) the maximum degree of partial indexing they require, thereby minimising the cost to the public sector.</w:t>
      </w:r>
    </w:p>
  </w:footnote>
  <w:footnote w:id="10">
    <w:p w14:paraId="22AF0562" w14:textId="2C38A77A" w:rsidR="00A93E5E" w:rsidRDefault="00A93E5E">
      <w:pPr>
        <w:pStyle w:val="aa"/>
      </w:pPr>
      <w:r>
        <w:rPr>
          <w:rStyle w:val="afa"/>
        </w:rPr>
        <w:footnoteRef/>
      </w:r>
      <w:r>
        <w:t xml:space="preserve"> </w:t>
      </w:r>
      <w:r w:rsidRPr="00FA6A16">
        <w:rPr>
          <w:rFonts w:ascii="Calibri" w:hAnsi="Calibri"/>
          <w:sz w:val="18"/>
          <w:szCs w:val="24"/>
        </w:rPr>
        <w:t xml:space="preserve">The DREI modelling follows a combined margin approach to calculating the baseline LCOE. The combined margin includes </w:t>
      </w:r>
      <w:r>
        <w:rPr>
          <w:rFonts w:ascii="Calibri" w:hAnsi="Calibri"/>
          <w:sz w:val="18"/>
          <w:szCs w:val="24"/>
        </w:rPr>
        <w:t>50</w:t>
      </w:r>
      <w:r w:rsidRPr="00FA6A16">
        <w:rPr>
          <w:rFonts w:ascii="Calibri" w:hAnsi="Calibri"/>
          <w:sz w:val="18"/>
          <w:szCs w:val="24"/>
        </w:rPr>
        <w:t xml:space="preserve">% operating margin of existing coal plants and </w:t>
      </w:r>
      <w:r>
        <w:rPr>
          <w:rFonts w:ascii="Calibri" w:hAnsi="Calibri"/>
          <w:sz w:val="18"/>
          <w:szCs w:val="24"/>
        </w:rPr>
        <w:t>50</w:t>
      </w:r>
      <w:r w:rsidRPr="00FA6A16">
        <w:rPr>
          <w:rFonts w:ascii="Calibri" w:hAnsi="Calibri"/>
          <w:sz w:val="18"/>
          <w:szCs w:val="24"/>
        </w:rPr>
        <w:t>% build margin, consisting of new coal and CCGT plants. Fuel costs are unsubsidized and are calculated following the IEA’s opportunity cost approach. This approach does not use actual fuel prices in a given country, but rather considers the option value of that fuel – if the fuel was sold on the global market (see Schmidt et al, 2012)</w:t>
      </w:r>
    </w:p>
  </w:footnote>
  <w:footnote w:id="11">
    <w:p w14:paraId="2F6E3940" w14:textId="77777777" w:rsidR="00A93E5E" w:rsidRDefault="00A93E5E" w:rsidP="00EF1EFA">
      <w:pPr>
        <w:pStyle w:val="aa"/>
      </w:pPr>
      <w:r>
        <w:rPr>
          <w:rStyle w:val="afa"/>
        </w:rPr>
        <w:footnoteRef/>
      </w:r>
      <w:r>
        <w:t xml:space="preserve"> </w:t>
      </w:r>
      <w:hyperlink r:id="rId2" w:tgtFrame="_blank" w:history="1">
        <w:r w:rsidRPr="00070BB8">
          <w:rPr>
            <w:rStyle w:val="ae"/>
            <w:rFonts w:ascii="Arial" w:eastAsia="Times New Roman" w:hAnsi="Arial" w:cs="Arial"/>
            <w:sz w:val="16"/>
            <w:szCs w:val="16"/>
          </w:rPr>
          <w:t>http://energo.gov.kz/index.php?id</w:t>
        </w:r>
      </w:hyperlink>
    </w:p>
  </w:footnote>
  <w:footnote w:id="12">
    <w:p w14:paraId="32970C04" w14:textId="77777777" w:rsidR="00A93E5E" w:rsidRPr="0003763F" w:rsidRDefault="00A93E5E" w:rsidP="00087334">
      <w:pPr>
        <w:pStyle w:val="aa"/>
        <w:rPr>
          <w:rFonts w:ascii="Calibri" w:hAnsi="Calibri" w:cs="Segoe UI"/>
          <w:color w:val="000000"/>
          <w:sz w:val="18"/>
          <w:szCs w:val="18"/>
        </w:rPr>
      </w:pPr>
      <w:r w:rsidRPr="0003763F">
        <w:rPr>
          <w:rStyle w:val="afa"/>
          <w:rFonts w:ascii="Calibri" w:hAnsi="Calibri"/>
          <w:szCs w:val="18"/>
        </w:rPr>
        <w:footnoteRef/>
      </w:r>
      <w:r w:rsidRPr="0003763F">
        <w:rPr>
          <w:rFonts w:ascii="Calibri" w:hAnsi="Calibri"/>
          <w:sz w:val="18"/>
          <w:szCs w:val="18"/>
        </w:rPr>
        <w:t xml:space="preserve"> See </w:t>
      </w:r>
      <w:hyperlink r:id="rId3" w:history="1">
        <w:r w:rsidRPr="0003763F">
          <w:rPr>
            <w:rStyle w:val="ae"/>
            <w:rFonts w:ascii="Calibri" w:hAnsi="Calibri" w:cs="Segoe UI"/>
            <w:sz w:val="18"/>
            <w:szCs w:val="18"/>
          </w:rPr>
          <w:t>https://www.thegef.org/gef/policies_guidelines</w:t>
        </w:r>
      </w:hyperlink>
    </w:p>
  </w:footnote>
  <w:footnote w:id="13">
    <w:p w14:paraId="67B4BF08" w14:textId="77777777" w:rsidR="00A93E5E" w:rsidRPr="0003763F" w:rsidRDefault="00A93E5E" w:rsidP="003D346A">
      <w:pPr>
        <w:pStyle w:val="aa"/>
        <w:rPr>
          <w:rFonts w:ascii="Calibri" w:hAnsi="Calibri" w:cs="Segoe UI"/>
          <w:color w:val="000000"/>
          <w:sz w:val="18"/>
          <w:szCs w:val="18"/>
        </w:rPr>
      </w:pPr>
      <w:r w:rsidRPr="0003763F">
        <w:rPr>
          <w:rStyle w:val="afa"/>
          <w:rFonts w:ascii="Calibri" w:hAnsi="Calibri"/>
          <w:szCs w:val="18"/>
        </w:rPr>
        <w:footnoteRef/>
      </w:r>
      <w:r w:rsidRPr="0003763F">
        <w:rPr>
          <w:rFonts w:ascii="Calibri" w:hAnsi="Calibri"/>
          <w:sz w:val="18"/>
          <w:szCs w:val="18"/>
        </w:rPr>
        <w:t xml:space="preserve"> See </w:t>
      </w:r>
      <w:hyperlink r:id="rId4" w:history="1">
        <w:r w:rsidRPr="0003763F">
          <w:rPr>
            <w:rStyle w:val="ae"/>
            <w:rFonts w:ascii="Calibri" w:hAnsi="Calibri" w:cs="Segoe UI"/>
            <w:sz w:val="18"/>
            <w:szCs w:val="18"/>
          </w:rPr>
          <w:t>https://www.thegef.org/gef/gef_agencies</w:t>
        </w:r>
      </w:hyperlink>
    </w:p>
  </w:footnote>
  <w:footnote w:id="14">
    <w:p w14:paraId="1C117DFC" w14:textId="77777777" w:rsidR="00A93E5E" w:rsidRPr="0003763F" w:rsidRDefault="00A93E5E">
      <w:pPr>
        <w:pStyle w:val="aa"/>
        <w:rPr>
          <w:rFonts w:ascii="Calibri" w:hAnsi="Calibri"/>
          <w:sz w:val="18"/>
          <w:szCs w:val="18"/>
        </w:rPr>
      </w:pPr>
      <w:r w:rsidRPr="0003763F">
        <w:rPr>
          <w:rStyle w:val="afa"/>
          <w:rFonts w:ascii="Calibri" w:hAnsi="Calibri"/>
          <w:szCs w:val="18"/>
        </w:rPr>
        <w:footnoteRef/>
      </w:r>
      <w:r w:rsidRPr="0003763F">
        <w:rPr>
          <w:rFonts w:ascii="Calibri" w:hAnsi="Calibri"/>
          <w:sz w:val="18"/>
          <w:szCs w:val="18"/>
        </w:rPr>
        <w:t xml:space="preserve"> See guidance here:  </w:t>
      </w:r>
      <w:hyperlink r:id="rId5" w:history="1">
        <w:r w:rsidRPr="0003763F">
          <w:rPr>
            <w:rStyle w:val="ae"/>
            <w:rFonts w:ascii="Calibri" w:hAnsi="Calibri" w:cs="Segoe UI"/>
            <w:sz w:val="18"/>
            <w:szCs w:val="18"/>
          </w:rPr>
          <w:t>https://info.undp.org/global/popp/frm/pages/financial-management-and-execution-modalities.aspx</w:t>
        </w:r>
      </w:hyperlink>
    </w:p>
  </w:footnote>
  <w:footnote w:id="15">
    <w:p w14:paraId="661AEB7C" w14:textId="77777777" w:rsidR="00A93E5E" w:rsidRPr="0046177D" w:rsidRDefault="00A93E5E" w:rsidP="003E3ABA">
      <w:pPr>
        <w:pStyle w:val="aa"/>
        <w:rPr>
          <w:rFonts w:ascii="Calibri" w:hAnsi="Calibri" w:cs="Calibri"/>
          <w:sz w:val="18"/>
          <w:szCs w:val="18"/>
        </w:rPr>
      </w:pPr>
      <w:r w:rsidRPr="0046177D">
        <w:rPr>
          <w:rStyle w:val="afa"/>
          <w:rFonts w:ascii="Calibri" w:hAnsi="Calibri" w:cs="Calibri"/>
          <w:szCs w:val="18"/>
        </w:rPr>
        <w:footnoteRef/>
      </w:r>
      <w:r w:rsidRPr="0046177D">
        <w:rPr>
          <w:rFonts w:ascii="Calibri" w:hAnsi="Calibri" w:cs="Calibri"/>
          <w:sz w:val="18"/>
          <w:szCs w:val="18"/>
        </w:rPr>
        <w:t xml:space="preserve"> Excluding project team staff time and UNDP staff time and travel expenses</w:t>
      </w:r>
      <w:r>
        <w:rPr>
          <w:rFonts w:ascii="Calibri" w:hAnsi="Calibri" w:cs="Calibri"/>
          <w:sz w:val="18"/>
          <w:szCs w:val="18"/>
        </w:rPr>
        <w:t>.</w:t>
      </w:r>
    </w:p>
  </w:footnote>
  <w:footnote w:id="16">
    <w:p w14:paraId="31C8E411" w14:textId="77777777" w:rsidR="00A93E5E" w:rsidRPr="00DD767C" w:rsidRDefault="00A93E5E" w:rsidP="003E3ABA">
      <w:pPr>
        <w:pStyle w:val="aa"/>
        <w:rPr>
          <w:rFonts w:ascii="Calibri" w:hAnsi="Calibri" w:cs="Calibri"/>
          <w:sz w:val="18"/>
          <w:szCs w:val="18"/>
        </w:rPr>
      </w:pPr>
      <w:r w:rsidRPr="00DD767C">
        <w:rPr>
          <w:rStyle w:val="afa"/>
          <w:rFonts w:ascii="Calibri" w:hAnsi="Calibri" w:cs="Calibri"/>
          <w:szCs w:val="18"/>
        </w:rPr>
        <w:footnoteRef/>
      </w:r>
      <w:r w:rsidRPr="00DD767C">
        <w:rPr>
          <w:rFonts w:ascii="Calibri" w:hAnsi="Calibri" w:cs="Calibri"/>
          <w:sz w:val="18"/>
          <w:szCs w:val="18"/>
        </w:rPr>
        <w:t xml:space="preserve"> The costs of UNDP </w:t>
      </w:r>
      <w:r>
        <w:rPr>
          <w:rFonts w:ascii="Calibri" w:hAnsi="Calibri" w:cs="Calibri"/>
          <w:sz w:val="18"/>
          <w:szCs w:val="18"/>
        </w:rPr>
        <w:t xml:space="preserve">Country Office </w:t>
      </w:r>
      <w:r w:rsidRPr="00DD767C">
        <w:rPr>
          <w:rFonts w:ascii="Calibri" w:hAnsi="Calibri" w:cs="Calibri"/>
          <w:sz w:val="18"/>
          <w:szCs w:val="18"/>
        </w:rPr>
        <w:t>and UNDP-GEF</w:t>
      </w:r>
      <w:r>
        <w:rPr>
          <w:rFonts w:ascii="Calibri" w:hAnsi="Calibri" w:cs="Calibri"/>
          <w:sz w:val="18"/>
          <w:szCs w:val="18"/>
        </w:rPr>
        <w:t xml:space="preserve"> Unit</w:t>
      </w:r>
      <w:r w:rsidRPr="00DD767C">
        <w:rPr>
          <w:rFonts w:ascii="Calibri" w:hAnsi="Calibri" w:cs="Calibri"/>
          <w:sz w:val="18"/>
          <w:szCs w:val="18"/>
        </w:rPr>
        <w:t xml:space="preserve">’s participation </w:t>
      </w:r>
      <w:r>
        <w:rPr>
          <w:rFonts w:ascii="Calibri" w:hAnsi="Calibri" w:cs="Calibri"/>
          <w:sz w:val="18"/>
          <w:szCs w:val="18"/>
        </w:rPr>
        <w:t xml:space="preserve">and time </w:t>
      </w:r>
      <w:r w:rsidRPr="00DD767C">
        <w:rPr>
          <w:rFonts w:ascii="Calibri" w:hAnsi="Calibri" w:cs="Calibri"/>
          <w:sz w:val="18"/>
          <w:szCs w:val="18"/>
        </w:rPr>
        <w:t>are charged to the</w:t>
      </w:r>
      <w:r>
        <w:rPr>
          <w:rFonts w:ascii="Calibri" w:hAnsi="Calibri" w:cs="Calibri"/>
          <w:sz w:val="18"/>
          <w:szCs w:val="18"/>
        </w:rPr>
        <w:t xml:space="preserve"> GEF Agency</w:t>
      </w:r>
      <w:r w:rsidRPr="00DD767C">
        <w:rPr>
          <w:rFonts w:ascii="Calibri" w:hAnsi="Calibri" w:cs="Calibri"/>
          <w:sz w:val="18"/>
          <w:szCs w:val="18"/>
        </w:rPr>
        <w:t xml:space="preserve"> Fee.</w:t>
      </w:r>
    </w:p>
  </w:footnote>
  <w:footnote w:id="17">
    <w:p w14:paraId="02E228DC" w14:textId="77777777" w:rsidR="00A93E5E" w:rsidRPr="004622EC" w:rsidRDefault="00A93E5E" w:rsidP="000C4641">
      <w:pPr>
        <w:pStyle w:val="FRR-regulation"/>
        <w:jc w:val="both"/>
        <w:rPr>
          <w:b w:val="0"/>
          <w:color w:val="auto"/>
          <w:sz w:val="16"/>
          <w:szCs w:val="16"/>
          <w:lang w:val="en-US"/>
        </w:rPr>
      </w:pPr>
      <w:r w:rsidRPr="004622EC">
        <w:rPr>
          <w:rStyle w:val="afa"/>
          <w:rFonts w:asciiTheme="majorHAnsi" w:hAnsiTheme="majorHAnsi"/>
          <w:bCs w:val="0"/>
          <w:color w:val="000000" w:themeColor="text1"/>
          <w:sz w:val="16"/>
          <w:szCs w:val="16"/>
        </w:rPr>
        <w:footnoteRef/>
      </w:r>
      <w:r w:rsidRPr="00C658DC">
        <w:rPr>
          <w:rFonts w:asciiTheme="majorHAnsi" w:hAnsiTheme="majorHAnsi"/>
          <w:bCs w:val="0"/>
          <w:color w:val="000000" w:themeColor="text1"/>
          <w:sz w:val="16"/>
          <w:szCs w:val="16"/>
          <w:lang w:val="en-US"/>
        </w:rPr>
        <w:t xml:space="preserve"> </w:t>
      </w:r>
      <w:r w:rsidRPr="00C658DC">
        <w:rPr>
          <w:rFonts w:asciiTheme="majorHAnsi" w:hAnsiTheme="majorHAnsi"/>
          <w:b w:val="0"/>
          <w:color w:val="000000" w:themeColor="text1"/>
          <w:sz w:val="16"/>
          <w:szCs w:val="16"/>
          <w:lang w:val="en-US"/>
        </w:rPr>
        <w:t>UNDP Financial Rules and Regulations: Chapter E, Regulation 16.05: a) The administration by executing entities or, under the harmonized operational modalities, implementing partners, of resources obtained from or through UNDP shall be carried out under their respective financial regulations, rules, practices and procedures only to the extent that they do not contravene the principles of the Financial Regulations and Rules of UNDP; and b) Where the financial governance of an executing entity or, under the harmonized operational modalities, implementing partner, does not provide the required guidance to ensure best value for money, fairness, integrity, transparency, and effective international competition that of UNDP shall apply.</w:t>
      </w:r>
    </w:p>
  </w:footnote>
  <w:footnote w:id="18">
    <w:p w14:paraId="39463ABE" w14:textId="77777777" w:rsidR="00A93E5E" w:rsidRPr="00AD6A9D" w:rsidRDefault="00A93E5E" w:rsidP="00011E77">
      <w:pPr>
        <w:pStyle w:val="aa"/>
        <w:rPr>
          <w:rFonts w:ascii="Calibri" w:hAnsi="Calibri"/>
          <w:sz w:val="18"/>
          <w:szCs w:val="18"/>
        </w:rPr>
      </w:pPr>
      <w:r w:rsidRPr="00AD6A9D">
        <w:rPr>
          <w:rStyle w:val="afa"/>
          <w:rFonts w:ascii="Calibri" w:hAnsi="Calibri"/>
          <w:szCs w:val="18"/>
        </w:rPr>
        <w:footnoteRef/>
      </w:r>
      <w:r w:rsidRPr="00AD6A9D">
        <w:rPr>
          <w:rFonts w:ascii="Calibri" w:hAnsi="Calibri"/>
          <w:sz w:val="18"/>
          <w:szCs w:val="18"/>
        </w:rPr>
        <w:t xml:space="preserve"> See </w:t>
      </w:r>
      <w:r w:rsidRPr="00AD6A9D">
        <w:rPr>
          <w:rFonts w:ascii="Calibri" w:hAnsi="Calibri" w:cs="Segoe UI"/>
          <w:color w:val="000000"/>
          <w:sz w:val="18"/>
          <w:szCs w:val="18"/>
        </w:rPr>
        <w:t>http://www.undp.org/content/undp/en/home/operations/transparency/information_disclosurepolicy/</w:t>
      </w:r>
    </w:p>
  </w:footnote>
  <w:footnote w:id="19">
    <w:p w14:paraId="5648550E" w14:textId="77777777" w:rsidR="00A93E5E" w:rsidRPr="00AD6A9D" w:rsidRDefault="00A93E5E" w:rsidP="00011E77">
      <w:pPr>
        <w:pStyle w:val="aa"/>
        <w:rPr>
          <w:rFonts w:ascii="Calibri" w:hAnsi="Calibri"/>
          <w:sz w:val="18"/>
          <w:szCs w:val="18"/>
        </w:rPr>
      </w:pPr>
      <w:r w:rsidRPr="00AD6A9D">
        <w:rPr>
          <w:rStyle w:val="afa"/>
          <w:rFonts w:ascii="Calibri" w:hAnsi="Calibri"/>
          <w:szCs w:val="18"/>
        </w:rPr>
        <w:footnoteRef/>
      </w:r>
      <w:r w:rsidRPr="00AD6A9D">
        <w:rPr>
          <w:rFonts w:ascii="Calibri" w:hAnsi="Calibri"/>
          <w:sz w:val="18"/>
          <w:szCs w:val="18"/>
        </w:rPr>
        <w:t xml:space="preserve"> See </w:t>
      </w:r>
      <w:r w:rsidRPr="00AD6A9D">
        <w:rPr>
          <w:rFonts w:ascii="Calibri" w:hAnsi="Calibri" w:cs="Segoe UI"/>
          <w:color w:val="000000"/>
          <w:sz w:val="18"/>
          <w:szCs w:val="18"/>
        </w:rPr>
        <w:t>https://www.thegef.org/gef/policies_guidelines</w:t>
      </w:r>
    </w:p>
  </w:footnote>
  <w:footnote w:id="20">
    <w:p w14:paraId="2FF3D640" w14:textId="77777777" w:rsidR="00A93E5E" w:rsidRPr="00C23420" w:rsidRDefault="00A93E5E" w:rsidP="00154BA8">
      <w:pPr>
        <w:pStyle w:val="aa"/>
        <w:rPr>
          <w:rStyle w:val="ae"/>
          <w:rFonts w:ascii="Calibri" w:hAnsi="Calibri"/>
          <w:sz w:val="18"/>
          <w:szCs w:val="18"/>
        </w:rPr>
      </w:pPr>
      <w:r w:rsidRPr="00C23420">
        <w:rPr>
          <w:rStyle w:val="afa"/>
          <w:rFonts w:ascii="Calibri" w:hAnsi="Calibri"/>
          <w:szCs w:val="18"/>
        </w:rPr>
        <w:footnoteRef/>
      </w:r>
      <w:r w:rsidRPr="00C23420">
        <w:rPr>
          <w:rFonts w:ascii="Calibri" w:hAnsi="Calibri"/>
          <w:sz w:val="18"/>
          <w:szCs w:val="18"/>
        </w:rPr>
        <w:t xml:space="preserve"> see  </w:t>
      </w:r>
      <w:hyperlink r:id="rId6" w:history="1">
        <w:r w:rsidRPr="00C23420">
          <w:rPr>
            <w:rStyle w:val="ae"/>
            <w:rFonts w:ascii="Calibri" w:hAnsi="Calibri"/>
            <w:sz w:val="18"/>
            <w:szCs w:val="18"/>
          </w:rPr>
          <w:t>https://info.undp.org/global/popp/ppm/Pages/Closing-a-Project.aspx</w:t>
        </w:r>
      </w:hyperlink>
    </w:p>
    <w:p w14:paraId="386F18C3" w14:textId="77777777" w:rsidR="00A93E5E" w:rsidRDefault="00A93E5E" w:rsidP="00154BA8">
      <w:pPr>
        <w:pStyle w:val="aa"/>
      </w:pPr>
    </w:p>
  </w:footnote>
  <w:footnote w:id="21">
    <w:p w14:paraId="547D4EEB" w14:textId="77777777" w:rsidR="00A93E5E" w:rsidRPr="004622EC" w:rsidRDefault="00A93E5E">
      <w:pPr>
        <w:pStyle w:val="aa"/>
        <w:rPr>
          <w:rFonts w:asciiTheme="majorHAnsi" w:hAnsiTheme="majorHAnsi"/>
          <w:sz w:val="18"/>
        </w:rPr>
      </w:pPr>
      <w:r>
        <w:rPr>
          <w:rStyle w:val="afa"/>
        </w:rPr>
        <w:footnoteRef/>
      </w:r>
      <w:r>
        <w:t xml:space="preserve"> </w:t>
      </w:r>
      <w:r w:rsidRPr="004622EC">
        <w:rPr>
          <w:rFonts w:asciiTheme="majorHAnsi" w:hAnsiTheme="majorHAnsi"/>
          <w:sz w:val="18"/>
        </w:rPr>
        <w:t>Commercial laws of Kazakhstan. EBRD 2014</w:t>
      </w:r>
    </w:p>
  </w:footnote>
  <w:footnote w:id="22">
    <w:p w14:paraId="6649773E" w14:textId="77777777" w:rsidR="00A93E5E" w:rsidRPr="00585A78" w:rsidRDefault="00A93E5E" w:rsidP="00585A78">
      <w:pPr>
        <w:pStyle w:val="aa"/>
        <w:rPr>
          <w:rFonts w:ascii="Arial" w:hAnsi="Arial" w:cs="Arial"/>
          <w:sz w:val="16"/>
        </w:rPr>
      </w:pPr>
      <w:r w:rsidRPr="00585A78">
        <w:rPr>
          <w:rFonts w:ascii="Arial" w:hAnsi="Arial" w:cs="Arial"/>
          <w:sz w:val="16"/>
        </w:rPr>
        <w:footnoteRef/>
      </w:r>
      <w:hyperlink r:id="rId7" w:history="1">
        <w:r w:rsidRPr="00585A78">
          <w:rPr>
            <w:rStyle w:val="Hyperlink0"/>
            <w:rFonts w:ascii="Arial" w:hAnsi="Arial" w:cs="Arial"/>
            <w:sz w:val="16"/>
          </w:rPr>
          <w:t>http://www.oecd.org/edu/school/OECD%20School%20Resources%20Review_Kazakhstan_FINAL_CRC_with%20cover.pdf</w:t>
        </w:r>
      </w:hyperlink>
    </w:p>
  </w:footnote>
  <w:footnote w:id="23">
    <w:p w14:paraId="2B70789D" w14:textId="77777777" w:rsidR="00A93E5E" w:rsidRPr="00585A78" w:rsidRDefault="00A93E5E" w:rsidP="00585A78">
      <w:pPr>
        <w:pStyle w:val="aa"/>
        <w:rPr>
          <w:rFonts w:ascii="Arial" w:hAnsi="Arial" w:cs="Arial"/>
          <w:sz w:val="16"/>
        </w:rPr>
      </w:pPr>
      <w:r w:rsidRPr="00585A78">
        <w:rPr>
          <w:rFonts w:ascii="Arial" w:eastAsia="Cambria" w:hAnsi="Arial" w:cs="Arial"/>
          <w:sz w:val="16"/>
          <w:vertAlign w:val="superscript"/>
        </w:rPr>
        <w:footnoteRef/>
      </w:r>
      <w:r w:rsidRPr="00585A78">
        <w:rPr>
          <w:rFonts w:ascii="Arial" w:hAnsi="Arial" w:cs="Arial"/>
          <w:sz w:val="16"/>
        </w:rPr>
        <w:t xml:space="preserve"> </w:t>
      </w:r>
      <w:hyperlink r:id="rId8" w:history="1">
        <w:r w:rsidRPr="00585A78">
          <w:rPr>
            <w:rStyle w:val="Hyperlink0"/>
            <w:rFonts w:ascii="Arial" w:hAnsi="Arial" w:cs="Arial"/>
            <w:sz w:val="16"/>
          </w:rPr>
          <w:t>http://www.adb.org/sites/default/files/institutional-document/34051/files/kazakhstan-country-gender-assessment.pdf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3F02D" w14:textId="77777777" w:rsidR="00A93E5E" w:rsidRDefault="00A93E5E">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B2D18" w14:textId="77777777" w:rsidR="00A93E5E" w:rsidRPr="00424365" w:rsidRDefault="00A93E5E" w:rsidP="00424365">
    <w:pPr>
      <w:pStyle w:val="a5"/>
      <w:rPr>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E01F6" w14:textId="77777777" w:rsidR="00A93E5E" w:rsidRDefault="00A93E5E" w:rsidP="00C04DD0">
    <w:pPr>
      <w:pStyle w:val="a5"/>
      <w:ind w:hanging="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in;height:3in" o:bullet="t"/>
    </w:pict>
  </w:numPicBullet>
  <w:numPicBullet w:numPicBulletId="1">
    <w:pict>
      <v:shape id="_x0000_i1057" type="#_x0000_t75" style="width:3in;height:3in" o:bullet="t"/>
    </w:pict>
  </w:numPicBullet>
  <w:numPicBullet w:numPicBulletId="2">
    <w:pict>
      <v:shape id="_x0000_i1058" type="#_x0000_t75" style="width:3in;height:3in" o:bullet="t"/>
    </w:pict>
  </w:numPicBullet>
  <w:numPicBullet w:numPicBulletId="3">
    <w:pict>
      <v:shape id="_x0000_i1059" type="#_x0000_t75" style="width:3in;height:3in" o:bullet="t"/>
    </w:pict>
  </w:numPicBullet>
  <w:numPicBullet w:numPicBulletId="4">
    <w:pict>
      <v:shape id="_x0000_i1060" type="#_x0000_t75" style="width:3in;height:3in" o:bullet="t"/>
    </w:pict>
  </w:numPicBullet>
  <w:numPicBullet w:numPicBulletId="5">
    <w:pict>
      <v:shape id="_x0000_i1061" type="#_x0000_t75" style="width:3in;height:3in" o:bullet="t"/>
    </w:pict>
  </w:numPicBullet>
  <w:numPicBullet w:numPicBulletId="6">
    <w:pict>
      <v:shape id="_x0000_i1062" type="#_x0000_t75" style="width:3in;height:3in" o:bullet="t"/>
    </w:pict>
  </w:numPicBullet>
  <w:numPicBullet w:numPicBulletId="7">
    <w:pict>
      <v:shape id="_x0000_i1063" type="#_x0000_t75" style="width:3in;height:3in" o:bullet="t"/>
    </w:pict>
  </w:numPicBullet>
  <w:numPicBullet w:numPicBulletId="8">
    <w:pict>
      <v:shape id="_x0000_i1064" type="#_x0000_t75" style="width:3in;height:3in" o:bullet="t"/>
    </w:pict>
  </w:numPicBullet>
  <w:numPicBullet w:numPicBulletId="9">
    <w:pict>
      <v:shape id="_x0000_i1065" type="#_x0000_t75" style="width:3in;height:3in" o:bullet="t"/>
    </w:pict>
  </w:numPicBullet>
  <w:abstractNum w:abstractNumId="0" w15:restartNumberingAfterBreak="0">
    <w:nsid w:val="00000003"/>
    <w:multiLevelType w:val="singleLevel"/>
    <w:tmpl w:val="00000003"/>
    <w:name w:val="WW8Num3"/>
    <w:lvl w:ilvl="0">
      <w:numFmt w:val="bullet"/>
      <w:lvlText w:val="-"/>
      <w:lvlJc w:val="left"/>
      <w:pPr>
        <w:tabs>
          <w:tab w:val="num" w:pos="0"/>
        </w:tabs>
        <w:ind w:left="720" w:hanging="360"/>
      </w:pPr>
      <w:rPr>
        <w:rFonts w:ascii="Times New Roman" w:hAnsi="Times New Roman" w:cs="Times New Roman" w:hint="default"/>
      </w:rPr>
    </w:lvl>
  </w:abstractNum>
  <w:abstractNum w:abstractNumId="1" w15:restartNumberingAfterBreak="0">
    <w:nsid w:val="00000007"/>
    <w:multiLevelType w:val="multilevel"/>
    <w:tmpl w:val="00000007"/>
    <w:name w:val="WW8Num7"/>
    <w:lvl w:ilvl="0">
      <w:start w:val="1"/>
      <w:numFmt w:val="bullet"/>
      <w:lvlText w:val=""/>
      <w:lvlJc w:val="left"/>
      <w:pPr>
        <w:tabs>
          <w:tab w:val="num" w:pos="0"/>
        </w:tabs>
        <w:ind w:left="720" w:hanging="360"/>
      </w:pPr>
      <w:rPr>
        <w:rFonts w:ascii="Wingdings" w:hAnsi="Wingdings" w:cs="Times New Roman" w:hint="default"/>
        <w: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Times New Roman" w:hint="default"/>
        <w:b/>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Times New Roman" w:hint="default"/>
        <w:b/>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Times New Roman" w:hint="default"/>
        <w:b/>
      </w:rPr>
    </w:lvl>
  </w:abstractNum>
  <w:abstractNum w:abstractNumId="2" w15:restartNumberingAfterBreak="0">
    <w:nsid w:val="02716758"/>
    <w:multiLevelType w:val="multilevel"/>
    <w:tmpl w:val="ED5204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PicBulletId w:val="0"/>
      <w:lvlJc w:val="left"/>
      <w:pPr>
        <w:tabs>
          <w:tab w:val="num" w:pos="1080"/>
        </w:tabs>
        <w:ind w:left="1080" w:hanging="360"/>
      </w:pPr>
      <w:rPr>
        <w:rFonts w:ascii="Symbol" w:hAnsi="Symbol" w:hint="default"/>
        <w:sz w:val="20"/>
      </w:rPr>
    </w:lvl>
    <w:lvl w:ilvl="2" w:tentative="1">
      <w:start w:val="1"/>
      <w:numFmt w:val="bullet"/>
      <w:lvlText w:val=""/>
      <w:lvlPicBulletId w:val="1"/>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03DF3BF6"/>
    <w:multiLevelType w:val="hybridMultilevel"/>
    <w:tmpl w:val="407E6C34"/>
    <w:lvl w:ilvl="0" w:tplc="0409000B">
      <w:start w:val="1"/>
      <w:numFmt w:val="bullet"/>
      <w:lvlText w:val=""/>
      <w:lvlJc w:val="left"/>
      <w:pPr>
        <w:ind w:left="413" w:hanging="360"/>
      </w:pPr>
      <w:rPr>
        <w:rFonts w:ascii="Wingdings" w:hAnsi="Wingdings" w:hint="default"/>
      </w:rPr>
    </w:lvl>
    <w:lvl w:ilvl="1" w:tplc="04090003">
      <w:start w:val="1"/>
      <w:numFmt w:val="bullet"/>
      <w:lvlText w:val="o"/>
      <w:lvlJc w:val="left"/>
      <w:pPr>
        <w:ind w:left="1133" w:hanging="360"/>
      </w:pPr>
      <w:rPr>
        <w:rFonts w:ascii="Courier New" w:hAnsi="Courier New" w:hint="default"/>
      </w:rPr>
    </w:lvl>
    <w:lvl w:ilvl="2" w:tplc="04090005">
      <w:start w:val="1"/>
      <w:numFmt w:val="bullet"/>
      <w:lvlText w:val=""/>
      <w:lvlJc w:val="left"/>
      <w:pPr>
        <w:ind w:left="1853" w:hanging="360"/>
      </w:pPr>
      <w:rPr>
        <w:rFonts w:ascii="Wingdings" w:hAnsi="Wingdings" w:hint="default"/>
      </w:rPr>
    </w:lvl>
    <w:lvl w:ilvl="3" w:tplc="765AE004">
      <w:start w:val="173"/>
      <w:numFmt w:val="bullet"/>
      <w:lvlText w:val="-"/>
      <w:lvlJc w:val="left"/>
      <w:pPr>
        <w:ind w:left="2573" w:hanging="360"/>
      </w:pPr>
      <w:rPr>
        <w:rFonts w:ascii="Times New Roman" w:eastAsia="Times New Roman" w:hAnsi="Times New Roman" w:cs="Times New Roman" w:hint="default"/>
      </w:rPr>
    </w:lvl>
    <w:lvl w:ilvl="4" w:tplc="04090003" w:tentative="1">
      <w:start w:val="1"/>
      <w:numFmt w:val="bullet"/>
      <w:lvlText w:val="o"/>
      <w:lvlJc w:val="left"/>
      <w:pPr>
        <w:ind w:left="3293" w:hanging="360"/>
      </w:pPr>
      <w:rPr>
        <w:rFonts w:ascii="Courier New" w:hAnsi="Courier New" w:hint="default"/>
      </w:rPr>
    </w:lvl>
    <w:lvl w:ilvl="5" w:tplc="04090005" w:tentative="1">
      <w:start w:val="1"/>
      <w:numFmt w:val="bullet"/>
      <w:lvlText w:val=""/>
      <w:lvlJc w:val="left"/>
      <w:pPr>
        <w:ind w:left="4013" w:hanging="360"/>
      </w:pPr>
      <w:rPr>
        <w:rFonts w:ascii="Wingdings" w:hAnsi="Wingdings" w:hint="default"/>
      </w:rPr>
    </w:lvl>
    <w:lvl w:ilvl="6" w:tplc="04090001" w:tentative="1">
      <w:start w:val="1"/>
      <w:numFmt w:val="bullet"/>
      <w:lvlText w:val=""/>
      <w:lvlJc w:val="left"/>
      <w:pPr>
        <w:ind w:left="4733" w:hanging="360"/>
      </w:pPr>
      <w:rPr>
        <w:rFonts w:ascii="Symbol" w:hAnsi="Symbol" w:hint="default"/>
      </w:rPr>
    </w:lvl>
    <w:lvl w:ilvl="7" w:tplc="04090003" w:tentative="1">
      <w:start w:val="1"/>
      <w:numFmt w:val="bullet"/>
      <w:lvlText w:val="o"/>
      <w:lvlJc w:val="left"/>
      <w:pPr>
        <w:ind w:left="5453" w:hanging="360"/>
      </w:pPr>
      <w:rPr>
        <w:rFonts w:ascii="Courier New" w:hAnsi="Courier New" w:hint="default"/>
      </w:rPr>
    </w:lvl>
    <w:lvl w:ilvl="8" w:tplc="04090005" w:tentative="1">
      <w:start w:val="1"/>
      <w:numFmt w:val="bullet"/>
      <w:lvlText w:val=""/>
      <w:lvlJc w:val="left"/>
      <w:pPr>
        <w:ind w:left="6173" w:hanging="360"/>
      </w:pPr>
      <w:rPr>
        <w:rFonts w:ascii="Wingdings" w:hAnsi="Wingdings" w:hint="default"/>
      </w:rPr>
    </w:lvl>
  </w:abstractNum>
  <w:abstractNum w:abstractNumId="4" w15:restartNumberingAfterBreak="0">
    <w:nsid w:val="04461F24"/>
    <w:multiLevelType w:val="hybridMultilevel"/>
    <w:tmpl w:val="C1321AB6"/>
    <w:lvl w:ilvl="0" w:tplc="04190001">
      <w:start w:val="1"/>
      <w:numFmt w:val="bullet"/>
      <w:lvlText w:val=""/>
      <w:lvlJc w:val="left"/>
      <w:pPr>
        <w:ind w:left="794" w:hanging="360"/>
      </w:pPr>
      <w:rPr>
        <w:rFonts w:ascii="Symbol" w:hAnsi="Symbol"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5" w15:restartNumberingAfterBreak="0">
    <w:nsid w:val="04642B2C"/>
    <w:multiLevelType w:val="hybridMultilevel"/>
    <w:tmpl w:val="245EA5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A1589B"/>
    <w:multiLevelType w:val="hybridMultilevel"/>
    <w:tmpl w:val="DD280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A97BF6"/>
    <w:multiLevelType w:val="hybridMultilevel"/>
    <w:tmpl w:val="AE6AB0E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A65FA9"/>
    <w:multiLevelType w:val="multilevel"/>
    <w:tmpl w:val="7CC4F832"/>
    <w:lvl w:ilvl="0">
      <w:start w:val="1"/>
      <w:numFmt w:val="decimal"/>
      <w:lvlText w:val="%1."/>
      <w:lvlJc w:val="left"/>
      <w:pPr>
        <w:ind w:left="0" w:firstLine="0"/>
      </w:pPr>
      <w:rPr>
        <w:rFonts w:ascii="Calibri" w:eastAsia="Times New Roman" w:hAnsi="Calibri" w:cs="Times New Roman"/>
      </w:rPr>
    </w:lvl>
    <w:lvl w:ilvl="1">
      <w:start w:val="1"/>
      <w:numFmt w:val="decimal"/>
      <w:pStyle w:val="2"/>
      <w:lvlText w:val="%2.1."/>
      <w:lvlJc w:val="left"/>
      <w:pPr>
        <w:ind w:left="0" w:firstLine="0"/>
      </w:pPr>
      <w:rPr>
        <w:rFonts w:hint="default"/>
      </w:rPr>
    </w:lvl>
    <w:lvl w:ilvl="2">
      <w:start w:val="1"/>
      <w:numFmt w:val="none"/>
      <w:lvlRestart w:val="0"/>
      <w:pStyle w:val="3"/>
      <w:lvlText w:val="%1.%2.1."/>
      <w:lvlJc w:val="left"/>
      <w:pPr>
        <w:ind w:left="142" w:firstLine="0"/>
      </w:pPr>
      <w:rPr>
        <w:rFonts w:hint="default"/>
      </w:rPr>
    </w:lvl>
    <w:lvl w:ilvl="3">
      <w:start w:val="1"/>
      <w:numFmt w:val="none"/>
      <w:lvlRestart w:val="1"/>
      <w:pStyle w:val="4"/>
      <w:lvlText w:val="%2"/>
      <w:lvlJc w:val="left"/>
      <w:pPr>
        <w:ind w:left="0" w:firstLine="0"/>
      </w:pPr>
      <w:rPr>
        <w:rFonts w:hint="default"/>
      </w:rPr>
    </w:lvl>
    <w:lvl w:ilvl="4">
      <w:start w:val="1"/>
      <w:numFmt w:val="lowerLetter"/>
      <w:pStyle w:val="5"/>
      <w:lvlText w:val="(%5)"/>
      <w:lvlJc w:val="left"/>
      <w:pPr>
        <w:ind w:left="0" w:firstLine="0"/>
      </w:pPr>
      <w:rPr>
        <w:rFonts w:hint="default"/>
      </w:rPr>
    </w:lvl>
    <w:lvl w:ilvl="5">
      <w:start w:val="1"/>
      <w:numFmt w:val="lowerRoman"/>
      <w:pStyle w:val="6"/>
      <w:lvlText w:val="(%6)"/>
      <w:lvlJc w:val="left"/>
      <w:pPr>
        <w:ind w:left="0" w:firstLine="0"/>
      </w:pPr>
      <w:rPr>
        <w:rFonts w:hint="default"/>
      </w:rPr>
    </w:lvl>
    <w:lvl w:ilvl="6">
      <w:start w:val="1"/>
      <w:numFmt w:val="decimal"/>
      <w:lvlText w:val="%7."/>
      <w:lvlJc w:val="left"/>
      <w:pPr>
        <w:ind w:left="4395" w:firstLine="0"/>
      </w:pPr>
      <w:rPr>
        <w:rFonts w:hint="default"/>
      </w:rPr>
    </w:lvl>
    <w:lvl w:ilvl="7">
      <w:start w:val="1"/>
      <w:numFmt w:val="lowerLetter"/>
      <w:pStyle w:val="8"/>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61277A5"/>
    <w:multiLevelType w:val="hybridMultilevel"/>
    <w:tmpl w:val="A976AB9A"/>
    <w:lvl w:ilvl="0" w:tplc="9DB00120">
      <w:start w:val="1"/>
      <w:numFmt w:val="upperRoman"/>
      <w:pStyle w:val="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76E12A2"/>
    <w:multiLevelType w:val="multilevel"/>
    <w:tmpl w:val="F8626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8"/>
      <w:lvlJc w:val="left"/>
      <w:pPr>
        <w:tabs>
          <w:tab w:val="num" w:pos="1440"/>
        </w:tabs>
        <w:ind w:left="1440" w:hanging="360"/>
      </w:pPr>
      <w:rPr>
        <w:rFonts w:ascii="Symbol" w:hAnsi="Symbol" w:hint="default"/>
        <w:sz w:val="20"/>
      </w:rPr>
    </w:lvl>
    <w:lvl w:ilvl="2" w:tentative="1">
      <w:start w:val="1"/>
      <w:numFmt w:val="bullet"/>
      <w:lvlText w:val=""/>
      <w:lvlPicBulletId w:val="9"/>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1D25DB"/>
    <w:multiLevelType w:val="hybridMultilevel"/>
    <w:tmpl w:val="169E2860"/>
    <w:lvl w:ilvl="0" w:tplc="D0888A7E">
      <w:start w:val="1"/>
      <w:numFmt w:val="bullet"/>
      <w:lvlText w:val=""/>
      <w:lvlJc w:val="left"/>
      <w:pPr>
        <w:tabs>
          <w:tab w:val="num" w:pos="397"/>
        </w:tabs>
        <w:ind w:left="397" w:hanging="397"/>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F14980"/>
    <w:multiLevelType w:val="hybridMultilevel"/>
    <w:tmpl w:val="B90C7842"/>
    <w:lvl w:ilvl="0" w:tplc="CA0CD5B6">
      <w:start w:val="1"/>
      <w:numFmt w:val="decimal"/>
      <w:lvlText w:val="%1."/>
      <w:lvlJc w:val="left"/>
      <w:pPr>
        <w:ind w:left="36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AE0B5F"/>
    <w:multiLevelType w:val="hybridMultilevel"/>
    <w:tmpl w:val="7AB4B748"/>
    <w:lvl w:ilvl="0" w:tplc="CA6412E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243411EE"/>
    <w:multiLevelType w:val="hybridMultilevel"/>
    <w:tmpl w:val="F5B0F338"/>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9852EA"/>
    <w:multiLevelType w:val="hybridMultilevel"/>
    <w:tmpl w:val="431E2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D12857"/>
    <w:multiLevelType w:val="hybridMultilevel"/>
    <w:tmpl w:val="B6904424"/>
    <w:lvl w:ilvl="0" w:tplc="B314B410">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DF4B38"/>
    <w:multiLevelType w:val="hybridMultilevel"/>
    <w:tmpl w:val="E81E6166"/>
    <w:lvl w:ilvl="0" w:tplc="D0888A7E">
      <w:start w:val="1"/>
      <w:numFmt w:val="bullet"/>
      <w:lvlText w:val=""/>
      <w:lvlJc w:val="left"/>
      <w:pPr>
        <w:tabs>
          <w:tab w:val="num" w:pos="397"/>
        </w:tabs>
        <w:ind w:left="397" w:hanging="397"/>
      </w:pPr>
      <w:rPr>
        <w:rFonts w:ascii="Symbol" w:hAnsi="Symbol" w:hint="default"/>
        <w:sz w:val="18"/>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956447"/>
    <w:multiLevelType w:val="hybridMultilevel"/>
    <w:tmpl w:val="A1F825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2E604B95"/>
    <w:multiLevelType w:val="hybridMultilevel"/>
    <w:tmpl w:val="2A0EC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7E63C2"/>
    <w:multiLevelType w:val="hybridMultilevel"/>
    <w:tmpl w:val="A68A9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F811257"/>
    <w:multiLevelType w:val="hybridMultilevel"/>
    <w:tmpl w:val="A1BC3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FD5F4B"/>
    <w:multiLevelType w:val="hybridMultilevel"/>
    <w:tmpl w:val="455C3BDC"/>
    <w:name w:val="WW8Num12"/>
    <w:lvl w:ilvl="0" w:tplc="D0888A7E">
      <w:start w:val="1"/>
      <w:numFmt w:val="bullet"/>
      <w:lvlText w:val=""/>
      <w:lvlJc w:val="left"/>
      <w:pPr>
        <w:tabs>
          <w:tab w:val="num" w:pos="397"/>
        </w:tabs>
        <w:ind w:left="397" w:hanging="397"/>
      </w:pPr>
      <w:rPr>
        <w:rFonts w:ascii="Symbol" w:hAnsi="Symbol" w:hint="default"/>
        <w:sz w:val="18"/>
      </w:rPr>
    </w:lvl>
    <w:lvl w:ilvl="1" w:tplc="04190003">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69427A"/>
    <w:multiLevelType w:val="hybridMultilevel"/>
    <w:tmpl w:val="72F247D0"/>
    <w:lvl w:ilvl="0" w:tplc="B314B410">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A33806"/>
    <w:multiLevelType w:val="hybridMultilevel"/>
    <w:tmpl w:val="E2E02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8E7F07"/>
    <w:multiLevelType w:val="multilevel"/>
    <w:tmpl w:val="E3BEAE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PicBulletId w:val="2"/>
      <w:lvlJc w:val="left"/>
      <w:pPr>
        <w:tabs>
          <w:tab w:val="num" w:pos="1080"/>
        </w:tabs>
        <w:ind w:left="1080" w:hanging="360"/>
      </w:pPr>
      <w:rPr>
        <w:rFonts w:ascii="Symbol" w:hAnsi="Symbol" w:hint="default"/>
        <w:sz w:val="20"/>
      </w:rPr>
    </w:lvl>
    <w:lvl w:ilvl="2" w:tentative="1">
      <w:start w:val="1"/>
      <w:numFmt w:val="bullet"/>
      <w:lvlText w:val=""/>
      <w:lvlPicBulletId w:val="3"/>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3CE60691"/>
    <w:multiLevelType w:val="hybridMultilevel"/>
    <w:tmpl w:val="88883CEE"/>
    <w:lvl w:ilvl="0" w:tplc="EA2639DA">
      <w:start w:val="1"/>
      <w:numFmt w:val="bullet"/>
      <w:pStyle w:val="BulletText"/>
      <w:lvlText w:val=""/>
      <w:lvlJc w:val="left"/>
      <w:pPr>
        <w:tabs>
          <w:tab w:val="num" w:pos="927"/>
        </w:tabs>
        <w:ind w:left="927" w:hanging="360"/>
      </w:pPr>
      <w:rPr>
        <w:rFonts w:ascii="Wingdings 2" w:hAnsi="Wingdings 2" w:hint="default"/>
        <w:sz w:val="14"/>
      </w:rPr>
    </w:lvl>
    <w:lvl w:ilvl="1" w:tplc="08090003">
      <w:start w:val="1"/>
      <w:numFmt w:val="bullet"/>
      <w:lvlText w:val="o"/>
      <w:lvlJc w:val="left"/>
      <w:pPr>
        <w:tabs>
          <w:tab w:val="num" w:pos="1647"/>
        </w:tabs>
        <w:ind w:left="1647" w:hanging="360"/>
      </w:pPr>
      <w:rPr>
        <w:rFonts w:ascii="Courier New" w:hAnsi="Courier New" w:hint="default"/>
      </w:rPr>
    </w:lvl>
    <w:lvl w:ilvl="2" w:tplc="08090005">
      <w:start w:val="1"/>
      <w:numFmt w:val="bullet"/>
      <w:lvlText w:val=""/>
      <w:lvlJc w:val="left"/>
      <w:pPr>
        <w:tabs>
          <w:tab w:val="num" w:pos="2367"/>
        </w:tabs>
        <w:ind w:left="2367" w:hanging="360"/>
      </w:pPr>
      <w:rPr>
        <w:rFonts w:ascii="Wingdings" w:hAnsi="Wingdings" w:hint="default"/>
      </w:rPr>
    </w:lvl>
    <w:lvl w:ilvl="3" w:tplc="08090001">
      <w:start w:val="1"/>
      <w:numFmt w:val="bullet"/>
      <w:lvlText w:val=""/>
      <w:lvlJc w:val="left"/>
      <w:pPr>
        <w:tabs>
          <w:tab w:val="num" w:pos="3087"/>
        </w:tabs>
        <w:ind w:left="3087" w:hanging="360"/>
      </w:pPr>
      <w:rPr>
        <w:rFonts w:ascii="Symbol" w:hAnsi="Symbol" w:hint="default"/>
      </w:rPr>
    </w:lvl>
    <w:lvl w:ilvl="4" w:tplc="08090003">
      <w:start w:val="1"/>
      <w:numFmt w:val="bullet"/>
      <w:lvlText w:val="o"/>
      <w:lvlJc w:val="left"/>
      <w:pPr>
        <w:tabs>
          <w:tab w:val="num" w:pos="3807"/>
        </w:tabs>
        <w:ind w:left="3807" w:hanging="360"/>
      </w:pPr>
      <w:rPr>
        <w:rFonts w:ascii="Courier New" w:hAnsi="Courier New" w:hint="default"/>
      </w:rPr>
    </w:lvl>
    <w:lvl w:ilvl="5" w:tplc="08090005">
      <w:start w:val="1"/>
      <w:numFmt w:val="bullet"/>
      <w:lvlText w:val=""/>
      <w:lvlJc w:val="left"/>
      <w:pPr>
        <w:tabs>
          <w:tab w:val="num" w:pos="4527"/>
        </w:tabs>
        <w:ind w:left="4527" w:hanging="360"/>
      </w:pPr>
      <w:rPr>
        <w:rFonts w:ascii="Wingdings" w:hAnsi="Wingdings" w:hint="default"/>
      </w:rPr>
    </w:lvl>
    <w:lvl w:ilvl="6" w:tplc="08090001">
      <w:start w:val="1"/>
      <w:numFmt w:val="bullet"/>
      <w:lvlText w:val=""/>
      <w:lvlJc w:val="left"/>
      <w:pPr>
        <w:tabs>
          <w:tab w:val="num" w:pos="5247"/>
        </w:tabs>
        <w:ind w:left="5247" w:hanging="360"/>
      </w:pPr>
      <w:rPr>
        <w:rFonts w:ascii="Symbol" w:hAnsi="Symbol" w:hint="default"/>
      </w:rPr>
    </w:lvl>
    <w:lvl w:ilvl="7" w:tplc="08090003">
      <w:start w:val="1"/>
      <w:numFmt w:val="bullet"/>
      <w:lvlText w:val="o"/>
      <w:lvlJc w:val="left"/>
      <w:pPr>
        <w:tabs>
          <w:tab w:val="num" w:pos="5967"/>
        </w:tabs>
        <w:ind w:left="5967" w:hanging="360"/>
      </w:pPr>
      <w:rPr>
        <w:rFonts w:ascii="Courier New" w:hAnsi="Courier New" w:hint="default"/>
      </w:rPr>
    </w:lvl>
    <w:lvl w:ilvl="8" w:tplc="08090005">
      <w:start w:val="1"/>
      <w:numFmt w:val="bullet"/>
      <w:lvlText w:val=""/>
      <w:lvlJc w:val="left"/>
      <w:pPr>
        <w:tabs>
          <w:tab w:val="num" w:pos="6687"/>
        </w:tabs>
        <w:ind w:left="6687" w:hanging="360"/>
      </w:pPr>
      <w:rPr>
        <w:rFonts w:ascii="Wingdings" w:hAnsi="Wingdings" w:hint="default"/>
      </w:rPr>
    </w:lvl>
  </w:abstractNum>
  <w:abstractNum w:abstractNumId="30" w15:restartNumberingAfterBreak="0">
    <w:nsid w:val="41DF545E"/>
    <w:multiLevelType w:val="hybridMultilevel"/>
    <w:tmpl w:val="C8481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216062D"/>
    <w:multiLevelType w:val="hybridMultilevel"/>
    <w:tmpl w:val="50DCA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9130AE"/>
    <w:multiLevelType w:val="hybridMultilevel"/>
    <w:tmpl w:val="8A66D996"/>
    <w:lvl w:ilvl="0" w:tplc="CBFAB9AE">
      <w:start w:val="1"/>
      <w:numFmt w:val="bullet"/>
      <w:lvlText w:val=""/>
      <w:lvlJc w:val="left"/>
      <w:pPr>
        <w:tabs>
          <w:tab w:val="num" w:pos="720"/>
        </w:tabs>
        <w:ind w:left="720" w:hanging="360"/>
      </w:pPr>
      <w:rPr>
        <w:rFonts w:ascii="Wingdings" w:hAnsi="Wingdings" w:hint="default"/>
        <w:b w:val="0"/>
        <w:i w:val="0"/>
        <w:caps w:val="0"/>
        <w:strike w:val="0"/>
        <w:dstrike w:val="0"/>
        <w:vanish w:val="0"/>
        <w:color w:val="000000"/>
        <w:sz w:val="24"/>
        <w:u w:val="none"/>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8604BE1"/>
    <w:multiLevelType w:val="multilevel"/>
    <w:tmpl w:val="7E38CE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PicBulletId w:val="4"/>
      <w:lvlJc w:val="left"/>
      <w:pPr>
        <w:tabs>
          <w:tab w:val="num" w:pos="1080"/>
        </w:tabs>
        <w:ind w:left="1080" w:hanging="360"/>
      </w:pPr>
      <w:rPr>
        <w:rFonts w:ascii="Symbol" w:hAnsi="Symbol" w:hint="default"/>
        <w:sz w:val="20"/>
      </w:rPr>
    </w:lvl>
    <w:lvl w:ilvl="2" w:tentative="1">
      <w:start w:val="1"/>
      <w:numFmt w:val="bullet"/>
      <w:lvlText w:val=""/>
      <w:lvlPicBulletId w:val="5"/>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4" w15:restartNumberingAfterBreak="0">
    <w:nsid w:val="48A9338C"/>
    <w:multiLevelType w:val="hybridMultilevel"/>
    <w:tmpl w:val="5CC8D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92F485C"/>
    <w:multiLevelType w:val="hybridMultilevel"/>
    <w:tmpl w:val="47DAE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933149"/>
    <w:multiLevelType w:val="hybridMultilevel"/>
    <w:tmpl w:val="2AFA41A4"/>
    <w:lvl w:ilvl="0" w:tplc="4CFAA314">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BD739E0"/>
    <w:multiLevelType w:val="hybridMultilevel"/>
    <w:tmpl w:val="2EACD0A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4FBD4F61"/>
    <w:multiLevelType w:val="hybridMultilevel"/>
    <w:tmpl w:val="FEE89B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175442B"/>
    <w:multiLevelType w:val="hybridMultilevel"/>
    <w:tmpl w:val="B7827E4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537900CD"/>
    <w:multiLevelType w:val="hybridMultilevel"/>
    <w:tmpl w:val="D95AEB1E"/>
    <w:name w:val="WW8Num1222"/>
    <w:lvl w:ilvl="0" w:tplc="04090001">
      <w:start w:val="1"/>
      <w:numFmt w:val="bullet"/>
      <w:lvlText w:val=""/>
      <w:lvlJc w:val="left"/>
      <w:pPr>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5D357C0"/>
    <w:multiLevelType w:val="hybridMultilevel"/>
    <w:tmpl w:val="7CB6F95E"/>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3" w15:restartNumberingAfterBreak="0">
    <w:nsid w:val="56776319"/>
    <w:multiLevelType w:val="hybridMultilevel"/>
    <w:tmpl w:val="1DACA4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59717EAB"/>
    <w:multiLevelType w:val="hybridMultilevel"/>
    <w:tmpl w:val="5958E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914792"/>
    <w:multiLevelType w:val="hybridMultilevel"/>
    <w:tmpl w:val="9514B610"/>
    <w:lvl w:ilvl="0" w:tplc="C0505132">
      <w:start w:val="1"/>
      <w:numFmt w:val="decimal"/>
      <w:pStyle w:val="Bodynumbered"/>
      <w:lvlText w:val="%1."/>
      <w:lvlJc w:val="left"/>
      <w:pPr>
        <w:ind w:left="720" w:hanging="360"/>
      </w:pPr>
    </w:lvl>
    <w:lvl w:ilvl="1" w:tplc="4EFA599A">
      <w:start w:val="1"/>
      <w:numFmt w:val="lowerRoman"/>
      <w:lvlText w:val="%2."/>
      <w:lvlJc w:val="right"/>
      <w:pPr>
        <w:ind w:left="1440" w:hanging="360"/>
      </w:pPr>
    </w:lvl>
    <w:lvl w:ilvl="2" w:tplc="CE2CF18A" w:tentative="1">
      <w:start w:val="1"/>
      <w:numFmt w:val="lowerRoman"/>
      <w:lvlText w:val="%3."/>
      <w:lvlJc w:val="right"/>
      <w:pPr>
        <w:ind w:left="2160" w:hanging="180"/>
      </w:pPr>
    </w:lvl>
    <w:lvl w:ilvl="3" w:tplc="CABC20FC" w:tentative="1">
      <w:start w:val="1"/>
      <w:numFmt w:val="decimal"/>
      <w:lvlText w:val="%4."/>
      <w:lvlJc w:val="left"/>
      <w:pPr>
        <w:ind w:left="2880" w:hanging="360"/>
      </w:pPr>
    </w:lvl>
    <w:lvl w:ilvl="4" w:tplc="D5548D7E" w:tentative="1">
      <w:start w:val="1"/>
      <w:numFmt w:val="lowerLetter"/>
      <w:lvlText w:val="%5."/>
      <w:lvlJc w:val="left"/>
      <w:pPr>
        <w:ind w:left="3600" w:hanging="360"/>
      </w:pPr>
    </w:lvl>
    <w:lvl w:ilvl="5" w:tplc="99F8460E" w:tentative="1">
      <w:start w:val="1"/>
      <w:numFmt w:val="lowerRoman"/>
      <w:lvlText w:val="%6."/>
      <w:lvlJc w:val="right"/>
      <w:pPr>
        <w:ind w:left="4320" w:hanging="180"/>
      </w:pPr>
    </w:lvl>
    <w:lvl w:ilvl="6" w:tplc="E40E6B10" w:tentative="1">
      <w:start w:val="1"/>
      <w:numFmt w:val="decimal"/>
      <w:lvlText w:val="%7."/>
      <w:lvlJc w:val="left"/>
      <w:pPr>
        <w:ind w:left="5040" w:hanging="360"/>
      </w:pPr>
    </w:lvl>
    <w:lvl w:ilvl="7" w:tplc="CB040D76" w:tentative="1">
      <w:start w:val="1"/>
      <w:numFmt w:val="lowerLetter"/>
      <w:lvlText w:val="%8."/>
      <w:lvlJc w:val="left"/>
      <w:pPr>
        <w:ind w:left="5760" w:hanging="360"/>
      </w:pPr>
    </w:lvl>
    <w:lvl w:ilvl="8" w:tplc="CE24EADC" w:tentative="1">
      <w:start w:val="1"/>
      <w:numFmt w:val="lowerRoman"/>
      <w:lvlText w:val="%9."/>
      <w:lvlJc w:val="right"/>
      <w:pPr>
        <w:ind w:left="6480" w:hanging="180"/>
      </w:pPr>
    </w:lvl>
  </w:abstractNum>
  <w:abstractNum w:abstractNumId="46" w15:restartNumberingAfterBreak="0">
    <w:nsid w:val="63806397"/>
    <w:multiLevelType w:val="hybridMultilevel"/>
    <w:tmpl w:val="0C047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B860B6"/>
    <w:multiLevelType w:val="hybridMultilevel"/>
    <w:tmpl w:val="BE405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3F875AF"/>
    <w:multiLevelType w:val="hybridMultilevel"/>
    <w:tmpl w:val="2710F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6FB6B11"/>
    <w:multiLevelType w:val="hybridMultilevel"/>
    <w:tmpl w:val="82E87A7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1" w15:restartNumberingAfterBreak="0">
    <w:nsid w:val="69BE7A85"/>
    <w:multiLevelType w:val="hybridMultilevel"/>
    <w:tmpl w:val="6722DA38"/>
    <w:lvl w:ilvl="0" w:tplc="1248915A">
      <w:start w:val="1"/>
      <w:numFmt w:val="bullet"/>
      <w:pStyle w:val="ColorfulList-Accent1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1830D26"/>
    <w:multiLevelType w:val="hybridMultilevel"/>
    <w:tmpl w:val="8704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54F2687"/>
    <w:multiLevelType w:val="multilevel"/>
    <w:tmpl w:val="93BAC7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PicBulletId w:val="6"/>
      <w:lvlJc w:val="left"/>
      <w:pPr>
        <w:tabs>
          <w:tab w:val="num" w:pos="1080"/>
        </w:tabs>
        <w:ind w:left="1080" w:hanging="360"/>
      </w:pPr>
      <w:rPr>
        <w:rFonts w:ascii="Symbol" w:hAnsi="Symbol" w:hint="default"/>
        <w:sz w:val="20"/>
      </w:rPr>
    </w:lvl>
    <w:lvl w:ilvl="2" w:tentative="1">
      <w:start w:val="1"/>
      <w:numFmt w:val="bullet"/>
      <w:lvlText w:val=""/>
      <w:lvlPicBulletId w:val="7"/>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4" w15:restartNumberingAfterBreak="0">
    <w:nsid w:val="7675304E"/>
    <w:multiLevelType w:val="hybridMultilevel"/>
    <w:tmpl w:val="9EC2D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5F2E1B"/>
    <w:multiLevelType w:val="hybridMultilevel"/>
    <w:tmpl w:val="1A3E1E0A"/>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56" w15:restartNumberingAfterBreak="0">
    <w:nsid w:val="7BF130E7"/>
    <w:multiLevelType w:val="hybridMultilevel"/>
    <w:tmpl w:val="A3C42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2F33B2"/>
    <w:multiLevelType w:val="hybridMultilevel"/>
    <w:tmpl w:val="C5DABF4C"/>
    <w:lvl w:ilvl="0" w:tplc="B7B8981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6"/>
  </w:num>
  <w:num w:numId="3">
    <w:abstractNumId w:val="49"/>
  </w:num>
  <w:num w:numId="4">
    <w:abstractNumId w:val="20"/>
  </w:num>
  <w:num w:numId="5">
    <w:abstractNumId w:val="26"/>
  </w:num>
  <w:num w:numId="6">
    <w:abstractNumId w:val="51"/>
  </w:num>
  <w:num w:numId="7">
    <w:abstractNumId w:val="54"/>
  </w:num>
  <w:num w:numId="8">
    <w:abstractNumId w:val="27"/>
  </w:num>
  <w:num w:numId="9">
    <w:abstractNumId w:val="14"/>
  </w:num>
  <w:num w:numId="10">
    <w:abstractNumId w:val="16"/>
  </w:num>
  <w:num w:numId="11">
    <w:abstractNumId w:val="17"/>
  </w:num>
  <w:num w:numId="12">
    <w:abstractNumId w:val="40"/>
  </w:num>
  <w:num w:numId="13">
    <w:abstractNumId w:val="56"/>
  </w:num>
  <w:num w:numId="14">
    <w:abstractNumId w:val="3"/>
  </w:num>
  <w:num w:numId="15">
    <w:abstractNumId w:val="10"/>
  </w:num>
  <w:num w:numId="16">
    <w:abstractNumId w:val="5"/>
  </w:num>
  <w:num w:numId="17">
    <w:abstractNumId w:val="39"/>
  </w:num>
  <w:num w:numId="18">
    <w:abstractNumId w:val="43"/>
  </w:num>
  <w:num w:numId="19">
    <w:abstractNumId w:val="45"/>
  </w:num>
  <w:num w:numId="20">
    <w:abstractNumId w:val="35"/>
  </w:num>
  <w:num w:numId="21">
    <w:abstractNumId w:val="7"/>
  </w:num>
  <w:num w:numId="22">
    <w:abstractNumId w:val="29"/>
  </w:num>
  <w:num w:numId="23">
    <w:abstractNumId w:val="32"/>
  </w:num>
  <w:num w:numId="24">
    <w:abstractNumId w:val="25"/>
  </w:num>
  <w:num w:numId="25">
    <w:abstractNumId w:val="19"/>
  </w:num>
  <w:num w:numId="26">
    <w:abstractNumId w:val="57"/>
  </w:num>
  <w:num w:numId="27">
    <w:abstractNumId w:val="13"/>
  </w:num>
  <w:num w:numId="28">
    <w:abstractNumId w:val="21"/>
  </w:num>
  <w:num w:numId="29">
    <w:abstractNumId w:val="2"/>
  </w:num>
  <w:num w:numId="30">
    <w:abstractNumId w:val="28"/>
  </w:num>
  <w:num w:numId="31">
    <w:abstractNumId w:val="33"/>
  </w:num>
  <w:num w:numId="32">
    <w:abstractNumId w:val="53"/>
  </w:num>
  <w:num w:numId="33">
    <w:abstractNumId w:val="12"/>
  </w:num>
  <w:num w:numId="34">
    <w:abstractNumId w:val="30"/>
  </w:num>
  <w:num w:numId="35">
    <w:abstractNumId w:val="23"/>
  </w:num>
  <w:num w:numId="36">
    <w:abstractNumId w:val="4"/>
  </w:num>
  <w:num w:numId="37">
    <w:abstractNumId w:val="38"/>
  </w:num>
  <w:num w:numId="38">
    <w:abstractNumId w:val="55"/>
  </w:num>
  <w:num w:numId="39">
    <w:abstractNumId w:val="9"/>
    <w:lvlOverride w:ilvl="0">
      <w:lvl w:ilvl="0">
        <w:start w:val="1"/>
        <w:numFmt w:val="decimal"/>
        <w:lvlText w:val="%1."/>
        <w:lvlJc w:val="left"/>
        <w:pPr>
          <w:ind w:left="0" w:firstLine="0"/>
        </w:pPr>
        <w:rPr>
          <w:rFonts w:ascii="Calibri" w:eastAsia="Times New Roman" w:hAnsi="Calibri" w:cs="Times New Roman"/>
        </w:rPr>
      </w:lvl>
    </w:lvlOverride>
    <w:lvlOverride w:ilvl="1">
      <w:lvl w:ilvl="1">
        <w:start w:val="1"/>
        <w:numFmt w:val="decimal"/>
        <w:pStyle w:val="2"/>
        <w:lvlText w:val="%2.1."/>
        <w:lvlJc w:val="left"/>
        <w:pPr>
          <w:ind w:left="0" w:firstLine="0"/>
        </w:pPr>
        <w:rPr>
          <w:rFonts w:hint="default"/>
        </w:rPr>
      </w:lvl>
    </w:lvlOverride>
    <w:lvlOverride w:ilvl="2">
      <w:lvl w:ilvl="2">
        <w:start w:val="1"/>
        <w:numFmt w:val="none"/>
        <w:lvlRestart w:val="0"/>
        <w:pStyle w:val="3"/>
        <w:lvlText w:val="%1.%2.1."/>
        <w:lvlJc w:val="left"/>
        <w:pPr>
          <w:ind w:left="142" w:firstLine="0"/>
        </w:pPr>
        <w:rPr>
          <w:rFonts w:hint="default"/>
        </w:rPr>
      </w:lvl>
    </w:lvlOverride>
    <w:lvlOverride w:ilvl="3">
      <w:lvl w:ilvl="3">
        <w:start w:val="1"/>
        <w:numFmt w:val="none"/>
        <w:lvlRestart w:val="1"/>
        <w:pStyle w:val="4"/>
        <w:lvlText w:val="%2"/>
        <w:lvlJc w:val="left"/>
        <w:pPr>
          <w:ind w:left="0" w:firstLine="0"/>
        </w:pPr>
        <w:rPr>
          <w:rFonts w:hint="default"/>
        </w:rPr>
      </w:lvl>
    </w:lvlOverride>
    <w:lvlOverride w:ilvl="4">
      <w:lvl w:ilvl="4">
        <w:start w:val="1"/>
        <w:numFmt w:val="lowerLetter"/>
        <w:pStyle w:val="5"/>
        <w:lvlText w:val="(%5)"/>
        <w:lvlJc w:val="left"/>
        <w:pPr>
          <w:ind w:left="0" w:firstLine="0"/>
        </w:pPr>
        <w:rPr>
          <w:rFonts w:hint="default"/>
        </w:rPr>
      </w:lvl>
    </w:lvlOverride>
    <w:lvlOverride w:ilvl="5">
      <w:lvl w:ilvl="5">
        <w:start w:val="1"/>
        <w:numFmt w:val="lowerRoman"/>
        <w:pStyle w:val="6"/>
        <w:lvlText w:val="(%6)"/>
        <w:lvlJc w:val="left"/>
        <w:pPr>
          <w:ind w:left="0" w:firstLine="0"/>
        </w:pPr>
        <w:rPr>
          <w:rFonts w:hint="default"/>
        </w:rPr>
      </w:lvl>
    </w:lvlOverride>
    <w:lvlOverride w:ilvl="6">
      <w:lvl w:ilvl="6">
        <w:start w:val="1"/>
        <w:numFmt w:val="decimal"/>
        <w:lvlText w:val="%7."/>
        <w:lvlJc w:val="left"/>
        <w:pPr>
          <w:ind w:left="4395" w:firstLine="0"/>
        </w:pPr>
        <w:rPr>
          <w:rFonts w:hint="default"/>
        </w:rPr>
      </w:lvl>
    </w:lvlOverride>
    <w:lvlOverride w:ilvl="7">
      <w:lvl w:ilvl="7">
        <w:start w:val="1"/>
        <w:numFmt w:val="lowerLetter"/>
        <w:pStyle w:val="8"/>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40">
    <w:abstractNumId w:val="18"/>
  </w:num>
  <w:num w:numId="41">
    <w:abstractNumId w:val="47"/>
  </w:num>
  <w:num w:numId="42">
    <w:abstractNumId w:val="15"/>
  </w:num>
  <w:num w:numId="43">
    <w:abstractNumId w:val="44"/>
  </w:num>
  <w:num w:numId="44">
    <w:abstractNumId w:val="22"/>
  </w:num>
  <w:num w:numId="45">
    <w:abstractNumId w:val="52"/>
  </w:num>
  <w:num w:numId="46">
    <w:abstractNumId w:val="36"/>
  </w:num>
  <w:num w:numId="47">
    <w:abstractNumId w:val="46"/>
  </w:num>
  <w:num w:numId="48">
    <w:abstractNumId w:val="31"/>
  </w:num>
  <w:num w:numId="49">
    <w:abstractNumId w:val="24"/>
  </w:num>
  <w:num w:numId="50">
    <w:abstractNumId w:val="8"/>
  </w:num>
  <w:num w:numId="51">
    <w:abstractNumId w:val="9"/>
    <w:lvlOverride w:ilvl="0">
      <w:lvl w:ilvl="0">
        <w:start w:val="1"/>
        <w:numFmt w:val="decimal"/>
        <w:lvlText w:val="%1."/>
        <w:lvlJc w:val="left"/>
        <w:pPr>
          <w:ind w:left="0" w:firstLine="0"/>
        </w:pPr>
        <w:rPr>
          <w:rFonts w:ascii="Calibri" w:eastAsia="Times New Roman" w:hAnsi="Calibri" w:cs="Times New Roman"/>
        </w:rPr>
      </w:lvl>
    </w:lvlOverride>
    <w:lvlOverride w:ilvl="1">
      <w:lvl w:ilvl="1">
        <w:start w:val="1"/>
        <w:numFmt w:val="decimal"/>
        <w:pStyle w:val="2"/>
        <w:lvlText w:val="%2.1."/>
        <w:lvlJc w:val="left"/>
        <w:pPr>
          <w:ind w:left="0" w:firstLine="0"/>
        </w:pPr>
        <w:rPr>
          <w:rFonts w:hint="default"/>
        </w:rPr>
      </w:lvl>
    </w:lvlOverride>
    <w:lvlOverride w:ilvl="2">
      <w:lvl w:ilvl="2">
        <w:start w:val="1"/>
        <w:numFmt w:val="none"/>
        <w:lvlRestart w:val="0"/>
        <w:pStyle w:val="3"/>
        <w:lvlText w:val="%1.%2.1."/>
        <w:lvlJc w:val="left"/>
        <w:pPr>
          <w:ind w:left="142" w:firstLine="0"/>
        </w:pPr>
        <w:rPr>
          <w:rFonts w:hint="default"/>
        </w:rPr>
      </w:lvl>
    </w:lvlOverride>
    <w:lvlOverride w:ilvl="3">
      <w:lvl w:ilvl="3">
        <w:start w:val="1"/>
        <w:numFmt w:val="none"/>
        <w:lvlRestart w:val="1"/>
        <w:pStyle w:val="4"/>
        <w:lvlText w:val="%2"/>
        <w:lvlJc w:val="left"/>
        <w:pPr>
          <w:ind w:left="0" w:firstLine="0"/>
        </w:pPr>
        <w:rPr>
          <w:rFonts w:hint="default"/>
        </w:rPr>
      </w:lvl>
    </w:lvlOverride>
    <w:lvlOverride w:ilvl="4">
      <w:lvl w:ilvl="4">
        <w:start w:val="1"/>
        <w:numFmt w:val="lowerLetter"/>
        <w:pStyle w:val="5"/>
        <w:lvlText w:val="(%5)"/>
        <w:lvlJc w:val="left"/>
        <w:pPr>
          <w:ind w:left="0" w:firstLine="0"/>
        </w:pPr>
        <w:rPr>
          <w:rFonts w:hint="default"/>
        </w:rPr>
      </w:lvl>
    </w:lvlOverride>
    <w:lvlOverride w:ilvl="5">
      <w:lvl w:ilvl="5">
        <w:start w:val="1"/>
        <w:numFmt w:val="lowerRoman"/>
        <w:pStyle w:val="6"/>
        <w:lvlText w:val="(%6)"/>
        <w:lvlJc w:val="left"/>
        <w:pPr>
          <w:ind w:left="0" w:firstLine="0"/>
        </w:pPr>
        <w:rPr>
          <w:rFonts w:hint="default"/>
        </w:rPr>
      </w:lvl>
    </w:lvlOverride>
    <w:lvlOverride w:ilvl="6">
      <w:lvl w:ilvl="6">
        <w:start w:val="1"/>
        <w:numFmt w:val="decimal"/>
        <w:lvlText w:val="%7."/>
        <w:lvlJc w:val="left"/>
        <w:pPr>
          <w:ind w:left="4395" w:firstLine="0"/>
        </w:pPr>
        <w:rPr>
          <w:rFonts w:hint="default"/>
        </w:rPr>
      </w:lvl>
    </w:lvlOverride>
    <w:lvlOverride w:ilvl="7">
      <w:lvl w:ilvl="7">
        <w:start w:val="1"/>
        <w:numFmt w:val="lowerLetter"/>
        <w:pStyle w:val="8"/>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52">
    <w:abstractNumId w:val="37"/>
  </w:num>
  <w:num w:numId="53">
    <w:abstractNumId w:val="42"/>
  </w:num>
  <w:num w:numId="54">
    <w:abstractNumId w:val="48"/>
  </w:num>
  <w:num w:numId="55">
    <w:abstractNumId w:val="34"/>
  </w:num>
  <w:num w:numId="56">
    <w:abstractNumId w:val="9"/>
    <w:lvlOverride w:ilvl="0">
      <w:lvl w:ilvl="0">
        <w:start w:val="1"/>
        <w:numFmt w:val="decimal"/>
        <w:lvlText w:val="%1."/>
        <w:lvlJc w:val="left"/>
        <w:pPr>
          <w:ind w:left="0" w:firstLine="0"/>
        </w:pPr>
        <w:rPr>
          <w:rFonts w:ascii="Calibri" w:eastAsia="Times New Roman" w:hAnsi="Calibri" w:cs="Times New Roman"/>
        </w:rPr>
      </w:lvl>
    </w:lvlOverride>
    <w:lvlOverride w:ilvl="1">
      <w:lvl w:ilvl="1">
        <w:start w:val="1"/>
        <w:numFmt w:val="decimal"/>
        <w:pStyle w:val="2"/>
        <w:lvlText w:val="%2.1."/>
        <w:lvlJc w:val="left"/>
        <w:pPr>
          <w:ind w:left="0" w:firstLine="0"/>
        </w:pPr>
        <w:rPr>
          <w:rFonts w:hint="default"/>
        </w:rPr>
      </w:lvl>
    </w:lvlOverride>
    <w:lvlOverride w:ilvl="2">
      <w:lvl w:ilvl="2">
        <w:start w:val="1"/>
        <w:numFmt w:val="none"/>
        <w:lvlRestart w:val="0"/>
        <w:pStyle w:val="3"/>
        <w:lvlText w:val="%1.%2.1."/>
        <w:lvlJc w:val="left"/>
        <w:pPr>
          <w:ind w:left="142" w:firstLine="0"/>
        </w:pPr>
        <w:rPr>
          <w:rFonts w:hint="default"/>
        </w:rPr>
      </w:lvl>
    </w:lvlOverride>
    <w:lvlOverride w:ilvl="3">
      <w:lvl w:ilvl="3">
        <w:start w:val="1"/>
        <w:numFmt w:val="none"/>
        <w:lvlRestart w:val="1"/>
        <w:pStyle w:val="4"/>
        <w:lvlText w:val="%2"/>
        <w:lvlJc w:val="left"/>
        <w:pPr>
          <w:ind w:left="0" w:firstLine="0"/>
        </w:pPr>
        <w:rPr>
          <w:rFonts w:hint="default"/>
        </w:rPr>
      </w:lvl>
    </w:lvlOverride>
    <w:lvlOverride w:ilvl="4">
      <w:lvl w:ilvl="4">
        <w:start w:val="1"/>
        <w:numFmt w:val="lowerLetter"/>
        <w:pStyle w:val="5"/>
        <w:lvlText w:val="(%5)"/>
        <w:lvlJc w:val="left"/>
        <w:pPr>
          <w:ind w:left="0" w:firstLine="0"/>
        </w:pPr>
        <w:rPr>
          <w:rFonts w:hint="default"/>
        </w:rPr>
      </w:lvl>
    </w:lvlOverride>
    <w:lvlOverride w:ilvl="5">
      <w:lvl w:ilvl="5">
        <w:start w:val="1"/>
        <w:numFmt w:val="lowerRoman"/>
        <w:pStyle w:val="6"/>
        <w:lvlText w:val="(%6)"/>
        <w:lvlJc w:val="left"/>
        <w:pPr>
          <w:ind w:left="0" w:firstLine="0"/>
        </w:pPr>
        <w:rPr>
          <w:rFonts w:hint="default"/>
        </w:rPr>
      </w:lvl>
    </w:lvlOverride>
    <w:lvlOverride w:ilvl="6">
      <w:lvl w:ilvl="6">
        <w:start w:val="1"/>
        <w:numFmt w:val="decimal"/>
        <w:lvlText w:val="%7."/>
        <w:lvlJc w:val="left"/>
        <w:pPr>
          <w:ind w:left="4395" w:firstLine="0"/>
        </w:pPr>
        <w:rPr>
          <w:rFonts w:hint="default"/>
        </w:rPr>
      </w:lvl>
    </w:lvlOverride>
    <w:lvlOverride w:ilvl="7">
      <w:lvl w:ilvl="7">
        <w:start w:val="1"/>
        <w:numFmt w:val="lowerLetter"/>
        <w:pStyle w:val="8"/>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57">
    <w:abstractNumId w:val="20"/>
  </w:num>
  <w:num w:numId="58">
    <w:abstractNumId w:val="50"/>
  </w:num>
  <w:num w:numId="59">
    <w:abstractNumId w:val="9"/>
    <w:lvlOverride w:ilvl="0">
      <w:lvl w:ilvl="0">
        <w:start w:val="1"/>
        <w:numFmt w:val="decimal"/>
        <w:lvlText w:val="%1."/>
        <w:lvlJc w:val="left"/>
        <w:pPr>
          <w:ind w:left="0" w:firstLine="0"/>
        </w:pPr>
        <w:rPr>
          <w:rFonts w:ascii="Calibri" w:eastAsia="Times New Roman" w:hAnsi="Calibri" w:cs="Times New Roman"/>
        </w:rPr>
      </w:lvl>
    </w:lvlOverride>
    <w:lvlOverride w:ilvl="1">
      <w:lvl w:ilvl="1">
        <w:start w:val="1"/>
        <w:numFmt w:val="decimal"/>
        <w:pStyle w:val="2"/>
        <w:lvlText w:val="%2.1."/>
        <w:lvlJc w:val="left"/>
        <w:pPr>
          <w:ind w:left="0" w:firstLine="0"/>
        </w:pPr>
        <w:rPr>
          <w:rFonts w:hint="default"/>
        </w:rPr>
      </w:lvl>
    </w:lvlOverride>
    <w:lvlOverride w:ilvl="2">
      <w:lvl w:ilvl="2">
        <w:start w:val="1"/>
        <w:numFmt w:val="none"/>
        <w:lvlRestart w:val="0"/>
        <w:pStyle w:val="3"/>
        <w:lvlText w:val="%1.%2.1."/>
        <w:lvlJc w:val="left"/>
        <w:pPr>
          <w:ind w:left="142" w:firstLine="0"/>
        </w:pPr>
        <w:rPr>
          <w:rFonts w:hint="default"/>
        </w:rPr>
      </w:lvl>
    </w:lvlOverride>
    <w:lvlOverride w:ilvl="3">
      <w:lvl w:ilvl="3">
        <w:start w:val="1"/>
        <w:numFmt w:val="none"/>
        <w:lvlRestart w:val="1"/>
        <w:pStyle w:val="4"/>
        <w:lvlText w:val="%2"/>
        <w:lvlJc w:val="left"/>
        <w:pPr>
          <w:ind w:left="0" w:firstLine="0"/>
        </w:pPr>
        <w:rPr>
          <w:rFonts w:hint="default"/>
        </w:rPr>
      </w:lvl>
    </w:lvlOverride>
    <w:lvlOverride w:ilvl="4">
      <w:lvl w:ilvl="4">
        <w:start w:val="1"/>
        <w:numFmt w:val="lowerLetter"/>
        <w:pStyle w:val="5"/>
        <w:lvlText w:val="(%5)"/>
        <w:lvlJc w:val="left"/>
        <w:pPr>
          <w:ind w:left="0" w:firstLine="0"/>
        </w:pPr>
        <w:rPr>
          <w:rFonts w:hint="default"/>
        </w:rPr>
      </w:lvl>
    </w:lvlOverride>
    <w:lvlOverride w:ilvl="5">
      <w:lvl w:ilvl="5">
        <w:start w:val="1"/>
        <w:numFmt w:val="lowerRoman"/>
        <w:pStyle w:val="6"/>
        <w:lvlText w:val="(%6)"/>
        <w:lvlJc w:val="left"/>
        <w:pPr>
          <w:ind w:left="0" w:firstLine="0"/>
        </w:pPr>
        <w:rPr>
          <w:rFonts w:hint="default"/>
        </w:rPr>
      </w:lvl>
    </w:lvlOverride>
    <w:lvlOverride w:ilvl="6">
      <w:lvl w:ilvl="6">
        <w:start w:val="1"/>
        <w:numFmt w:val="decimal"/>
        <w:lvlText w:val="%7."/>
        <w:lvlJc w:val="left"/>
        <w:pPr>
          <w:ind w:left="4395" w:firstLine="0"/>
        </w:pPr>
        <w:rPr>
          <w:rFonts w:hint="default"/>
        </w:rPr>
      </w:lvl>
    </w:lvlOverride>
    <w:lvlOverride w:ilvl="7">
      <w:lvl w:ilvl="7">
        <w:start w:val="1"/>
        <w:numFmt w:val="lowerLetter"/>
        <w:pStyle w:val="8"/>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ru-RU" w:vendorID="64" w:dllVersion="0" w:nlCheck="1" w:checkStyle="0"/>
  <w:activeWritingStyle w:appName="MSWord" w:lang="en-NZ" w:vendorID="64" w:dllVersion="0" w:nlCheck="1" w:checkStyle="1"/>
  <w:activeWritingStyle w:appName="MSWord" w:lang="pt-BR" w:vendorID="64" w:dllVersion="0"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0"/>
  <w:activeWritingStyle w:appName="MSWord" w:lang="fr-FR" w:vendorID="64" w:dllVersion="6"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AzsTQxNzUyMzG3MDZV0lEKTi0uzszPAymwqAUAKCRdgiwAAAA="/>
  </w:docVars>
  <w:rsids>
    <w:rsidRoot w:val="00991FF7"/>
    <w:rsid w:val="00000CA8"/>
    <w:rsid w:val="00001D86"/>
    <w:rsid w:val="0000278F"/>
    <w:rsid w:val="00002A5F"/>
    <w:rsid w:val="00002CC1"/>
    <w:rsid w:val="00002CE3"/>
    <w:rsid w:val="00003C72"/>
    <w:rsid w:val="00004157"/>
    <w:rsid w:val="00005123"/>
    <w:rsid w:val="00005125"/>
    <w:rsid w:val="00005456"/>
    <w:rsid w:val="00005667"/>
    <w:rsid w:val="000056E1"/>
    <w:rsid w:val="000057AA"/>
    <w:rsid w:val="00005845"/>
    <w:rsid w:val="0000586A"/>
    <w:rsid w:val="00005CA6"/>
    <w:rsid w:val="00005D48"/>
    <w:rsid w:val="0000683B"/>
    <w:rsid w:val="000075A3"/>
    <w:rsid w:val="000077F2"/>
    <w:rsid w:val="000101B0"/>
    <w:rsid w:val="0001078D"/>
    <w:rsid w:val="000107D3"/>
    <w:rsid w:val="0001093E"/>
    <w:rsid w:val="00010E47"/>
    <w:rsid w:val="00010E68"/>
    <w:rsid w:val="00010EE2"/>
    <w:rsid w:val="00011104"/>
    <w:rsid w:val="0001134C"/>
    <w:rsid w:val="0001168F"/>
    <w:rsid w:val="00011E77"/>
    <w:rsid w:val="00011EED"/>
    <w:rsid w:val="0001215E"/>
    <w:rsid w:val="000122EA"/>
    <w:rsid w:val="000125B2"/>
    <w:rsid w:val="00012E6B"/>
    <w:rsid w:val="000131D9"/>
    <w:rsid w:val="00013523"/>
    <w:rsid w:val="000136F2"/>
    <w:rsid w:val="00013ADE"/>
    <w:rsid w:val="00014EFF"/>
    <w:rsid w:val="00015653"/>
    <w:rsid w:val="00015854"/>
    <w:rsid w:val="00015860"/>
    <w:rsid w:val="00015ADA"/>
    <w:rsid w:val="00015B6A"/>
    <w:rsid w:val="00016492"/>
    <w:rsid w:val="00016649"/>
    <w:rsid w:val="000177F6"/>
    <w:rsid w:val="00017BFE"/>
    <w:rsid w:val="00017D90"/>
    <w:rsid w:val="000205AF"/>
    <w:rsid w:val="00020895"/>
    <w:rsid w:val="00020AA0"/>
    <w:rsid w:val="00021004"/>
    <w:rsid w:val="0002103D"/>
    <w:rsid w:val="00021238"/>
    <w:rsid w:val="000217F5"/>
    <w:rsid w:val="00021B90"/>
    <w:rsid w:val="00022401"/>
    <w:rsid w:val="0002252F"/>
    <w:rsid w:val="000225BF"/>
    <w:rsid w:val="00022DE9"/>
    <w:rsid w:val="000230A3"/>
    <w:rsid w:val="00023435"/>
    <w:rsid w:val="000234A8"/>
    <w:rsid w:val="00023A76"/>
    <w:rsid w:val="00023C29"/>
    <w:rsid w:val="0002412C"/>
    <w:rsid w:val="00024495"/>
    <w:rsid w:val="0002489D"/>
    <w:rsid w:val="00025012"/>
    <w:rsid w:val="0002530B"/>
    <w:rsid w:val="00025C9A"/>
    <w:rsid w:val="00025E57"/>
    <w:rsid w:val="000260FF"/>
    <w:rsid w:val="00026455"/>
    <w:rsid w:val="0002661F"/>
    <w:rsid w:val="000266D2"/>
    <w:rsid w:val="00026D64"/>
    <w:rsid w:val="00030007"/>
    <w:rsid w:val="00030E1D"/>
    <w:rsid w:val="0003122B"/>
    <w:rsid w:val="00031E16"/>
    <w:rsid w:val="00031E84"/>
    <w:rsid w:val="0003214C"/>
    <w:rsid w:val="00032241"/>
    <w:rsid w:val="00032504"/>
    <w:rsid w:val="0003253D"/>
    <w:rsid w:val="00032E37"/>
    <w:rsid w:val="0003375B"/>
    <w:rsid w:val="00033869"/>
    <w:rsid w:val="00033958"/>
    <w:rsid w:val="00033F65"/>
    <w:rsid w:val="000340EB"/>
    <w:rsid w:val="000341EA"/>
    <w:rsid w:val="00034508"/>
    <w:rsid w:val="000348DE"/>
    <w:rsid w:val="00034B29"/>
    <w:rsid w:val="0003544E"/>
    <w:rsid w:val="00035830"/>
    <w:rsid w:val="000359A5"/>
    <w:rsid w:val="00035C0D"/>
    <w:rsid w:val="00035D96"/>
    <w:rsid w:val="0003646E"/>
    <w:rsid w:val="00036804"/>
    <w:rsid w:val="00036A5C"/>
    <w:rsid w:val="00036F60"/>
    <w:rsid w:val="0003763F"/>
    <w:rsid w:val="000377AB"/>
    <w:rsid w:val="0003782E"/>
    <w:rsid w:val="00037A3E"/>
    <w:rsid w:val="00037E21"/>
    <w:rsid w:val="00040511"/>
    <w:rsid w:val="0004072C"/>
    <w:rsid w:val="00040B34"/>
    <w:rsid w:val="00041830"/>
    <w:rsid w:val="00041B17"/>
    <w:rsid w:val="00041E0C"/>
    <w:rsid w:val="00041FE0"/>
    <w:rsid w:val="00042BB9"/>
    <w:rsid w:val="00043249"/>
    <w:rsid w:val="0004344E"/>
    <w:rsid w:val="00043685"/>
    <w:rsid w:val="00043A4B"/>
    <w:rsid w:val="00044177"/>
    <w:rsid w:val="000441E9"/>
    <w:rsid w:val="0004450C"/>
    <w:rsid w:val="000445AD"/>
    <w:rsid w:val="00044654"/>
    <w:rsid w:val="00044655"/>
    <w:rsid w:val="00044AAC"/>
    <w:rsid w:val="00044B8D"/>
    <w:rsid w:val="00044BD9"/>
    <w:rsid w:val="00044FDD"/>
    <w:rsid w:val="00045586"/>
    <w:rsid w:val="0004558E"/>
    <w:rsid w:val="000459A0"/>
    <w:rsid w:val="00045FA7"/>
    <w:rsid w:val="000464F1"/>
    <w:rsid w:val="000465AB"/>
    <w:rsid w:val="00046804"/>
    <w:rsid w:val="00046CF8"/>
    <w:rsid w:val="00047121"/>
    <w:rsid w:val="000477B7"/>
    <w:rsid w:val="00047916"/>
    <w:rsid w:val="00050021"/>
    <w:rsid w:val="00050084"/>
    <w:rsid w:val="000509F3"/>
    <w:rsid w:val="00050D84"/>
    <w:rsid w:val="0005135E"/>
    <w:rsid w:val="000513BC"/>
    <w:rsid w:val="0005159D"/>
    <w:rsid w:val="00051A25"/>
    <w:rsid w:val="0005232E"/>
    <w:rsid w:val="00052EF5"/>
    <w:rsid w:val="00053066"/>
    <w:rsid w:val="00053494"/>
    <w:rsid w:val="0005351F"/>
    <w:rsid w:val="000540EE"/>
    <w:rsid w:val="00054895"/>
    <w:rsid w:val="000548D9"/>
    <w:rsid w:val="00054983"/>
    <w:rsid w:val="000549A0"/>
    <w:rsid w:val="00054B0C"/>
    <w:rsid w:val="00054EB2"/>
    <w:rsid w:val="0005530F"/>
    <w:rsid w:val="00055372"/>
    <w:rsid w:val="000556B9"/>
    <w:rsid w:val="000556CB"/>
    <w:rsid w:val="0005571B"/>
    <w:rsid w:val="00055972"/>
    <w:rsid w:val="00055AC7"/>
    <w:rsid w:val="00055F28"/>
    <w:rsid w:val="00056113"/>
    <w:rsid w:val="000561E4"/>
    <w:rsid w:val="00056567"/>
    <w:rsid w:val="000565AB"/>
    <w:rsid w:val="00056B16"/>
    <w:rsid w:val="00056D4A"/>
    <w:rsid w:val="000575CF"/>
    <w:rsid w:val="00057E03"/>
    <w:rsid w:val="00057F1E"/>
    <w:rsid w:val="0006004C"/>
    <w:rsid w:val="0006010A"/>
    <w:rsid w:val="0006041E"/>
    <w:rsid w:val="00060D9A"/>
    <w:rsid w:val="00060E4F"/>
    <w:rsid w:val="00060FF1"/>
    <w:rsid w:val="00061536"/>
    <w:rsid w:val="00062063"/>
    <w:rsid w:val="00062792"/>
    <w:rsid w:val="00062E78"/>
    <w:rsid w:val="00063268"/>
    <w:rsid w:val="00063696"/>
    <w:rsid w:val="00063762"/>
    <w:rsid w:val="00063902"/>
    <w:rsid w:val="00063935"/>
    <w:rsid w:val="00063A34"/>
    <w:rsid w:val="00063BFA"/>
    <w:rsid w:val="00063D70"/>
    <w:rsid w:val="00063DD1"/>
    <w:rsid w:val="00063E7C"/>
    <w:rsid w:val="00064A16"/>
    <w:rsid w:val="00064A64"/>
    <w:rsid w:val="00064BBE"/>
    <w:rsid w:val="0006562F"/>
    <w:rsid w:val="00065D3D"/>
    <w:rsid w:val="000661E4"/>
    <w:rsid w:val="00066A40"/>
    <w:rsid w:val="00066A76"/>
    <w:rsid w:val="00066C4E"/>
    <w:rsid w:val="0006739A"/>
    <w:rsid w:val="0006741E"/>
    <w:rsid w:val="0006793B"/>
    <w:rsid w:val="00067C2A"/>
    <w:rsid w:val="00067F8E"/>
    <w:rsid w:val="00067FC8"/>
    <w:rsid w:val="00070127"/>
    <w:rsid w:val="00070B1A"/>
    <w:rsid w:val="00070B67"/>
    <w:rsid w:val="00070B93"/>
    <w:rsid w:val="0007137A"/>
    <w:rsid w:val="000715AE"/>
    <w:rsid w:val="00071796"/>
    <w:rsid w:val="00071E65"/>
    <w:rsid w:val="00071F11"/>
    <w:rsid w:val="00072370"/>
    <w:rsid w:val="00072754"/>
    <w:rsid w:val="00072768"/>
    <w:rsid w:val="000729D2"/>
    <w:rsid w:val="00072CB3"/>
    <w:rsid w:val="00072DC0"/>
    <w:rsid w:val="0007348D"/>
    <w:rsid w:val="000734D7"/>
    <w:rsid w:val="000734EF"/>
    <w:rsid w:val="0007388D"/>
    <w:rsid w:val="00073978"/>
    <w:rsid w:val="0007404F"/>
    <w:rsid w:val="00074763"/>
    <w:rsid w:val="0007479A"/>
    <w:rsid w:val="000748FE"/>
    <w:rsid w:val="00074B7D"/>
    <w:rsid w:val="00074CF1"/>
    <w:rsid w:val="00074D27"/>
    <w:rsid w:val="00075056"/>
    <w:rsid w:val="00075100"/>
    <w:rsid w:val="00075324"/>
    <w:rsid w:val="000761BB"/>
    <w:rsid w:val="000761BF"/>
    <w:rsid w:val="00076539"/>
    <w:rsid w:val="00077232"/>
    <w:rsid w:val="00077367"/>
    <w:rsid w:val="000777DB"/>
    <w:rsid w:val="00080740"/>
    <w:rsid w:val="00080A5F"/>
    <w:rsid w:val="00080BD1"/>
    <w:rsid w:val="00080EAA"/>
    <w:rsid w:val="000816B1"/>
    <w:rsid w:val="00081B5A"/>
    <w:rsid w:val="000824D6"/>
    <w:rsid w:val="00082B33"/>
    <w:rsid w:val="00082B40"/>
    <w:rsid w:val="00082C98"/>
    <w:rsid w:val="00082E59"/>
    <w:rsid w:val="0008309A"/>
    <w:rsid w:val="000843BA"/>
    <w:rsid w:val="000843F3"/>
    <w:rsid w:val="0008485F"/>
    <w:rsid w:val="00084B95"/>
    <w:rsid w:val="00084E2B"/>
    <w:rsid w:val="00085230"/>
    <w:rsid w:val="0008599F"/>
    <w:rsid w:val="000867F9"/>
    <w:rsid w:val="00086D18"/>
    <w:rsid w:val="00086FA9"/>
    <w:rsid w:val="000871CD"/>
    <w:rsid w:val="00087334"/>
    <w:rsid w:val="0009015D"/>
    <w:rsid w:val="000902FD"/>
    <w:rsid w:val="00090966"/>
    <w:rsid w:val="00090BF9"/>
    <w:rsid w:val="00090D3E"/>
    <w:rsid w:val="0009100C"/>
    <w:rsid w:val="0009107D"/>
    <w:rsid w:val="00092141"/>
    <w:rsid w:val="000923DC"/>
    <w:rsid w:val="0009264E"/>
    <w:rsid w:val="00093458"/>
    <w:rsid w:val="00093780"/>
    <w:rsid w:val="000938C2"/>
    <w:rsid w:val="00094432"/>
    <w:rsid w:val="000944AD"/>
    <w:rsid w:val="000944FE"/>
    <w:rsid w:val="00094A6E"/>
    <w:rsid w:val="00094E53"/>
    <w:rsid w:val="00095885"/>
    <w:rsid w:val="00096087"/>
    <w:rsid w:val="00096807"/>
    <w:rsid w:val="00096C29"/>
    <w:rsid w:val="00097017"/>
    <w:rsid w:val="000971A7"/>
    <w:rsid w:val="000972F6"/>
    <w:rsid w:val="000973F9"/>
    <w:rsid w:val="00097444"/>
    <w:rsid w:val="0009751A"/>
    <w:rsid w:val="00097632"/>
    <w:rsid w:val="00097A1E"/>
    <w:rsid w:val="00097EA2"/>
    <w:rsid w:val="00097F0F"/>
    <w:rsid w:val="000A024F"/>
    <w:rsid w:val="000A0289"/>
    <w:rsid w:val="000A0830"/>
    <w:rsid w:val="000A08E0"/>
    <w:rsid w:val="000A0B19"/>
    <w:rsid w:val="000A0B46"/>
    <w:rsid w:val="000A0E18"/>
    <w:rsid w:val="000A0F4C"/>
    <w:rsid w:val="000A1533"/>
    <w:rsid w:val="000A1DEB"/>
    <w:rsid w:val="000A20A2"/>
    <w:rsid w:val="000A21B8"/>
    <w:rsid w:val="000A2279"/>
    <w:rsid w:val="000A2C62"/>
    <w:rsid w:val="000A2F7D"/>
    <w:rsid w:val="000A308B"/>
    <w:rsid w:val="000A3778"/>
    <w:rsid w:val="000A3ABF"/>
    <w:rsid w:val="000A4287"/>
    <w:rsid w:val="000A4495"/>
    <w:rsid w:val="000A44E4"/>
    <w:rsid w:val="000A4779"/>
    <w:rsid w:val="000A47FB"/>
    <w:rsid w:val="000A498F"/>
    <w:rsid w:val="000A4D33"/>
    <w:rsid w:val="000A5408"/>
    <w:rsid w:val="000A5FFD"/>
    <w:rsid w:val="000A60FE"/>
    <w:rsid w:val="000A6186"/>
    <w:rsid w:val="000A6583"/>
    <w:rsid w:val="000A6970"/>
    <w:rsid w:val="000A6A7D"/>
    <w:rsid w:val="000A6CEB"/>
    <w:rsid w:val="000A6D37"/>
    <w:rsid w:val="000A6EF8"/>
    <w:rsid w:val="000A74B2"/>
    <w:rsid w:val="000A798A"/>
    <w:rsid w:val="000A7B8A"/>
    <w:rsid w:val="000B0BEC"/>
    <w:rsid w:val="000B0C1A"/>
    <w:rsid w:val="000B14C7"/>
    <w:rsid w:val="000B16C3"/>
    <w:rsid w:val="000B16F0"/>
    <w:rsid w:val="000B1BA8"/>
    <w:rsid w:val="000B36AF"/>
    <w:rsid w:val="000B3A46"/>
    <w:rsid w:val="000B3D4F"/>
    <w:rsid w:val="000B48A6"/>
    <w:rsid w:val="000B496C"/>
    <w:rsid w:val="000B4C07"/>
    <w:rsid w:val="000B4FF6"/>
    <w:rsid w:val="000B5072"/>
    <w:rsid w:val="000B508E"/>
    <w:rsid w:val="000B543E"/>
    <w:rsid w:val="000B5523"/>
    <w:rsid w:val="000B5E17"/>
    <w:rsid w:val="000B6775"/>
    <w:rsid w:val="000B69ED"/>
    <w:rsid w:val="000B6E29"/>
    <w:rsid w:val="000B776C"/>
    <w:rsid w:val="000B7B72"/>
    <w:rsid w:val="000C0415"/>
    <w:rsid w:val="000C06D6"/>
    <w:rsid w:val="000C109D"/>
    <w:rsid w:val="000C1847"/>
    <w:rsid w:val="000C1D2C"/>
    <w:rsid w:val="000C2571"/>
    <w:rsid w:val="000C2632"/>
    <w:rsid w:val="000C27AC"/>
    <w:rsid w:val="000C295E"/>
    <w:rsid w:val="000C352C"/>
    <w:rsid w:val="000C3D1A"/>
    <w:rsid w:val="000C4641"/>
    <w:rsid w:val="000C498C"/>
    <w:rsid w:val="000C4DDD"/>
    <w:rsid w:val="000C506D"/>
    <w:rsid w:val="000C533E"/>
    <w:rsid w:val="000C53C5"/>
    <w:rsid w:val="000C5C1D"/>
    <w:rsid w:val="000C5F12"/>
    <w:rsid w:val="000C61B9"/>
    <w:rsid w:val="000C630E"/>
    <w:rsid w:val="000C66BF"/>
    <w:rsid w:val="000C77B5"/>
    <w:rsid w:val="000C78C6"/>
    <w:rsid w:val="000D00F9"/>
    <w:rsid w:val="000D048C"/>
    <w:rsid w:val="000D05BB"/>
    <w:rsid w:val="000D0818"/>
    <w:rsid w:val="000D09AB"/>
    <w:rsid w:val="000D0ABB"/>
    <w:rsid w:val="000D0ED2"/>
    <w:rsid w:val="000D0FD6"/>
    <w:rsid w:val="000D11EC"/>
    <w:rsid w:val="000D1449"/>
    <w:rsid w:val="000D1A71"/>
    <w:rsid w:val="000D1E42"/>
    <w:rsid w:val="000D1EE9"/>
    <w:rsid w:val="000D1F56"/>
    <w:rsid w:val="000D26BE"/>
    <w:rsid w:val="000D285B"/>
    <w:rsid w:val="000D2A90"/>
    <w:rsid w:val="000D2DF2"/>
    <w:rsid w:val="000D2E10"/>
    <w:rsid w:val="000D3449"/>
    <w:rsid w:val="000D3D7D"/>
    <w:rsid w:val="000D3FBD"/>
    <w:rsid w:val="000D40AD"/>
    <w:rsid w:val="000D43BE"/>
    <w:rsid w:val="000D451E"/>
    <w:rsid w:val="000D45FB"/>
    <w:rsid w:val="000D477B"/>
    <w:rsid w:val="000D4E89"/>
    <w:rsid w:val="000D5052"/>
    <w:rsid w:val="000D5385"/>
    <w:rsid w:val="000D6334"/>
    <w:rsid w:val="000D65C1"/>
    <w:rsid w:val="000D682B"/>
    <w:rsid w:val="000D7007"/>
    <w:rsid w:val="000D74B4"/>
    <w:rsid w:val="000D7D05"/>
    <w:rsid w:val="000E089B"/>
    <w:rsid w:val="000E0B79"/>
    <w:rsid w:val="000E0DAD"/>
    <w:rsid w:val="000E17F6"/>
    <w:rsid w:val="000E2363"/>
    <w:rsid w:val="000E2CEB"/>
    <w:rsid w:val="000E3117"/>
    <w:rsid w:val="000E3178"/>
    <w:rsid w:val="000E3C19"/>
    <w:rsid w:val="000E4220"/>
    <w:rsid w:val="000E4628"/>
    <w:rsid w:val="000E506E"/>
    <w:rsid w:val="000E586B"/>
    <w:rsid w:val="000E5989"/>
    <w:rsid w:val="000E5B28"/>
    <w:rsid w:val="000E5D08"/>
    <w:rsid w:val="000E6178"/>
    <w:rsid w:val="000E6481"/>
    <w:rsid w:val="000E6550"/>
    <w:rsid w:val="000E709F"/>
    <w:rsid w:val="000E74DC"/>
    <w:rsid w:val="000E7618"/>
    <w:rsid w:val="000E76FF"/>
    <w:rsid w:val="000E7AD0"/>
    <w:rsid w:val="000E7EBF"/>
    <w:rsid w:val="000F0E78"/>
    <w:rsid w:val="000F17C2"/>
    <w:rsid w:val="000F1A04"/>
    <w:rsid w:val="000F225E"/>
    <w:rsid w:val="000F26B8"/>
    <w:rsid w:val="000F278A"/>
    <w:rsid w:val="000F2B73"/>
    <w:rsid w:val="000F2C3A"/>
    <w:rsid w:val="000F3008"/>
    <w:rsid w:val="000F3057"/>
    <w:rsid w:val="000F32EE"/>
    <w:rsid w:val="000F3503"/>
    <w:rsid w:val="000F3A81"/>
    <w:rsid w:val="000F4082"/>
    <w:rsid w:val="000F4475"/>
    <w:rsid w:val="000F468D"/>
    <w:rsid w:val="000F477E"/>
    <w:rsid w:val="000F51C9"/>
    <w:rsid w:val="000F55A3"/>
    <w:rsid w:val="000F5920"/>
    <w:rsid w:val="000F5CDD"/>
    <w:rsid w:val="000F6317"/>
    <w:rsid w:val="000F635E"/>
    <w:rsid w:val="000F64F0"/>
    <w:rsid w:val="000F6504"/>
    <w:rsid w:val="000F6AFE"/>
    <w:rsid w:val="000F6F9F"/>
    <w:rsid w:val="000F7D6B"/>
    <w:rsid w:val="000F7F6A"/>
    <w:rsid w:val="00100549"/>
    <w:rsid w:val="00100721"/>
    <w:rsid w:val="00100A33"/>
    <w:rsid w:val="00100C08"/>
    <w:rsid w:val="00100F1C"/>
    <w:rsid w:val="00101023"/>
    <w:rsid w:val="0010116A"/>
    <w:rsid w:val="00101B75"/>
    <w:rsid w:val="00101F60"/>
    <w:rsid w:val="00102B8E"/>
    <w:rsid w:val="00102C1E"/>
    <w:rsid w:val="0010388E"/>
    <w:rsid w:val="00103E01"/>
    <w:rsid w:val="001047C6"/>
    <w:rsid w:val="0010513A"/>
    <w:rsid w:val="00105D4D"/>
    <w:rsid w:val="00105EF0"/>
    <w:rsid w:val="001060F5"/>
    <w:rsid w:val="0010635E"/>
    <w:rsid w:val="00106396"/>
    <w:rsid w:val="001068EA"/>
    <w:rsid w:val="00106A63"/>
    <w:rsid w:val="00106D42"/>
    <w:rsid w:val="001071AE"/>
    <w:rsid w:val="00107472"/>
    <w:rsid w:val="00107D07"/>
    <w:rsid w:val="00110171"/>
    <w:rsid w:val="001106D9"/>
    <w:rsid w:val="001107FC"/>
    <w:rsid w:val="00110869"/>
    <w:rsid w:val="00110B0F"/>
    <w:rsid w:val="00110C50"/>
    <w:rsid w:val="00111347"/>
    <w:rsid w:val="0011158A"/>
    <w:rsid w:val="00111710"/>
    <w:rsid w:val="00111777"/>
    <w:rsid w:val="00111DDE"/>
    <w:rsid w:val="001123E5"/>
    <w:rsid w:val="00112F30"/>
    <w:rsid w:val="00113106"/>
    <w:rsid w:val="001134AE"/>
    <w:rsid w:val="00113B22"/>
    <w:rsid w:val="00114217"/>
    <w:rsid w:val="0011459A"/>
    <w:rsid w:val="001149D1"/>
    <w:rsid w:val="00114F73"/>
    <w:rsid w:val="00115279"/>
    <w:rsid w:val="00115B6D"/>
    <w:rsid w:val="00115EED"/>
    <w:rsid w:val="001166C1"/>
    <w:rsid w:val="00116FCA"/>
    <w:rsid w:val="0011725F"/>
    <w:rsid w:val="00117E23"/>
    <w:rsid w:val="00117EAD"/>
    <w:rsid w:val="00120135"/>
    <w:rsid w:val="0012042E"/>
    <w:rsid w:val="0012047E"/>
    <w:rsid w:val="0012084C"/>
    <w:rsid w:val="00121376"/>
    <w:rsid w:val="00121506"/>
    <w:rsid w:val="00121DBA"/>
    <w:rsid w:val="00122301"/>
    <w:rsid w:val="00122BBE"/>
    <w:rsid w:val="00123B59"/>
    <w:rsid w:val="00123C0E"/>
    <w:rsid w:val="00124080"/>
    <w:rsid w:val="00124EF1"/>
    <w:rsid w:val="001252EE"/>
    <w:rsid w:val="0012547F"/>
    <w:rsid w:val="00125B49"/>
    <w:rsid w:val="00125E42"/>
    <w:rsid w:val="00126D7F"/>
    <w:rsid w:val="0012748B"/>
    <w:rsid w:val="001274AB"/>
    <w:rsid w:val="00127659"/>
    <w:rsid w:val="00127866"/>
    <w:rsid w:val="00127D0D"/>
    <w:rsid w:val="001304B5"/>
    <w:rsid w:val="00130603"/>
    <w:rsid w:val="0013084B"/>
    <w:rsid w:val="001309D3"/>
    <w:rsid w:val="001310FB"/>
    <w:rsid w:val="00131A2B"/>
    <w:rsid w:val="00131D00"/>
    <w:rsid w:val="00132796"/>
    <w:rsid w:val="00132F4B"/>
    <w:rsid w:val="00132FCB"/>
    <w:rsid w:val="00133018"/>
    <w:rsid w:val="0013320B"/>
    <w:rsid w:val="001332DA"/>
    <w:rsid w:val="00133703"/>
    <w:rsid w:val="00133902"/>
    <w:rsid w:val="0013439E"/>
    <w:rsid w:val="001348D8"/>
    <w:rsid w:val="00134F15"/>
    <w:rsid w:val="0013529A"/>
    <w:rsid w:val="00135392"/>
    <w:rsid w:val="00135706"/>
    <w:rsid w:val="00135A5F"/>
    <w:rsid w:val="00136C5E"/>
    <w:rsid w:val="00136C7B"/>
    <w:rsid w:val="00137C16"/>
    <w:rsid w:val="00137F67"/>
    <w:rsid w:val="00140EE1"/>
    <w:rsid w:val="00140FA1"/>
    <w:rsid w:val="001411C6"/>
    <w:rsid w:val="00141B89"/>
    <w:rsid w:val="00141ED3"/>
    <w:rsid w:val="00142497"/>
    <w:rsid w:val="00142791"/>
    <w:rsid w:val="00142B69"/>
    <w:rsid w:val="00142D7F"/>
    <w:rsid w:val="00142F51"/>
    <w:rsid w:val="00143544"/>
    <w:rsid w:val="00143B00"/>
    <w:rsid w:val="00143B91"/>
    <w:rsid w:val="00143F97"/>
    <w:rsid w:val="001441A6"/>
    <w:rsid w:val="001443C3"/>
    <w:rsid w:val="001447EB"/>
    <w:rsid w:val="00145010"/>
    <w:rsid w:val="001450F2"/>
    <w:rsid w:val="001455F1"/>
    <w:rsid w:val="00145816"/>
    <w:rsid w:val="00145896"/>
    <w:rsid w:val="00146321"/>
    <w:rsid w:val="00146350"/>
    <w:rsid w:val="0014662F"/>
    <w:rsid w:val="0014673C"/>
    <w:rsid w:val="0014683C"/>
    <w:rsid w:val="00146BB3"/>
    <w:rsid w:val="00146C58"/>
    <w:rsid w:val="00146D5A"/>
    <w:rsid w:val="00146DAE"/>
    <w:rsid w:val="00147529"/>
    <w:rsid w:val="00147A34"/>
    <w:rsid w:val="0015056C"/>
    <w:rsid w:val="00150C86"/>
    <w:rsid w:val="00150F69"/>
    <w:rsid w:val="001512BB"/>
    <w:rsid w:val="0015241F"/>
    <w:rsid w:val="00152AF4"/>
    <w:rsid w:val="00152D55"/>
    <w:rsid w:val="001530B0"/>
    <w:rsid w:val="00153156"/>
    <w:rsid w:val="001532E7"/>
    <w:rsid w:val="00153794"/>
    <w:rsid w:val="00153DFA"/>
    <w:rsid w:val="00153E02"/>
    <w:rsid w:val="001545B6"/>
    <w:rsid w:val="00154A57"/>
    <w:rsid w:val="00154BA8"/>
    <w:rsid w:val="00155458"/>
    <w:rsid w:val="00155610"/>
    <w:rsid w:val="0015568A"/>
    <w:rsid w:val="00155911"/>
    <w:rsid w:val="00155B5E"/>
    <w:rsid w:val="00155D98"/>
    <w:rsid w:val="0015600E"/>
    <w:rsid w:val="001566BA"/>
    <w:rsid w:val="0015681B"/>
    <w:rsid w:val="0015686F"/>
    <w:rsid w:val="00156889"/>
    <w:rsid w:val="001568C9"/>
    <w:rsid w:val="00156C3E"/>
    <w:rsid w:val="00156DD9"/>
    <w:rsid w:val="00157002"/>
    <w:rsid w:val="001571F9"/>
    <w:rsid w:val="0015737E"/>
    <w:rsid w:val="00157B5D"/>
    <w:rsid w:val="00157CFD"/>
    <w:rsid w:val="00157E85"/>
    <w:rsid w:val="0016045E"/>
    <w:rsid w:val="00160F58"/>
    <w:rsid w:val="001612E3"/>
    <w:rsid w:val="001614E1"/>
    <w:rsid w:val="001617DC"/>
    <w:rsid w:val="00161809"/>
    <w:rsid w:val="0016180B"/>
    <w:rsid w:val="00161F04"/>
    <w:rsid w:val="001624E8"/>
    <w:rsid w:val="00162560"/>
    <w:rsid w:val="001625D0"/>
    <w:rsid w:val="00162B97"/>
    <w:rsid w:val="00162DAA"/>
    <w:rsid w:val="001638EC"/>
    <w:rsid w:val="001643BA"/>
    <w:rsid w:val="00164B00"/>
    <w:rsid w:val="00164D85"/>
    <w:rsid w:val="00166A6B"/>
    <w:rsid w:val="00166D34"/>
    <w:rsid w:val="00166EBA"/>
    <w:rsid w:val="00167101"/>
    <w:rsid w:val="0017005A"/>
    <w:rsid w:val="00170499"/>
    <w:rsid w:val="00170DFF"/>
    <w:rsid w:val="00172499"/>
    <w:rsid w:val="00172A47"/>
    <w:rsid w:val="00172B6E"/>
    <w:rsid w:val="00172BBE"/>
    <w:rsid w:val="00172E20"/>
    <w:rsid w:val="00173799"/>
    <w:rsid w:val="0017399E"/>
    <w:rsid w:val="001748C7"/>
    <w:rsid w:val="00174F5B"/>
    <w:rsid w:val="00174F8B"/>
    <w:rsid w:val="001750CF"/>
    <w:rsid w:val="00175107"/>
    <w:rsid w:val="001754B1"/>
    <w:rsid w:val="001755F4"/>
    <w:rsid w:val="001756CC"/>
    <w:rsid w:val="00175918"/>
    <w:rsid w:val="00176215"/>
    <w:rsid w:val="0017626D"/>
    <w:rsid w:val="0017651C"/>
    <w:rsid w:val="00176704"/>
    <w:rsid w:val="0017674A"/>
    <w:rsid w:val="00176DEF"/>
    <w:rsid w:val="00177083"/>
    <w:rsid w:val="0017747C"/>
    <w:rsid w:val="001774AD"/>
    <w:rsid w:val="00177583"/>
    <w:rsid w:val="0017779A"/>
    <w:rsid w:val="00177A33"/>
    <w:rsid w:val="00177F10"/>
    <w:rsid w:val="0018089C"/>
    <w:rsid w:val="00180B6A"/>
    <w:rsid w:val="00181244"/>
    <w:rsid w:val="001815E2"/>
    <w:rsid w:val="00181787"/>
    <w:rsid w:val="00181B1A"/>
    <w:rsid w:val="00181BBD"/>
    <w:rsid w:val="00181C67"/>
    <w:rsid w:val="00181D07"/>
    <w:rsid w:val="00181E7A"/>
    <w:rsid w:val="0018211F"/>
    <w:rsid w:val="00182292"/>
    <w:rsid w:val="00182584"/>
    <w:rsid w:val="00182770"/>
    <w:rsid w:val="00182CA1"/>
    <w:rsid w:val="001832D6"/>
    <w:rsid w:val="0018347B"/>
    <w:rsid w:val="00183CCE"/>
    <w:rsid w:val="00184AA4"/>
    <w:rsid w:val="00184B18"/>
    <w:rsid w:val="00184BCE"/>
    <w:rsid w:val="0018509D"/>
    <w:rsid w:val="00185527"/>
    <w:rsid w:val="00185D47"/>
    <w:rsid w:val="00185FE5"/>
    <w:rsid w:val="0018637D"/>
    <w:rsid w:val="00186638"/>
    <w:rsid w:val="00186A86"/>
    <w:rsid w:val="00186AAF"/>
    <w:rsid w:val="00186D11"/>
    <w:rsid w:val="0019028D"/>
    <w:rsid w:val="00190860"/>
    <w:rsid w:val="001909E5"/>
    <w:rsid w:val="00190F06"/>
    <w:rsid w:val="00191033"/>
    <w:rsid w:val="00191A6D"/>
    <w:rsid w:val="00191D2F"/>
    <w:rsid w:val="00191F69"/>
    <w:rsid w:val="00192102"/>
    <w:rsid w:val="001922D9"/>
    <w:rsid w:val="001923E3"/>
    <w:rsid w:val="001923E4"/>
    <w:rsid w:val="00192618"/>
    <w:rsid w:val="00192812"/>
    <w:rsid w:val="0019295A"/>
    <w:rsid w:val="001939D9"/>
    <w:rsid w:val="00193BFC"/>
    <w:rsid w:val="00194333"/>
    <w:rsid w:val="00194BA9"/>
    <w:rsid w:val="00194EE1"/>
    <w:rsid w:val="00195DC7"/>
    <w:rsid w:val="00195F54"/>
    <w:rsid w:val="00196502"/>
    <w:rsid w:val="001966F7"/>
    <w:rsid w:val="00196AC3"/>
    <w:rsid w:val="00196E4C"/>
    <w:rsid w:val="0019706F"/>
    <w:rsid w:val="0019742F"/>
    <w:rsid w:val="0019755B"/>
    <w:rsid w:val="00197758"/>
    <w:rsid w:val="00197B08"/>
    <w:rsid w:val="00197B58"/>
    <w:rsid w:val="00197CBC"/>
    <w:rsid w:val="00197DE3"/>
    <w:rsid w:val="001A0273"/>
    <w:rsid w:val="001A0917"/>
    <w:rsid w:val="001A0F0F"/>
    <w:rsid w:val="001A1150"/>
    <w:rsid w:val="001A17A2"/>
    <w:rsid w:val="001A1BF2"/>
    <w:rsid w:val="001A1E4A"/>
    <w:rsid w:val="001A2021"/>
    <w:rsid w:val="001A2576"/>
    <w:rsid w:val="001A2986"/>
    <w:rsid w:val="001A2B30"/>
    <w:rsid w:val="001A2D26"/>
    <w:rsid w:val="001A30B3"/>
    <w:rsid w:val="001A327C"/>
    <w:rsid w:val="001A365D"/>
    <w:rsid w:val="001A3E87"/>
    <w:rsid w:val="001A44AC"/>
    <w:rsid w:val="001A497E"/>
    <w:rsid w:val="001A49C9"/>
    <w:rsid w:val="001A5747"/>
    <w:rsid w:val="001A579A"/>
    <w:rsid w:val="001A584F"/>
    <w:rsid w:val="001A594E"/>
    <w:rsid w:val="001A5CD7"/>
    <w:rsid w:val="001A60F2"/>
    <w:rsid w:val="001A6206"/>
    <w:rsid w:val="001A6975"/>
    <w:rsid w:val="001A6DAD"/>
    <w:rsid w:val="001A7113"/>
    <w:rsid w:val="001A753E"/>
    <w:rsid w:val="001A7BB9"/>
    <w:rsid w:val="001A7D44"/>
    <w:rsid w:val="001A7E08"/>
    <w:rsid w:val="001A7F0F"/>
    <w:rsid w:val="001B02CA"/>
    <w:rsid w:val="001B030E"/>
    <w:rsid w:val="001B0355"/>
    <w:rsid w:val="001B045A"/>
    <w:rsid w:val="001B063C"/>
    <w:rsid w:val="001B0DA6"/>
    <w:rsid w:val="001B0DD9"/>
    <w:rsid w:val="001B0F8B"/>
    <w:rsid w:val="001B14E4"/>
    <w:rsid w:val="001B1BCE"/>
    <w:rsid w:val="001B22CF"/>
    <w:rsid w:val="001B25A0"/>
    <w:rsid w:val="001B25DA"/>
    <w:rsid w:val="001B263B"/>
    <w:rsid w:val="001B2AEE"/>
    <w:rsid w:val="001B2CB7"/>
    <w:rsid w:val="001B2F1B"/>
    <w:rsid w:val="001B3329"/>
    <w:rsid w:val="001B3622"/>
    <w:rsid w:val="001B3746"/>
    <w:rsid w:val="001B3854"/>
    <w:rsid w:val="001B3A9E"/>
    <w:rsid w:val="001B43BC"/>
    <w:rsid w:val="001B56A2"/>
    <w:rsid w:val="001B5910"/>
    <w:rsid w:val="001B59B7"/>
    <w:rsid w:val="001B5A8E"/>
    <w:rsid w:val="001B6223"/>
    <w:rsid w:val="001B6B6B"/>
    <w:rsid w:val="001B7015"/>
    <w:rsid w:val="001B7A8D"/>
    <w:rsid w:val="001B7DC3"/>
    <w:rsid w:val="001C05C4"/>
    <w:rsid w:val="001C06C5"/>
    <w:rsid w:val="001C09C3"/>
    <w:rsid w:val="001C0BBD"/>
    <w:rsid w:val="001C127F"/>
    <w:rsid w:val="001C1A16"/>
    <w:rsid w:val="001C26AA"/>
    <w:rsid w:val="001C2765"/>
    <w:rsid w:val="001C2A52"/>
    <w:rsid w:val="001C2A72"/>
    <w:rsid w:val="001C2B79"/>
    <w:rsid w:val="001C2C78"/>
    <w:rsid w:val="001C3122"/>
    <w:rsid w:val="001C4A7A"/>
    <w:rsid w:val="001C502A"/>
    <w:rsid w:val="001C505F"/>
    <w:rsid w:val="001C53C6"/>
    <w:rsid w:val="001C5460"/>
    <w:rsid w:val="001C576B"/>
    <w:rsid w:val="001C577A"/>
    <w:rsid w:val="001C59E3"/>
    <w:rsid w:val="001C5D45"/>
    <w:rsid w:val="001C60E3"/>
    <w:rsid w:val="001C621F"/>
    <w:rsid w:val="001C64FC"/>
    <w:rsid w:val="001C677D"/>
    <w:rsid w:val="001C6ADD"/>
    <w:rsid w:val="001C7024"/>
    <w:rsid w:val="001C7A6E"/>
    <w:rsid w:val="001C7D1C"/>
    <w:rsid w:val="001C7E82"/>
    <w:rsid w:val="001D008B"/>
    <w:rsid w:val="001D0196"/>
    <w:rsid w:val="001D07D0"/>
    <w:rsid w:val="001D085B"/>
    <w:rsid w:val="001D0B24"/>
    <w:rsid w:val="001D0B98"/>
    <w:rsid w:val="001D0F8F"/>
    <w:rsid w:val="001D124F"/>
    <w:rsid w:val="001D15C1"/>
    <w:rsid w:val="001D1A81"/>
    <w:rsid w:val="001D1EB5"/>
    <w:rsid w:val="001D1F13"/>
    <w:rsid w:val="001D2097"/>
    <w:rsid w:val="001D2681"/>
    <w:rsid w:val="001D3636"/>
    <w:rsid w:val="001D3679"/>
    <w:rsid w:val="001D45FA"/>
    <w:rsid w:val="001D5B18"/>
    <w:rsid w:val="001D6492"/>
    <w:rsid w:val="001D734E"/>
    <w:rsid w:val="001D7438"/>
    <w:rsid w:val="001D7669"/>
    <w:rsid w:val="001D7CB4"/>
    <w:rsid w:val="001D7E35"/>
    <w:rsid w:val="001E0054"/>
    <w:rsid w:val="001E0176"/>
    <w:rsid w:val="001E0A62"/>
    <w:rsid w:val="001E0F01"/>
    <w:rsid w:val="001E1AB0"/>
    <w:rsid w:val="001E2955"/>
    <w:rsid w:val="001E3017"/>
    <w:rsid w:val="001E361F"/>
    <w:rsid w:val="001E3650"/>
    <w:rsid w:val="001E3D5E"/>
    <w:rsid w:val="001E401E"/>
    <w:rsid w:val="001E4241"/>
    <w:rsid w:val="001E5562"/>
    <w:rsid w:val="001E5CAF"/>
    <w:rsid w:val="001E5CB1"/>
    <w:rsid w:val="001E61F7"/>
    <w:rsid w:val="001E6508"/>
    <w:rsid w:val="001E6563"/>
    <w:rsid w:val="001E78BD"/>
    <w:rsid w:val="001E7C29"/>
    <w:rsid w:val="001F0014"/>
    <w:rsid w:val="001F0209"/>
    <w:rsid w:val="001F0632"/>
    <w:rsid w:val="001F0977"/>
    <w:rsid w:val="001F0D77"/>
    <w:rsid w:val="001F0DE9"/>
    <w:rsid w:val="001F0F47"/>
    <w:rsid w:val="001F131B"/>
    <w:rsid w:val="001F1973"/>
    <w:rsid w:val="001F38C8"/>
    <w:rsid w:val="001F4133"/>
    <w:rsid w:val="001F44E0"/>
    <w:rsid w:val="001F4629"/>
    <w:rsid w:val="001F49F2"/>
    <w:rsid w:val="001F4B06"/>
    <w:rsid w:val="001F4BA5"/>
    <w:rsid w:val="001F51F2"/>
    <w:rsid w:val="001F5D6C"/>
    <w:rsid w:val="001F61BB"/>
    <w:rsid w:val="001F627B"/>
    <w:rsid w:val="001F66E3"/>
    <w:rsid w:val="001F6948"/>
    <w:rsid w:val="001F6E52"/>
    <w:rsid w:val="001F731B"/>
    <w:rsid w:val="001F77EF"/>
    <w:rsid w:val="001F7909"/>
    <w:rsid w:val="001F7BE8"/>
    <w:rsid w:val="00200AF5"/>
    <w:rsid w:val="00200CF5"/>
    <w:rsid w:val="002018E2"/>
    <w:rsid w:val="00201B77"/>
    <w:rsid w:val="0020224E"/>
    <w:rsid w:val="002022B1"/>
    <w:rsid w:val="00202506"/>
    <w:rsid w:val="002026B3"/>
    <w:rsid w:val="0020280D"/>
    <w:rsid w:val="00202DA5"/>
    <w:rsid w:val="00202E24"/>
    <w:rsid w:val="0020310F"/>
    <w:rsid w:val="0020322F"/>
    <w:rsid w:val="0020342A"/>
    <w:rsid w:val="0020351D"/>
    <w:rsid w:val="00203894"/>
    <w:rsid w:val="00203A61"/>
    <w:rsid w:val="00203C11"/>
    <w:rsid w:val="002043D7"/>
    <w:rsid w:val="0020477E"/>
    <w:rsid w:val="00204C05"/>
    <w:rsid w:val="00204E38"/>
    <w:rsid w:val="00205234"/>
    <w:rsid w:val="0020563D"/>
    <w:rsid w:val="00205829"/>
    <w:rsid w:val="00205A02"/>
    <w:rsid w:val="00205B65"/>
    <w:rsid w:val="00205EA0"/>
    <w:rsid w:val="00205F76"/>
    <w:rsid w:val="0020620C"/>
    <w:rsid w:val="0020637B"/>
    <w:rsid w:val="002068FA"/>
    <w:rsid w:val="00206C15"/>
    <w:rsid w:val="002078C3"/>
    <w:rsid w:val="00207938"/>
    <w:rsid w:val="00207993"/>
    <w:rsid w:val="00207AF7"/>
    <w:rsid w:val="002102D3"/>
    <w:rsid w:val="002106F7"/>
    <w:rsid w:val="00210C35"/>
    <w:rsid w:val="00210CB9"/>
    <w:rsid w:val="00211045"/>
    <w:rsid w:val="00211050"/>
    <w:rsid w:val="00211AE1"/>
    <w:rsid w:val="00211BEA"/>
    <w:rsid w:val="0021263D"/>
    <w:rsid w:val="002128F2"/>
    <w:rsid w:val="00212B0D"/>
    <w:rsid w:val="00212E44"/>
    <w:rsid w:val="00212ED0"/>
    <w:rsid w:val="00213455"/>
    <w:rsid w:val="00213AEE"/>
    <w:rsid w:val="00213B3C"/>
    <w:rsid w:val="00213DFE"/>
    <w:rsid w:val="00214157"/>
    <w:rsid w:val="00214320"/>
    <w:rsid w:val="00214EB8"/>
    <w:rsid w:val="002152B2"/>
    <w:rsid w:val="002157E8"/>
    <w:rsid w:val="0021581F"/>
    <w:rsid w:val="00216441"/>
    <w:rsid w:val="002165C8"/>
    <w:rsid w:val="002168D9"/>
    <w:rsid w:val="0021693A"/>
    <w:rsid w:val="00216D60"/>
    <w:rsid w:val="00216D77"/>
    <w:rsid w:val="002173ED"/>
    <w:rsid w:val="00217471"/>
    <w:rsid w:val="00220076"/>
    <w:rsid w:val="0022073C"/>
    <w:rsid w:val="00220F0A"/>
    <w:rsid w:val="00221020"/>
    <w:rsid w:val="00221CCB"/>
    <w:rsid w:val="00221DB3"/>
    <w:rsid w:val="00221ED4"/>
    <w:rsid w:val="0022282B"/>
    <w:rsid w:val="002228BE"/>
    <w:rsid w:val="00222B80"/>
    <w:rsid w:val="00223515"/>
    <w:rsid w:val="0022359C"/>
    <w:rsid w:val="002239A2"/>
    <w:rsid w:val="00223E6D"/>
    <w:rsid w:val="00223F22"/>
    <w:rsid w:val="002242E9"/>
    <w:rsid w:val="002243E1"/>
    <w:rsid w:val="00224417"/>
    <w:rsid w:val="00224938"/>
    <w:rsid w:val="00224E58"/>
    <w:rsid w:val="002250C4"/>
    <w:rsid w:val="00225248"/>
    <w:rsid w:val="00225AFE"/>
    <w:rsid w:val="002260A4"/>
    <w:rsid w:val="0022640B"/>
    <w:rsid w:val="0022653F"/>
    <w:rsid w:val="00226584"/>
    <w:rsid w:val="00226ADE"/>
    <w:rsid w:val="00226D1B"/>
    <w:rsid w:val="002276EA"/>
    <w:rsid w:val="00227811"/>
    <w:rsid w:val="00227D00"/>
    <w:rsid w:val="0023034D"/>
    <w:rsid w:val="002307E8"/>
    <w:rsid w:val="00231380"/>
    <w:rsid w:val="00231598"/>
    <w:rsid w:val="002317AF"/>
    <w:rsid w:val="00231A45"/>
    <w:rsid w:val="00231CF8"/>
    <w:rsid w:val="00231E36"/>
    <w:rsid w:val="00233370"/>
    <w:rsid w:val="00233434"/>
    <w:rsid w:val="00233B1C"/>
    <w:rsid w:val="00233F11"/>
    <w:rsid w:val="00234137"/>
    <w:rsid w:val="002343A9"/>
    <w:rsid w:val="00234446"/>
    <w:rsid w:val="00234A45"/>
    <w:rsid w:val="00234D78"/>
    <w:rsid w:val="00234E8E"/>
    <w:rsid w:val="00234E92"/>
    <w:rsid w:val="00234ED7"/>
    <w:rsid w:val="00235AE4"/>
    <w:rsid w:val="00235F3D"/>
    <w:rsid w:val="0023631F"/>
    <w:rsid w:val="0023688D"/>
    <w:rsid w:val="002369B0"/>
    <w:rsid w:val="00236A33"/>
    <w:rsid w:val="00236E5E"/>
    <w:rsid w:val="0023749D"/>
    <w:rsid w:val="00237FE5"/>
    <w:rsid w:val="002404DA"/>
    <w:rsid w:val="00240789"/>
    <w:rsid w:val="0024084F"/>
    <w:rsid w:val="00240BF7"/>
    <w:rsid w:val="0024169F"/>
    <w:rsid w:val="00241CD9"/>
    <w:rsid w:val="00242B34"/>
    <w:rsid w:val="00243069"/>
    <w:rsid w:val="0024349A"/>
    <w:rsid w:val="002438E1"/>
    <w:rsid w:val="00243DCD"/>
    <w:rsid w:val="0024400B"/>
    <w:rsid w:val="002453A8"/>
    <w:rsid w:val="002460CE"/>
    <w:rsid w:val="002462B2"/>
    <w:rsid w:val="00246445"/>
    <w:rsid w:val="00246539"/>
    <w:rsid w:val="00247233"/>
    <w:rsid w:val="00247730"/>
    <w:rsid w:val="002479BE"/>
    <w:rsid w:val="00247DAF"/>
    <w:rsid w:val="00247F33"/>
    <w:rsid w:val="002500DF"/>
    <w:rsid w:val="002500E5"/>
    <w:rsid w:val="00250105"/>
    <w:rsid w:val="002501DC"/>
    <w:rsid w:val="002506F4"/>
    <w:rsid w:val="00250821"/>
    <w:rsid w:val="00250F07"/>
    <w:rsid w:val="00251C74"/>
    <w:rsid w:val="00251CD1"/>
    <w:rsid w:val="00251D3E"/>
    <w:rsid w:val="0025203A"/>
    <w:rsid w:val="0025249D"/>
    <w:rsid w:val="0025249E"/>
    <w:rsid w:val="002525B0"/>
    <w:rsid w:val="002528C2"/>
    <w:rsid w:val="00252DA0"/>
    <w:rsid w:val="00253370"/>
    <w:rsid w:val="002535D2"/>
    <w:rsid w:val="002537BB"/>
    <w:rsid w:val="00253AD0"/>
    <w:rsid w:val="00253CF1"/>
    <w:rsid w:val="00254005"/>
    <w:rsid w:val="00254F75"/>
    <w:rsid w:val="00254FC2"/>
    <w:rsid w:val="0025519D"/>
    <w:rsid w:val="00255C9D"/>
    <w:rsid w:val="0025635B"/>
    <w:rsid w:val="00256362"/>
    <w:rsid w:val="002572B9"/>
    <w:rsid w:val="002572BD"/>
    <w:rsid w:val="00257534"/>
    <w:rsid w:val="00257B08"/>
    <w:rsid w:val="0026007A"/>
    <w:rsid w:val="00260347"/>
    <w:rsid w:val="002603D4"/>
    <w:rsid w:val="00260802"/>
    <w:rsid w:val="00260E56"/>
    <w:rsid w:val="002610BE"/>
    <w:rsid w:val="00261123"/>
    <w:rsid w:val="002612D0"/>
    <w:rsid w:val="0026145E"/>
    <w:rsid w:val="0026179E"/>
    <w:rsid w:val="00261C22"/>
    <w:rsid w:val="00261F8B"/>
    <w:rsid w:val="00262BFE"/>
    <w:rsid w:val="00262E1F"/>
    <w:rsid w:val="00263814"/>
    <w:rsid w:val="002638A7"/>
    <w:rsid w:val="00263CD5"/>
    <w:rsid w:val="002641E8"/>
    <w:rsid w:val="002647B5"/>
    <w:rsid w:val="002649F7"/>
    <w:rsid w:val="00264A05"/>
    <w:rsid w:val="002654C0"/>
    <w:rsid w:val="002657EC"/>
    <w:rsid w:val="002657EF"/>
    <w:rsid w:val="00265C13"/>
    <w:rsid w:val="0026636C"/>
    <w:rsid w:val="0026645C"/>
    <w:rsid w:val="002664A8"/>
    <w:rsid w:val="002664F9"/>
    <w:rsid w:val="002668C2"/>
    <w:rsid w:val="00266ED9"/>
    <w:rsid w:val="00267145"/>
    <w:rsid w:val="002675A6"/>
    <w:rsid w:val="00267856"/>
    <w:rsid w:val="002709F1"/>
    <w:rsid w:val="00270C8B"/>
    <w:rsid w:val="00270E7B"/>
    <w:rsid w:val="0027113A"/>
    <w:rsid w:val="00271599"/>
    <w:rsid w:val="00271CFC"/>
    <w:rsid w:val="00272198"/>
    <w:rsid w:val="00272435"/>
    <w:rsid w:val="0027284E"/>
    <w:rsid w:val="00272864"/>
    <w:rsid w:val="00272ABC"/>
    <w:rsid w:val="00273186"/>
    <w:rsid w:val="0027330C"/>
    <w:rsid w:val="002733E8"/>
    <w:rsid w:val="00273B84"/>
    <w:rsid w:val="00273F23"/>
    <w:rsid w:val="00274187"/>
    <w:rsid w:val="002745C0"/>
    <w:rsid w:val="00274AD6"/>
    <w:rsid w:val="00274B46"/>
    <w:rsid w:val="0027583B"/>
    <w:rsid w:val="00275F2B"/>
    <w:rsid w:val="00275FDE"/>
    <w:rsid w:val="00276422"/>
    <w:rsid w:val="0027645F"/>
    <w:rsid w:val="002765D8"/>
    <w:rsid w:val="002767C0"/>
    <w:rsid w:val="002770D7"/>
    <w:rsid w:val="00277114"/>
    <w:rsid w:val="00277383"/>
    <w:rsid w:val="002773F8"/>
    <w:rsid w:val="002777B5"/>
    <w:rsid w:val="002777BA"/>
    <w:rsid w:val="00277DFD"/>
    <w:rsid w:val="00280818"/>
    <w:rsid w:val="0028083C"/>
    <w:rsid w:val="00280A24"/>
    <w:rsid w:val="00280BF6"/>
    <w:rsid w:val="002811A8"/>
    <w:rsid w:val="002813DA"/>
    <w:rsid w:val="0028141F"/>
    <w:rsid w:val="002814C1"/>
    <w:rsid w:val="00281E03"/>
    <w:rsid w:val="0028206C"/>
    <w:rsid w:val="0028279F"/>
    <w:rsid w:val="00282E27"/>
    <w:rsid w:val="00282E2B"/>
    <w:rsid w:val="00283533"/>
    <w:rsid w:val="00283BC6"/>
    <w:rsid w:val="002842AC"/>
    <w:rsid w:val="0028478A"/>
    <w:rsid w:val="00284BA8"/>
    <w:rsid w:val="00284C22"/>
    <w:rsid w:val="00284C4E"/>
    <w:rsid w:val="0028508A"/>
    <w:rsid w:val="0028508B"/>
    <w:rsid w:val="00285619"/>
    <w:rsid w:val="00285A7D"/>
    <w:rsid w:val="00286816"/>
    <w:rsid w:val="00286E02"/>
    <w:rsid w:val="0028700E"/>
    <w:rsid w:val="00287241"/>
    <w:rsid w:val="002872A4"/>
    <w:rsid w:val="00287491"/>
    <w:rsid w:val="0028789A"/>
    <w:rsid w:val="0028799E"/>
    <w:rsid w:val="00290145"/>
    <w:rsid w:val="0029044E"/>
    <w:rsid w:val="002906AA"/>
    <w:rsid w:val="002908AB"/>
    <w:rsid w:val="00290B9C"/>
    <w:rsid w:val="0029163A"/>
    <w:rsid w:val="00291780"/>
    <w:rsid w:val="00291BF8"/>
    <w:rsid w:val="002923D7"/>
    <w:rsid w:val="00292737"/>
    <w:rsid w:val="00292797"/>
    <w:rsid w:val="00292977"/>
    <w:rsid w:val="00292A1D"/>
    <w:rsid w:val="002930E0"/>
    <w:rsid w:val="00293643"/>
    <w:rsid w:val="00293647"/>
    <w:rsid w:val="00293B5D"/>
    <w:rsid w:val="00293C23"/>
    <w:rsid w:val="00293CFB"/>
    <w:rsid w:val="00293D40"/>
    <w:rsid w:val="00293E2C"/>
    <w:rsid w:val="0029467D"/>
    <w:rsid w:val="0029468D"/>
    <w:rsid w:val="002946AC"/>
    <w:rsid w:val="00294CE8"/>
    <w:rsid w:val="0029500E"/>
    <w:rsid w:val="002954E9"/>
    <w:rsid w:val="0029552F"/>
    <w:rsid w:val="002956B3"/>
    <w:rsid w:val="00295809"/>
    <w:rsid w:val="00295B70"/>
    <w:rsid w:val="00296282"/>
    <w:rsid w:val="00296497"/>
    <w:rsid w:val="0029674B"/>
    <w:rsid w:val="00296C6F"/>
    <w:rsid w:val="00296D6B"/>
    <w:rsid w:val="00297B5C"/>
    <w:rsid w:val="00297C8E"/>
    <w:rsid w:val="002A05C3"/>
    <w:rsid w:val="002A0900"/>
    <w:rsid w:val="002A0E72"/>
    <w:rsid w:val="002A118F"/>
    <w:rsid w:val="002A1376"/>
    <w:rsid w:val="002A1923"/>
    <w:rsid w:val="002A2552"/>
    <w:rsid w:val="002A2615"/>
    <w:rsid w:val="002A28A0"/>
    <w:rsid w:val="002A2F09"/>
    <w:rsid w:val="002A3373"/>
    <w:rsid w:val="002A3557"/>
    <w:rsid w:val="002A3786"/>
    <w:rsid w:val="002A38BB"/>
    <w:rsid w:val="002A3B02"/>
    <w:rsid w:val="002A528B"/>
    <w:rsid w:val="002A55F4"/>
    <w:rsid w:val="002A5829"/>
    <w:rsid w:val="002A58A7"/>
    <w:rsid w:val="002A58F3"/>
    <w:rsid w:val="002A5AD3"/>
    <w:rsid w:val="002A5C87"/>
    <w:rsid w:val="002A5D81"/>
    <w:rsid w:val="002A5E27"/>
    <w:rsid w:val="002A5FA6"/>
    <w:rsid w:val="002A62FD"/>
    <w:rsid w:val="002A6344"/>
    <w:rsid w:val="002A6BEC"/>
    <w:rsid w:val="002A7441"/>
    <w:rsid w:val="002A77E6"/>
    <w:rsid w:val="002A79D3"/>
    <w:rsid w:val="002A7A7A"/>
    <w:rsid w:val="002B08F5"/>
    <w:rsid w:val="002B0F37"/>
    <w:rsid w:val="002B1456"/>
    <w:rsid w:val="002B156B"/>
    <w:rsid w:val="002B19A4"/>
    <w:rsid w:val="002B2227"/>
    <w:rsid w:val="002B25F0"/>
    <w:rsid w:val="002B2ABA"/>
    <w:rsid w:val="002B2F61"/>
    <w:rsid w:val="002B3222"/>
    <w:rsid w:val="002B32E3"/>
    <w:rsid w:val="002B343A"/>
    <w:rsid w:val="002B3466"/>
    <w:rsid w:val="002B3CFB"/>
    <w:rsid w:val="002B43A2"/>
    <w:rsid w:val="002B4784"/>
    <w:rsid w:val="002B505C"/>
    <w:rsid w:val="002B51C9"/>
    <w:rsid w:val="002B5220"/>
    <w:rsid w:val="002B5ABD"/>
    <w:rsid w:val="002B5DE9"/>
    <w:rsid w:val="002B62CB"/>
    <w:rsid w:val="002B6694"/>
    <w:rsid w:val="002B6846"/>
    <w:rsid w:val="002B6CA2"/>
    <w:rsid w:val="002B7966"/>
    <w:rsid w:val="002B7E61"/>
    <w:rsid w:val="002C0F24"/>
    <w:rsid w:val="002C133E"/>
    <w:rsid w:val="002C149B"/>
    <w:rsid w:val="002C1567"/>
    <w:rsid w:val="002C1804"/>
    <w:rsid w:val="002C23EF"/>
    <w:rsid w:val="002C27BE"/>
    <w:rsid w:val="002C2DE0"/>
    <w:rsid w:val="002C3196"/>
    <w:rsid w:val="002C3867"/>
    <w:rsid w:val="002C3A23"/>
    <w:rsid w:val="002C3DE5"/>
    <w:rsid w:val="002C3F19"/>
    <w:rsid w:val="002C47C5"/>
    <w:rsid w:val="002C49B0"/>
    <w:rsid w:val="002C4B25"/>
    <w:rsid w:val="002C510E"/>
    <w:rsid w:val="002C5458"/>
    <w:rsid w:val="002C5C7C"/>
    <w:rsid w:val="002C629B"/>
    <w:rsid w:val="002C62A5"/>
    <w:rsid w:val="002C69AE"/>
    <w:rsid w:val="002C7073"/>
    <w:rsid w:val="002C7B4F"/>
    <w:rsid w:val="002D0513"/>
    <w:rsid w:val="002D168C"/>
    <w:rsid w:val="002D16C4"/>
    <w:rsid w:val="002D17F8"/>
    <w:rsid w:val="002D2257"/>
    <w:rsid w:val="002D244C"/>
    <w:rsid w:val="002D25F7"/>
    <w:rsid w:val="002D2714"/>
    <w:rsid w:val="002D345E"/>
    <w:rsid w:val="002D38E5"/>
    <w:rsid w:val="002D3DDA"/>
    <w:rsid w:val="002D41F0"/>
    <w:rsid w:val="002D421E"/>
    <w:rsid w:val="002D4975"/>
    <w:rsid w:val="002D49DD"/>
    <w:rsid w:val="002D4A31"/>
    <w:rsid w:val="002D4DF8"/>
    <w:rsid w:val="002D5383"/>
    <w:rsid w:val="002D5860"/>
    <w:rsid w:val="002D59BE"/>
    <w:rsid w:val="002D5D39"/>
    <w:rsid w:val="002D608A"/>
    <w:rsid w:val="002D618F"/>
    <w:rsid w:val="002D624A"/>
    <w:rsid w:val="002D6B08"/>
    <w:rsid w:val="002D6D10"/>
    <w:rsid w:val="002D72F3"/>
    <w:rsid w:val="002D7431"/>
    <w:rsid w:val="002D752D"/>
    <w:rsid w:val="002D78F3"/>
    <w:rsid w:val="002D7ADF"/>
    <w:rsid w:val="002E02BD"/>
    <w:rsid w:val="002E08B7"/>
    <w:rsid w:val="002E1C7E"/>
    <w:rsid w:val="002E1D0B"/>
    <w:rsid w:val="002E2018"/>
    <w:rsid w:val="002E21E5"/>
    <w:rsid w:val="002E2536"/>
    <w:rsid w:val="002E2E79"/>
    <w:rsid w:val="002E315F"/>
    <w:rsid w:val="002E337C"/>
    <w:rsid w:val="002E3A59"/>
    <w:rsid w:val="002E48FD"/>
    <w:rsid w:val="002E4F8C"/>
    <w:rsid w:val="002E5A6B"/>
    <w:rsid w:val="002E5DC3"/>
    <w:rsid w:val="002E617F"/>
    <w:rsid w:val="002E6666"/>
    <w:rsid w:val="002E6802"/>
    <w:rsid w:val="002E748C"/>
    <w:rsid w:val="002E7733"/>
    <w:rsid w:val="002E7796"/>
    <w:rsid w:val="002E7C20"/>
    <w:rsid w:val="002F0053"/>
    <w:rsid w:val="002F01E0"/>
    <w:rsid w:val="002F1903"/>
    <w:rsid w:val="002F1AC5"/>
    <w:rsid w:val="002F1D35"/>
    <w:rsid w:val="002F241D"/>
    <w:rsid w:val="002F3084"/>
    <w:rsid w:val="002F3600"/>
    <w:rsid w:val="002F3761"/>
    <w:rsid w:val="002F3C93"/>
    <w:rsid w:val="002F3D85"/>
    <w:rsid w:val="002F4203"/>
    <w:rsid w:val="002F4657"/>
    <w:rsid w:val="002F4685"/>
    <w:rsid w:val="002F4718"/>
    <w:rsid w:val="002F4F4B"/>
    <w:rsid w:val="002F5065"/>
    <w:rsid w:val="002F5094"/>
    <w:rsid w:val="002F5D75"/>
    <w:rsid w:val="002F6148"/>
    <w:rsid w:val="002F6754"/>
    <w:rsid w:val="002F7027"/>
    <w:rsid w:val="002F718B"/>
    <w:rsid w:val="002F7619"/>
    <w:rsid w:val="002F7A47"/>
    <w:rsid w:val="002F7BF3"/>
    <w:rsid w:val="002F7D93"/>
    <w:rsid w:val="0030092A"/>
    <w:rsid w:val="00300A4F"/>
    <w:rsid w:val="00301044"/>
    <w:rsid w:val="003011A0"/>
    <w:rsid w:val="003015DF"/>
    <w:rsid w:val="00301FDD"/>
    <w:rsid w:val="003020BD"/>
    <w:rsid w:val="00302277"/>
    <w:rsid w:val="00302288"/>
    <w:rsid w:val="003024B7"/>
    <w:rsid w:val="003027DB"/>
    <w:rsid w:val="00303021"/>
    <w:rsid w:val="0030398D"/>
    <w:rsid w:val="003039C8"/>
    <w:rsid w:val="003039EF"/>
    <w:rsid w:val="00303C62"/>
    <w:rsid w:val="00303C7B"/>
    <w:rsid w:val="00304259"/>
    <w:rsid w:val="00304320"/>
    <w:rsid w:val="003047A4"/>
    <w:rsid w:val="003055CB"/>
    <w:rsid w:val="00305738"/>
    <w:rsid w:val="00305A10"/>
    <w:rsid w:val="00305F5B"/>
    <w:rsid w:val="00306048"/>
    <w:rsid w:val="003065F7"/>
    <w:rsid w:val="0030660C"/>
    <w:rsid w:val="0030661A"/>
    <w:rsid w:val="00306843"/>
    <w:rsid w:val="00306C5C"/>
    <w:rsid w:val="00306E2C"/>
    <w:rsid w:val="0030798F"/>
    <w:rsid w:val="00307B5A"/>
    <w:rsid w:val="003107C2"/>
    <w:rsid w:val="00310B2A"/>
    <w:rsid w:val="00310B7F"/>
    <w:rsid w:val="00311757"/>
    <w:rsid w:val="00311FFB"/>
    <w:rsid w:val="003122C4"/>
    <w:rsid w:val="00312562"/>
    <w:rsid w:val="00312A95"/>
    <w:rsid w:val="003134B5"/>
    <w:rsid w:val="00314042"/>
    <w:rsid w:val="0031448D"/>
    <w:rsid w:val="00314517"/>
    <w:rsid w:val="00314B45"/>
    <w:rsid w:val="003157A7"/>
    <w:rsid w:val="00315ADA"/>
    <w:rsid w:val="00315C4E"/>
    <w:rsid w:val="003160C0"/>
    <w:rsid w:val="003162EA"/>
    <w:rsid w:val="003164E5"/>
    <w:rsid w:val="00317025"/>
    <w:rsid w:val="0031715A"/>
    <w:rsid w:val="0031730F"/>
    <w:rsid w:val="0031784F"/>
    <w:rsid w:val="00317881"/>
    <w:rsid w:val="003179FD"/>
    <w:rsid w:val="00317F34"/>
    <w:rsid w:val="00317FEC"/>
    <w:rsid w:val="00320044"/>
    <w:rsid w:val="0032007D"/>
    <w:rsid w:val="00320666"/>
    <w:rsid w:val="003209B7"/>
    <w:rsid w:val="00320DF2"/>
    <w:rsid w:val="00321457"/>
    <w:rsid w:val="0032183A"/>
    <w:rsid w:val="00321AC7"/>
    <w:rsid w:val="003221A1"/>
    <w:rsid w:val="00322406"/>
    <w:rsid w:val="0032260E"/>
    <w:rsid w:val="0032298E"/>
    <w:rsid w:val="00322B55"/>
    <w:rsid w:val="00323437"/>
    <w:rsid w:val="003234CA"/>
    <w:rsid w:val="00323613"/>
    <w:rsid w:val="00323899"/>
    <w:rsid w:val="00324873"/>
    <w:rsid w:val="00324E58"/>
    <w:rsid w:val="003250AD"/>
    <w:rsid w:val="003255CA"/>
    <w:rsid w:val="003265F6"/>
    <w:rsid w:val="003269A4"/>
    <w:rsid w:val="00326A98"/>
    <w:rsid w:val="0032735B"/>
    <w:rsid w:val="00327BDD"/>
    <w:rsid w:val="00327DFE"/>
    <w:rsid w:val="0033072B"/>
    <w:rsid w:val="00330863"/>
    <w:rsid w:val="00330C7B"/>
    <w:rsid w:val="00331487"/>
    <w:rsid w:val="003315F6"/>
    <w:rsid w:val="003316A1"/>
    <w:rsid w:val="00331AD5"/>
    <w:rsid w:val="00331BEE"/>
    <w:rsid w:val="00331D08"/>
    <w:rsid w:val="0033211B"/>
    <w:rsid w:val="003321BA"/>
    <w:rsid w:val="0033222E"/>
    <w:rsid w:val="0033295F"/>
    <w:rsid w:val="00333636"/>
    <w:rsid w:val="003336F0"/>
    <w:rsid w:val="003336FB"/>
    <w:rsid w:val="0033391A"/>
    <w:rsid w:val="00333AB1"/>
    <w:rsid w:val="00334060"/>
    <w:rsid w:val="003343FE"/>
    <w:rsid w:val="0033444C"/>
    <w:rsid w:val="0033479E"/>
    <w:rsid w:val="00334983"/>
    <w:rsid w:val="00335154"/>
    <w:rsid w:val="00335A0C"/>
    <w:rsid w:val="00335E8B"/>
    <w:rsid w:val="0033635D"/>
    <w:rsid w:val="003364CC"/>
    <w:rsid w:val="003366A6"/>
    <w:rsid w:val="00336AEE"/>
    <w:rsid w:val="00336B96"/>
    <w:rsid w:val="00336CA4"/>
    <w:rsid w:val="00336D99"/>
    <w:rsid w:val="0033712F"/>
    <w:rsid w:val="003375C3"/>
    <w:rsid w:val="003375E9"/>
    <w:rsid w:val="00337768"/>
    <w:rsid w:val="00337AEC"/>
    <w:rsid w:val="00337D85"/>
    <w:rsid w:val="00337FEE"/>
    <w:rsid w:val="003401ED"/>
    <w:rsid w:val="00340781"/>
    <w:rsid w:val="00340A20"/>
    <w:rsid w:val="00340E23"/>
    <w:rsid w:val="00341005"/>
    <w:rsid w:val="003416D9"/>
    <w:rsid w:val="0034178C"/>
    <w:rsid w:val="00341D7C"/>
    <w:rsid w:val="003420A3"/>
    <w:rsid w:val="003421CC"/>
    <w:rsid w:val="0034324F"/>
    <w:rsid w:val="0034342B"/>
    <w:rsid w:val="003436D8"/>
    <w:rsid w:val="00343A13"/>
    <w:rsid w:val="00343CCA"/>
    <w:rsid w:val="0034481F"/>
    <w:rsid w:val="00344F5D"/>
    <w:rsid w:val="0034575E"/>
    <w:rsid w:val="00345867"/>
    <w:rsid w:val="00345FF5"/>
    <w:rsid w:val="00346D3B"/>
    <w:rsid w:val="00346F20"/>
    <w:rsid w:val="003470C2"/>
    <w:rsid w:val="003475C7"/>
    <w:rsid w:val="00347790"/>
    <w:rsid w:val="00347998"/>
    <w:rsid w:val="00347F8D"/>
    <w:rsid w:val="00347FAB"/>
    <w:rsid w:val="00350164"/>
    <w:rsid w:val="0035027B"/>
    <w:rsid w:val="003512CF"/>
    <w:rsid w:val="00351325"/>
    <w:rsid w:val="003513D1"/>
    <w:rsid w:val="00351AC2"/>
    <w:rsid w:val="00352266"/>
    <w:rsid w:val="00352526"/>
    <w:rsid w:val="00352558"/>
    <w:rsid w:val="0035273E"/>
    <w:rsid w:val="00352F17"/>
    <w:rsid w:val="003531C7"/>
    <w:rsid w:val="0035385F"/>
    <w:rsid w:val="00353CB0"/>
    <w:rsid w:val="00353F26"/>
    <w:rsid w:val="0035406A"/>
    <w:rsid w:val="0035433B"/>
    <w:rsid w:val="0035489D"/>
    <w:rsid w:val="00354F0E"/>
    <w:rsid w:val="00355B1D"/>
    <w:rsid w:val="00355D08"/>
    <w:rsid w:val="00356039"/>
    <w:rsid w:val="00356510"/>
    <w:rsid w:val="003567A2"/>
    <w:rsid w:val="003569DD"/>
    <w:rsid w:val="00356BB7"/>
    <w:rsid w:val="003571CD"/>
    <w:rsid w:val="0035786D"/>
    <w:rsid w:val="00357938"/>
    <w:rsid w:val="00357C53"/>
    <w:rsid w:val="00357F46"/>
    <w:rsid w:val="00361028"/>
    <w:rsid w:val="00361486"/>
    <w:rsid w:val="0036165F"/>
    <w:rsid w:val="00361728"/>
    <w:rsid w:val="0036189E"/>
    <w:rsid w:val="003622A7"/>
    <w:rsid w:val="00362677"/>
    <w:rsid w:val="00362855"/>
    <w:rsid w:val="00362DEB"/>
    <w:rsid w:val="00363B0B"/>
    <w:rsid w:val="00363D15"/>
    <w:rsid w:val="00363D28"/>
    <w:rsid w:val="00363DBD"/>
    <w:rsid w:val="003640F7"/>
    <w:rsid w:val="0036451C"/>
    <w:rsid w:val="003650FF"/>
    <w:rsid w:val="00365385"/>
    <w:rsid w:val="00365FC2"/>
    <w:rsid w:val="003669F4"/>
    <w:rsid w:val="003670B6"/>
    <w:rsid w:val="003673A0"/>
    <w:rsid w:val="00367508"/>
    <w:rsid w:val="00367AD4"/>
    <w:rsid w:val="00367E62"/>
    <w:rsid w:val="00367F6E"/>
    <w:rsid w:val="00370424"/>
    <w:rsid w:val="003707A4"/>
    <w:rsid w:val="00370E9A"/>
    <w:rsid w:val="0037132E"/>
    <w:rsid w:val="003714D3"/>
    <w:rsid w:val="00371767"/>
    <w:rsid w:val="003721DB"/>
    <w:rsid w:val="0037228D"/>
    <w:rsid w:val="0037247E"/>
    <w:rsid w:val="00372E6E"/>
    <w:rsid w:val="00372FF7"/>
    <w:rsid w:val="0037300B"/>
    <w:rsid w:val="00373064"/>
    <w:rsid w:val="00373232"/>
    <w:rsid w:val="00373356"/>
    <w:rsid w:val="00374009"/>
    <w:rsid w:val="0037400F"/>
    <w:rsid w:val="00374126"/>
    <w:rsid w:val="00374482"/>
    <w:rsid w:val="003747AD"/>
    <w:rsid w:val="00374D31"/>
    <w:rsid w:val="003750DD"/>
    <w:rsid w:val="0037536F"/>
    <w:rsid w:val="0037571C"/>
    <w:rsid w:val="003758BF"/>
    <w:rsid w:val="003758CA"/>
    <w:rsid w:val="00376100"/>
    <w:rsid w:val="003768C4"/>
    <w:rsid w:val="003770A9"/>
    <w:rsid w:val="0037737A"/>
    <w:rsid w:val="0037747A"/>
    <w:rsid w:val="003777AE"/>
    <w:rsid w:val="003801B9"/>
    <w:rsid w:val="00380413"/>
    <w:rsid w:val="003806E9"/>
    <w:rsid w:val="00380786"/>
    <w:rsid w:val="00380B7C"/>
    <w:rsid w:val="00380F6A"/>
    <w:rsid w:val="003810DA"/>
    <w:rsid w:val="003811C1"/>
    <w:rsid w:val="00381757"/>
    <w:rsid w:val="00381818"/>
    <w:rsid w:val="00382D11"/>
    <w:rsid w:val="00382D8A"/>
    <w:rsid w:val="003831E3"/>
    <w:rsid w:val="00383AAE"/>
    <w:rsid w:val="00383E4E"/>
    <w:rsid w:val="003840D3"/>
    <w:rsid w:val="0038417E"/>
    <w:rsid w:val="003847E4"/>
    <w:rsid w:val="00385BFD"/>
    <w:rsid w:val="00385F64"/>
    <w:rsid w:val="0038611F"/>
    <w:rsid w:val="00386971"/>
    <w:rsid w:val="00386F0C"/>
    <w:rsid w:val="00386F9A"/>
    <w:rsid w:val="00387287"/>
    <w:rsid w:val="00387486"/>
    <w:rsid w:val="003875D7"/>
    <w:rsid w:val="003875E8"/>
    <w:rsid w:val="00387A3A"/>
    <w:rsid w:val="00387E71"/>
    <w:rsid w:val="0039021E"/>
    <w:rsid w:val="00390762"/>
    <w:rsid w:val="00391336"/>
    <w:rsid w:val="00391C31"/>
    <w:rsid w:val="00391F78"/>
    <w:rsid w:val="00392188"/>
    <w:rsid w:val="003921B2"/>
    <w:rsid w:val="00392560"/>
    <w:rsid w:val="00392E99"/>
    <w:rsid w:val="00393241"/>
    <w:rsid w:val="00393294"/>
    <w:rsid w:val="00393350"/>
    <w:rsid w:val="0039374E"/>
    <w:rsid w:val="003942EE"/>
    <w:rsid w:val="00394761"/>
    <w:rsid w:val="00394C21"/>
    <w:rsid w:val="00394DD9"/>
    <w:rsid w:val="0039516A"/>
    <w:rsid w:val="0039547D"/>
    <w:rsid w:val="003954AC"/>
    <w:rsid w:val="0039626C"/>
    <w:rsid w:val="003963B5"/>
    <w:rsid w:val="00396601"/>
    <w:rsid w:val="00396EB2"/>
    <w:rsid w:val="00396FEC"/>
    <w:rsid w:val="003970BC"/>
    <w:rsid w:val="003977F6"/>
    <w:rsid w:val="0039788B"/>
    <w:rsid w:val="00397AAF"/>
    <w:rsid w:val="00397DE6"/>
    <w:rsid w:val="003A01F2"/>
    <w:rsid w:val="003A09F1"/>
    <w:rsid w:val="003A0D2D"/>
    <w:rsid w:val="003A0F57"/>
    <w:rsid w:val="003A0FAF"/>
    <w:rsid w:val="003A102F"/>
    <w:rsid w:val="003A11EA"/>
    <w:rsid w:val="003A171F"/>
    <w:rsid w:val="003A1BE9"/>
    <w:rsid w:val="003A1C9A"/>
    <w:rsid w:val="003A2789"/>
    <w:rsid w:val="003A3403"/>
    <w:rsid w:val="003A4074"/>
    <w:rsid w:val="003A466E"/>
    <w:rsid w:val="003A46A8"/>
    <w:rsid w:val="003A4876"/>
    <w:rsid w:val="003A5219"/>
    <w:rsid w:val="003A5299"/>
    <w:rsid w:val="003A5372"/>
    <w:rsid w:val="003A54A5"/>
    <w:rsid w:val="003A592A"/>
    <w:rsid w:val="003A5B9D"/>
    <w:rsid w:val="003A64A8"/>
    <w:rsid w:val="003A68B4"/>
    <w:rsid w:val="003A69C5"/>
    <w:rsid w:val="003A70F8"/>
    <w:rsid w:val="003A77C8"/>
    <w:rsid w:val="003A77DA"/>
    <w:rsid w:val="003A7966"/>
    <w:rsid w:val="003A7D92"/>
    <w:rsid w:val="003A7F91"/>
    <w:rsid w:val="003B0440"/>
    <w:rsid w:val="003B05E9"/>
    <w:rsid w:val="003B069E"/>
    <w:rsid w:val="003B0971"/>
    <w:rsid w:val="003B0B3E"/>
    <w:rsid w:val="003B0E68"/>
    <w:rsid w:val="003B1043"/>
    <w:rsid w:val="003B11C3"/>
    <w:rsid w:val="003B166A"/>
    <w:rsid w:val="003B17C5"/>
    <w:rsid w:val="003B18C4"/>
    <w:rsid w:val="003B19A0"/>
    <w:rsid w:val="003B1B69"/>
    <w:rsid w:val="003B215C"/>
    <w:rsid w:val="003B21CA"/>
    <w:rsid w:val="003B2233"/>
    <w:rsid w:val="003B2A79"/>
    <w:rsid w:val="003B2C95"/>
    <w:rsid w:val="003B328E"/>
    <w:rsid w:val="003B3296"/>
    <w:rsid w:val="003B32FC"/>
    <w:rsid w:val="003B4139"/>
    <w:rsid w:val="003B4345"/>
    <w:rsid w:val="003B443C"/>
    <w:rsid w:val="003B45DC"/>
    <w:rsid w:val="003B45E9"/>
    <w:rsid w:val="003B4DEC"/>
    <w:rsid w:val="003B54FD"/>
    <w:rsid w:val="003B57E1"/>
    <w:rsid w:val="003B5C2D"/>
    <w:rsid w:val="003B6162"/>
    <w:rsid w:val="003B6528"/>
    <w:rsid w:val="003B6712"/>
    <w:rsid w:val="003B6735"/>
    <w:rsid w:val="003B68DF"/>
    <w:rsid w:val="003B70B5"/>
    <w:rsid w:val="003B7A89"/>
    <w:rsid w:val="003C0446"/>
    <w:rsid w:val="003C0568"/>
    <w:rsid w:val="003C0C73"/>
    <w:rsid w:val="003C0DA0"/>
    <w:rsid w:val="003C0EA7"/>
    <w:rsid w:val="003C1081"/>
    <w:rsid w:val="003C1588"/>
    <w:rsid w:val="003C1611"/>
    <w:rsid w:val="003C18B7"/>
    <w:rsid w:val="003C1A58"/>
    <w:rsid w:val="003C1C76"/>
    <w:rsid w:val="003C23E9"/>
    <w:rsid w:val="003C24E2"/>
    <w:rsid w:val="003C290D"/>
    <w:rsid w:val="003C2BF3"/>
    <w:rsid w:val="003C2D66"/>
    <w:rsid w:val="003C2D8C"/>
    <w:rsid w:val="003C2F90"/>
    <w:rsid w:val="003C3B22"/>
    <w:rsid w:val="003C3E2F"/>
    <w:rsid w:val="003C42B6"/>
    <w:rsid w:val="003C4B11"/>
    <w:rsid w:val="003C4FE3"/>
    <w:rsid w:val="003C500C"/>
    <w:rsid w:val="003C5620"/>
    <w:rsid w:val="003C586A"/>
    <w:rsid w:val="003C5AB9"/>
    <w:rsid w:val="003C5C01"/>
    <w:rsid w:val="003C64D3"/>
    <w:rsid w:val="003C6889"/>
    <w:rsid w:val="003C7606"/>
    <w:rsid w:val="003C7C1A"/>
    <w:rsid w:val="003D01FB"/>
    <w:rsid w:val="003D0310"/>
    <w:rsid w:val="003D03F9"/>
    <w:rsid w:val="003D062D"/>
    <w:rsid w:val="003D1EE6"/>
    <w:rsid w:val="003D242B"/>
    <w:rsid w:val="003D2C23"/>
    <w:rsid w:val="003D346A"/>
    <w:rsid w:val="003D3E2D"/>
    <w:rsid w:val="003D461A"/>
    <w:rsid w:val="003D4868"/>
    <w:rsid w:val="003D4903"/>
    <w:rsid w:val="003D4A6D"/>
    <w:rsid w:val="003D4C7C"/>
    <w:rsid w:val="003D4FB8"/>
    <w:rsid w:val="003D53D6"/>
    <w:rsid w:val="003D5B3A"/>
    <w:rsid w:val="003D5F60"/>
    <w:rsid w:val="003D6AD1"/>
    <w:rsid w:val="003D6C8A"/>
    <w:rsid w:val="003D6E31"/>
    <w:rsid w:val="003D6FE3"/>
    <w:rsid w:val="003D76A9"/>
    <w:rsid w:val="003D77D8"/>
    <w:rsid w:val="003E0327"/>
    <w:rsid w:val="003E03CE"/>
    <w:rsid w:val="003E0F38"/>
    <w:rsid w:val="003E1182"/>
    <w:rsid w:val="003E15B4"/>
    <w:rsid w:val="003E1C96"/>
    <w:rsid w:val="003E1CBA"/>
    <w:rsid w:val="003E1F71"/>
    <w:rsid w:val="003E2279"/>
    <w:rsid w:val="003E266B"/>
    <w:rsid w:val="003E29DE"/>
    <w:rsid w:val="003E2B56"/>
    <w:rsid w:val="003E3ABA"/>
    <w:rsid w:val="003E4B00"/>
    <w:rsid w:val="003E5B2E"/>
    <w:rsid w:val="003E5C8B"/>
    <w:rsid w:val="003E6089"/>
    <w:rsid w:val="003E6852"/>
    <w:rsid w:val="003E6878"/>
    <w:rsid w:val="003E7392"/>
    <w:rsid w:val="003E73EB"/>
    <w:rsid w:val="003E74DF"/>
    <w:rsid w:val="003E785A"/>
    <w:rsid w:val="003E7860"/>
    <w:rsid w:val="003E7D66"/>
    <w:rsid w:val="003E7D93"/>
    <w:rsid w:val="003E7E3D"/>
    <w:rsid w:val="003F0F21"/>
    <w:rsid w:val="003F123E"/>
    <w:rsid w:val="003F13B3"/>
    <w:rsid w:val="003F1B86"/>
    <w:rsid w:val="003F1D67"/>
    <w:rsid w:val="003F1E40"/>
    <w:rsid w:val="003F22CA"/>
    <w:rsid w:val="003F2425"/>
    <w:rsid w:val="003F28A4"/>
    <w:rsid w:val="003F2900"/>
    <w:rsid w:val="003F2D3D"/>
    <w:rsid w:val="003F2F54"/>
    <w:rsid w:val="003F3430"/>
    <w:rsid w:val="003F354C"/>
    <w:rsid w:val="003F3AE0"/>
    <w:rsid w:val="003F3BC5"/>
    <w:rsid w:val="003F492C"/>
    <w:rsid w:val="003F500C"/>
    <w:rsid w:val="003F6490"/>
    <w:rsid w:val="003F66BE"/>
    <w:rsid w:val="003F68D5"/>
    <w:rsid w:val="003F6BD5"/>
    <w:rsid w:val="003F7121"/>
    <w:rsid w:val="003F7169"/>
    <w:rsid w:val="003F77BC"/>
    <w:rsid w:val="00400132"/>
    <w:rsid w:val="0040014B"/>
    <w:rsid w:val="004003AE"/>
    <w:rsid w:val="00400802"/>
    <w:rsid w:val="00400E97"/>
    <w:rsid w:val="00400EC8"/>
    <w:rsid w:val="0040122B"/>
    <w:rsid w:val="00401DED"/>
    <w:rsid w:val="00401F01"/>
    <w:rsid w:val="004024C9"/>
    <w:rsid w:val="0040253E"/>
    <w:rsid w:val="00403EA8"/>
    <w:rsid w:val="0040463A"/>
    <w:rsid w:val="00405D3E"/>
    <w:rsid w:val="00405E60"/>
    <w:rsid w:val="00406452"/>
    <w:rsid w:val="004064DA"/>
    <w:rsid w:val="00406513"/>
    <w:rsid w:val="00406578"/>
    <w:rsid w:val="00406CA5"/>
    <w:rsid w:val="00406CC5"/>
    <w:rsid w:val="00406CF5"/>
    <w:rsid w:val="00407483"/>
    <w:rsid w:val="00407586"/>
    <w:rsid w:val="0040793A"/>
    <w:rsid w:val="00407C7F"/>
    <w:rsid w:val="00407CE5"/>
    <w:rsid w:val="0041008F"/>
    <w:rsid w:val="004104CF"/>
    <w:rsid w:val="00410D59"/>
    <w:rsid w:val="00410E03"/>
    <w:rsid w:val="00410E7B"/>
    <w:rsid w:val="0041108A"/>
    <w:rsid w:val="00411090"/>
    <w:rsid w:val="004113D4"/>
    <w:rsid w:val="004117CB"/>
    <w:rsid w:val="00411F4F"/>
    <w:rsid w:val="004123A3"/>
    <w:rsid w:val="00412A28"/>
    <w:rsid w:val="0041323A"/>
    <w:rsid w:val="00413954"/>
    <w:rsid w:val="00413D95"/>
    <w:rsid w:val="00414734"/>
    <w:rsid w:val="00414B3B"/>
    <w:rsid w:val="004156F1"/>
    <w:rsid w:val="00415C0B"/>
    <w:rsid w:val="004162B1"/>
    <w:rsid w:val="00416AEF"/>
    <w:rsid w:val="00416B45"/>
    <w:rsid w:val="00416D14"/>
    <w:rsid w:val="0041701A"/>
    <w:rsid w:val="00417213"/>
    <w:rsid w:val="00417B1D"/>
    <w:rsid w:val="00417C3C"/>
    <w:rsid w:val="00417D9F"/>
    <w:rsid w:val="00417DC8"/>
    <w:rsid w:val="004205E1"/>
    <w:rsid w:val="004206D1"/>
    <w:rsid w:val="004209B7"/>
    <w:rsid w:val="0042197D"/>
    <w:rsid w:val="00421E4E"/>
    <w:rsid w:val="00422057"/>
    <w:rsid w:val="00422D9E"/>
    <w:rsid w:val="00423735"/>
    <w:rsid w:val="00423EAD"/>
    <w:rsid w:val="00423F5D"/>
    <w:rsid w:val="00424365"/>
    <w:rsid w:val="00424483"/>
    <w:rsid w:val="004244E0"/>
    <w:rsid w:val="004248E2"/>
    <w:rsid w:val="00424DF5"/>
    <w:rsid w:val="00424E8C"/>
    <w:rsid w:val="0042517F"/>
    <w:rsid w:val="004268C3"/>
    <w:rsid w:val="00426A97"/>
    <w:rsid w:val="004304F5"/>
    <w:rsid w:val="004305BB"/>
    <w:rsid w:val="0043085A"/>
    <w:rsid w:val="00430D70"/>
    <w:rsid w:val="0043121A"/>
    <w:rsid w:val="00431539"/>
    <w:rsid w:val="004316DE"/>
    <w:rsid w:val="00431D59"/>
    <w:rsid w:val="004323C3"/>
    <w:rsid w:val="00432729"/>
    <w:rsid w:val="0043408F"/>
    <w:rsid w:val="004340C2"/>
    <w:rsid w:val="0043445F"/>
    <w:rsid w:val="0043446D"/>
    <w:rsid w:val="004346AE"/>
    <w:rsid w:val="004348F4"/>
    <w:rsid w:val="00434C02"/>
    <w:rsid w:val="0043514A"/>
    <w:rsid w:val="004358DB"/>
    <w:rsid w:val="00435F65"/>
    <w:rsid w:val="0043623C"/>
    <w:rsid w:val="0043644E"/>
    <w:rsid w:val="0043725B"/>
    <w:rsid w:val="00437834"/>
    <w:rsid w:val="004378AA"/>
    <w:rsid w:val="004378B8"/>
    <w:rsid w:val="00437AC4"/>
    <w:rsid w:val="00437C2C"/>
    <w:rsid w:val="00437F74"/>
    <w:rsid w:val="004405FA"/>
    <w:rsid w:val="0044077A"/>
    <w:rsid w:val="004414EB"/>
    <w:rsid w:val="00441749"/>
    <w:rsid w:val="004417C9"/>
    <w:rsid w:val="00441D3F"/>
    <w:rsid w:val="00441F64"/>
    <w:rsid w:val="004421E1"/>
    <w:rsid w:val="00442E1A"/>
    <w:rsid w:val="00442E8C"/>
    <w:rsid w:val="00443AAA"/>
    <w:rsid w:val="004440C2"/>
    <w:rsid w:val="00444597"/>
    <w:rsid w:val="004452A2"/>
    <w:rsid w:val="004453F4"/>
    <w:rsid w:val="00445633"/>
    <w:rsid w:val="00445AE7"/>
    <w:rsid w:val="00445C35"/>
    <w:rsid w:val="0044609E"/>
    <w:rsid w:val="004462F0"/>
    <w:rsid w:val="0044643A"/>
    <w:rsid w:val="004464B7"/>
    <w:rsid w:val="004464E4"/>
    <w:rsid w:val="00446A71"/>
    <w:rsid w:val="00446D08"/>
    <w:rsid w:val="00446F71"/>
    <w:rsid w:val="004470DE"/>
    <w:rsid w:val="0044712D"/>
    <w:rsid w:val="00447484"/>
    <w:rsid w:val="00447B9A"/>
    <w:rsid w:val="004501B9"/>
    <w:rsid w:val="00450604"/>
    <w:rsid w:val="00450A7C"/>
    <w:rsid w:val="00451696"/>
    <w:rsid w:val="0045185A"/>
    <w:rsid w:val="00452195"/>
    <w:rsid w:val="00452D45"/>
    <w:rsid w:val="0045381F"/>
    <w:rsid w:val="00453D4C"/>
    <w:rsid w:val="004541AC"/>
    <w:rsid w:val="0045435C"/>
    <w:rsid w:val="004546F5"/>
    <w:rsid w:val="004547F9"/>
    <w:rsid w:val="00454932"/>
    <w:rsid w:val="00454A59"/>
    <w:rsid w:val="00454D3E"/>
    <w:rsid w:val="0045549B"/>
    <w:rsid w:val="0045579D"/>
    <w:rsid w:val="00456028"/>
    <w:rsid w:val="004563CD"/>
    <w:rsid w:val="0045699D"/>
    <w:rsid w:val="0045750B"/>
    <w:rsid w:val="004602F7"/>
    <w:rsid w:val="00460CD1"/>
    <w:rsid w:val="00460DB4"/>
    <w:rsid w:val="004617EE"/>
    <w:rsid w:val="00461D61"/>
    <w:rsid w:val="004620D0"/>
    <w:rsid w:val="004622D4"/>
    <w:rsid w:val="004622EC"/>
    <w:rsid w:val="00462877"/>
    <w:rsid w:val="00462A23"/>
    <w:rsid w:val="00462AA0"/>
    <w:rsid w:val="00463248"/>
    <w:rsid w:val="00463496"/>
    <w:rsid w:val="004634A9"/>
    <w:rsid w:val="00463DDF"/>
    <w:rsid w:val="004643D6"/>
    <w:rsid w:val="00464D42"/>
    <w:rsid w:val="0046500E"/>
    <w:rsid w:val="0046544E"/>
    <w:rsid w:val="0046565B"/>
    <w:rsid w:val="004658CA"/>
    <w:rsid w:val="00465A54"/>
    <w:rsid w:val="00465F2D"/>
    <w:rsid w:val="004663FC"/>
    <w:rsid w:val="00466632"/>
    <w:rsid w:val="0046680C"/>
    <w:rsid w:val="00466852"/>
    <w:rsid w:val="004669B2"/>
    <w:rsid w:val="00466CAC"/>
    <w:rsid w:val="0046717A"/>
    <w:rsid w:val="004673D9"/>
    <w:rsid w:val="004679C3"/>
    <w:rsid w:val="00467BF4"/>
    <w:rsid w:val="00467F61"/>
    <w:rsid w:val="0047010E"/>
    <w:rsid w:val="00470442"/>
    <w:rsid w:val="00470737"/>
    <w:rsid w:val="00471338"/>
    <w:rsid w:val="0047136E"/>
    <w:rsid w:val="00471A18"/>
    <w:rsid w:val="00471C19"/>
    <w:rsid w:val="004723D1"/>
    <w:rsid w:val="0047242D"/>
    <w:rsid w:val="00472782"/>
    <w:rsid w:val="0047285B"/>
    <w:rsid w:val="00472ACC"/>
    <w:rsid w:val="00472F5D"/>
    <w:rsid w:val="004731BC"/>
    <w:rsid w:val="00473D26"/>
    <w:rsid w:val="004748B1"/>
    <w:rsid w:val="00474A34"/>
    <w:rsid w:val="0047541A"/>
    <w:rsid w:val="004758C7"/>
    <w:rsid w:val="00475907"/>
    <w:rsid w:val="00476181"/>
    <w:rsid w:val="0047620B"/>
    <w:rsid w:val="004763E0"/>
    <w:rsid w:val="00476785"/>
    <w:rsid w:val="00476820"/>
    <w:rsid w:val="00476D89"/>
    <w:rsid w:val="00477E70"/>
    <w:rsid w:val="00480204"/>
    <w:rsid w:val="00480277"/>
    <w:rsid w:val="00480B1E"/>
    <w:rsid w:val="004814C4"/>
    <w:rsid w:val="00481A70"/>
    <w:rsid w:val="00481B99"/>
    <w:rsid w:val="00481FE1"/>
    <w:rsid w:val="00482271"/>
    <w:rsid w:val="00482C10"/>
    <w:rsid w:val="0048344B"/>
    <w:rsid w:val="00483987"/>
    <w:rsid w:val="00483A63"/>
    <w:rsid w:val="00483FA3"/>
    <w:rsid w:val="00483FCB"/>
    <w:rsid w:val="00484B9D"/>
    <w:rsid w:val="00484BC6"/>
    <w:rsid w:val="0048528B"/>
    <w:rsid w:val="0048540A"/>
    <w:rsid w:val="004855BD"/>
    <w:rsid w:val="004859B2"/>
    <w:rsid w:val="00485D8E"/>
    <w:rsid w:val="00485D9F"/>
    <w:rsid w:val="00485E6A"/>
    <w:rsid w:val="0048713A"/>
    <w:rsid w:val="00487176"/>
    <w:rsid w:val="004872CD"/>
    <w:rsid w:val="00487612"/>
    <w:rsid w:val="00490426"/>
    <w:rsid w:val="00490742"/>
    <w:rsid w:val="004913B3"/>
    <w:rsid w:val="004914CA"/>
    <w:rsid w:val="00491C6B"/>
    <w:rsid w:val="00491C9F"/>
    <w:rsid w:val="00492198"/>
    <w:rsid w:val="004923E4"/>
    <w:rsid w:val="0049278A"/>
    <w:rsid w:val="00492FB0"/>
    <w:rsid w:val="004932C0"/>
    <w:rsid w:val="004937E8"/>
    <w:rsid w:val="00493C90"/>
    <w:rsid w:val="00493F18"/>
    <w:rsid w:val="0049415E"/>
    <w:rsid w:val="004946C8"/>
    <w:rsid w:val="00494C24"/>
    <w:rsid w:val="00495218"/>
    <w:rsid w:val="004952A3"/>
    <w:rsid w:val="004954AE"/>
    <w:rsid w:val="00495BB7"/>
    <w:rsid w:val="00495CF0"/>
    <w:rsid w:val="00495EDC"/>
    <w:rsid w:val="004962CF"/>
    <w:rsid w:val="00496BD2"/>
    <w:rsid w:val="004A03A0"/>
    <w:rsid w:val="004A0F0C"/>
    <w:rsid w:val="004A1146"/>
    <w:rsid w:val="004A1157"/>
    <w:rsid w:val="004A11F0"/>
    <w:rsid w:val="004A1475"/>
    <w:rsid w:val="004A281B"/>
    <w:rsid w:val="004A2E36"/>
    <w:rsid w:val="004A311B"/>
    <w:rsid w:val="004A3369"/>
    <w:rsid w:val="004A39D9"/>
    <w:rsid w:val="004A40E3"/>
    <w:rsid w:val="004A54CF"/>
    <w:rsid w:val="004A59EE"/>
    <w:rsid w:val="004A6F41"/>
    <w:rsid w:val="004A6F99"/>
    <w:rsid w:val="004A7D62"/>
    <w:rsid w:val="004A7F60"/>
    <w:rsid w:val="004B024E"/>
    <w:rsid w:val="004B040F"/>
    <w:rsid w:val="004B13C1"/>
    <w:rsid w:val="004B153F"/>
    <w:rsid w:val="004B189A"/>
    <w:rsid w:val="004B1EBC"/>
    <w:rsid w:val="004B1F50"/>
    <w:rsid w:val="004B20A7"/>
    <w:rsid w:val="004B20AE"/>
    <w:rsid w:val="004B276B"/>
    <w:rsid w:val="004B27DC"/>
    <w:rsid w:val="004B2B5C"/>
    <w:rsid w:val="004B2D0B"/>
    <w:rsid w:val="004B331C"/>
    <w:rsid w:val="004B3C35"/>
    <w:rsid w:val="004B3FD0"/>
    <w:rsid w:val="004B4ED2"/>
    <w:rsid w:val="004B612C"/>
    <w:rsid w:val="004B6303"/>
    <w:rsid w:val="004B69B5"/>
    <w:rsid w:val="004B6B29"/>
    <w:rsid w:val="004B6BF1"/>
    <w:rsid w:val="004B6C12"/>
    <w:rsid w:val="004B70C2"/>
    <w:rsid w:val="004B7231"/>
    <w:rsid w:val="004B74FB"/>
    <w:rsid w:val="004B79B1"/>
    <w:rsid w:val="004C059F"/>
    <w:rsid w:val="004C05DE"/>
    <w:rsid w:val="004C0675"/>
    <w:rsid w:val="004C0680"/>
    <w:rsid w:val="004C0C60"/>
    <w:rsid w:val="004C0DE9"/>
    <w:rsid w:val="004C1065"/>
    <w:rsid w:val="004C10E9"/>
    <w:rsid w:val="004C127C"/>
    <w:rsid w:val="004C1DCA"/>
    <w:rsid w:val="004C2261"/>
    <w:rsid w:val="004C2896"/>
    <w:rsid w:val="004C2C55"/>
    <w:rsid w:val="004C2DEA"/>
    <w:rsid w:val="004C2E7E"/>
    <w:rsid w:val="004C308F"/>
    <w:rsid w:val="004C314C"/>
    <w:rsid w:val="004C33C6"/>
    <w:rsid w:val="004C3717"/>
    <w:rsid w:val="004C3C45"/>
    <w:rsid w:val="004C3CE0"/>
    <w:rsid w:val="004C427B"/>
    <w:rsid w:val="004C454A"/>
    <w:rsid w:val="004C4C9A"/>
    <w:rsid w:val="004C4F40"/>
    <w:rsid w:val="004C52E0"/>
    <w:rsid w:val="004C54B5"/>
    <w:rsid w:val="004C5B54"/>
    <w:rsid w:val="004C64AC"/>
    <w:rsid w:val="004C708B"/>
    <w:rsid w:val="004C7878"/>
    <w:rsid w:val="004C7F9B"/>
    <w:rsid w:val="004D025E"/>
    <w:rsid w:val="004D03E2"/>
    <w:rsid w:val="004D09D4"/>
    <w:rsid w:val="004D0D7B"/>
    <w:rsid w:val="004D1035"/>
    <w:rsid w:val="004D16E4"/>
    <w:rsid w:val="004D2095"/>
    <w:rsid w:val="004D20D9"/>
    <w:rsid w:val="004D279D"/>
    <w:rsid w:val="004D2BF7"/>
    <w:rsid w:val="004D2D60"/>
    <w:rsid w:val="004D2F82"/>
    <w:rsid w:val="004D3179"/>
    <w:rsid w:val="004D36BB"/>
    <w:rsid w:val="004D38A5"/>
    <w:rsid w:val="004D52B7"/>
    <w:rsid w:val="004D7623"/>
    <w:rsid w:val="004E0CC5"/>
    <w:rsid w:val="004E117F"/>
    <w:rsid w:val="004E1255"/>
    <w:rsid w:val="004E163A"/>
    <w:rsid w:val="004E1A35"/>
    <w:rsid w:val="004E1A4B"/>
    <w:rsid w:val="004E1C0F"/>
    <w:rsid w:val="004E1C6D"/>
    <w:rsid w:val="004E1FAC"/>
    <w:rsid w:val="004E202B"/>
    <w:rsid w:val="004E2F8D"/>
    <w:rsid w:val="004E30B5"/>
    <w:rsid w:val="004E3282"/>
    <w:rsid w:val="004E32F3"/>
    <w:rsid w:val="004E35AF"/>
    <w:rsid w:val="004E3D58"/>
    <w:rsid w:val="004E41AB"/>
    <w:rsid w:val="004E474F"/>
    <w:rsid w:val="004E49D7"/>
    <w:rsid w:val="004E4A21"/>
    <w:rsid w:val="004E4AC8"/>
    <w:rsid w:val="004E4AE0"/>
    <w:rsid w:val="004E4FF9"/>
    <w:rsid w:val="004E53D7"/>
    <w:rsid w:val="004E5705"/>
    <w:rsid w:val="004E581E"/>
    <w:rsid w:val="004E5B57"/>
    <w:rsid w:val="004E5D22"/>
    <w:rsid w:val="004E637F"/>
    <w:rsid w:val="004E65EE"/>
    <w:rsid w:val="004E664E"/>
    <w:rsid w:val="004E6978"/>
    <w:rsid w:val="004E69BA"/>
    <w:rsid w:val="004E7124"/>
    <w:rsid w:val="004E76AD"/>
    <w:rsid w:val="004E7826"/>
    <w:rsid w:val="004E786D"/>
    <w:rsid w:val="004E7C49"/>
    <w:rsid w:val="004E7D8A"/>
    <w:rsid w:val="004E7E28"/>
    <w:rsid w:val="004F02C7"/>
    <w:rsid w:val="004F05A5"/>
    <w:rsid w:val="004F0876"/>
    <w:rsid w:val="004F0EEC"/>
    <w:rsid w:val="004F130A"/>
    <w:rsid w:val="004F148D"/>
    <w:rsid w:val="004F182F"/>
    <w:rsid w:val="004F187F"/>
    <w:rsid w:val="004F1895"/>
    <w:rsid w:val="004F1FBD"/>
    <w:rsid w:val="004F2521"/>
    <w:rsid w:val="004F2706"/>
    <w:rsid w:val="004F28ED"/>
    <w:rsid w:val="004F2A0D"/>
    <w:rsid w:val="004F2A27"/>
    <w:rsid w:val="004F2A99"/>
    <w:rsid w:val="004F2C39"/>
    <w:rsid w:val="004F3A51"/>
    <w:rsid w:val="004F3B77"/>
    <w:rsid w:val="004F4269"/>
    <w:rsid w:val="004F49A3"/>
    <w:rsid w:val="004F4BE2"/>
    <w:rsid w:val="004F4DD9"/>
    <w:rsid w:val="004F4EBD"/>
    <w:rsid w:val="004F530D"/>
    <w:rsid w:val="004F5ED2"/>
    <w:rsid w:val="004F7F0C"/>
    <w:rsid w:val="00500A1A"/>
    <w:rsid w:val="00500B8F"/>
    <w:rsid w:val="00500DF2"/>
    <w:rsid w:val="0050143A"/>
    <w:rsid w:val="0050165D"/>
    <w:rsid w:val="00501B2E"/>
    <w:rsid w:val="0050227A"/>
    <w:rsid w:val="005022C0"/>
    <w:rsid w:val="0050245C"/>
    <w:rsid w:val="00502BB8"/>
    <w:rsid w:val="00502C7F"/>
    <w:rsid w:val="005033A4"/>
    <w:rsid w:val="00503EA8"/>
    <w:rsid w:val="005042D6"/>
    <w:rsid w:val="005046D4"/>
    <w:rsid w:val="00504B3A"/>
    <w:rsid w:val="00504F56"/>
    <w:rsid w:val="0050502B"/>
    <w:rsid w:val="00505275"/>
    <w:rsid w:val="005053A2"/>
    <w:rsid w:val="00505585"/>
    <w:rsid w:val="0050558C"/>
    <w:rsid w:val="0050624C"/>
    <w:rsid w:val="00506A39"/>
    <w:rsid w:val="00506C9C"/>
    <w:rsid w:val="005070E3"/>
    <w:rsid w:val="005072DD"/>
    <w:rsid w:val="00507438"/>
    <w:rsid w:val="00507CB2"/>
    <w:rsid w:val="00510221"/>
    <w:rsid w:val="00510412"/>
    <w:rsid w:val="005106F3"/>
    <w:rsid w:val="005114DF"/>
    <w:rsid w:val="0051197F"/>
    <w:rsid w:val="00511B7A"/>
    <w:rsid w:val="00511D0E"/>
    <w:rsid w:val="0051239A"/>
    <w:rsid w:val="0051274E"/>
    <w:rsid w:val="00512897"/>
    <w:rsid w:val="00512A3A"/>
    <w:rsid w:val="00512A7C"/>
    <w:rsid w:val="00512B39"/>
    <w:rsid w:val="00513420"/>
    <w:rsid w:val="0051395D"/>
    <w:rsid w:val="00513D34"/>
    <w:rsid w:val="00513EE9"/>
    <w:rsid w:val="00514147"/>
    <w:rsid w:val="005142E9"/>
    <w:rsid w:val="005142F8"/>
    <w:rsid w:val="00514B08"/>
    <w:rsid w:val="00514F9D"/>
    <w:rsid w:val="00515394"/>
    <w:rsid w:val="005157ED"/>
    <w:rsid w:val="005160A2"/>
    <w:rsid w:val="00516797"/>
    <w:rsid w:val="0051694E"/>
    <w:rsid w:val="005169FC"/>
    <w:rsid w:val="00516B16"/>
    <w:rsid w:val="00516BD6"/>
    <w:rsid w:val="00517108"/>
    <w:rsid w:val="00517C88"/>
    <w:rsid w:val="00520701"/>
    <w:rsid w:val="00520A61"/>
    <w:rsid w:val="0052111B"/>
    <w:rsid w:val="00521598"/>
    <w:rsid w:val="00521822"/>
    <w:rsid w:val="0052183C"/>
    <w:rsid w:val="00521AC6"/>
    <w:rsid w:val="00521FA0"/>
    <w:rsid w:val="0052260A"/>
    <w:rsid w:val="00522997"/>
    <w:rsid w:val="00522AD1"/>
    <w:rsid w:val="00522C43"/>
    <w:rsid w:val="00522F3F"/>
    <w:rsid w:val="005235C8"/>
    <w:rsid w:val="00524501"/>
    <w:rsid w:val="00524DF9"/>
    <w:rsid w:val="005250C0"/>
    <w:rsid w:val="00525153"/>
    <w:rsid w:val="00525831"/>
    <w:rsid w:val="00525F93"/>
    <w:rsid w:val="00525FCE"/>
    <w:rsid w:val="005266A7"/>
    <w:rsid w:val="0052677E"/>
    <w:rsid w:val="005274AB"/>
    <w:rsid w:val="005279BA"/>
    <w:rsid w:val="00527E48"/>
    <w:rsid w:val="00527E4D"/>
    <w:rsid w:val="005301E8"/>
    <w:rsid w:val="0053046E"/>
    <w:rsid w:val="00530A60"/>
    <w:rsid w:val="00530ED8"/>
    <w:rsid w:val="005317E6"/>
    <w:rsid w:val="0053197A"/>
    <w:rsid w:val="005319A3"/>
    <w:rsid w:val="00532410"/>
    <w:rsid w:val="0053243A"/>
    <w:rsid w:val="00532524"/>
    <w:rsid w:val="00532710"/>
    <w:rsid w:val="005328B0"/>
    <w:rsid w:val="00532951"/>
    <w:rsid w:val="005339C9"/>
    <w:rsid w:val="00533DE5"/>
    <w:rsid w:val="00533EC7"/>
    <w:rsid w:val="00533ED1"/>
    <w:rsid w:val="0053408E"/>
    <w:rsid w:val="005341E8"/>
    <w:rsid w:val="00535497"/>
    <w:rsid w:val="00535750"/>
    <w:rsid w:val="00536189"/>
    <w:rsid w:val="005367BD"/>
    <w:rsid w:val="00536829"/>
    <w:rsid w:val="005369DE"/>
    <w:rsid w:val="00536A6A"/>
    <w:rsid w:val="00536C2B"/>
    <w:rsid w:val="00536E7F"/>
    <w:rsid w:val="00537145"/>
    <w:rsid w:val="00537496"/>
    <w:rsid w:val="0053786A"/>
    <w:rsid w:val="00537D50"/>
    <w:rsid w:val="00537E2E"/>
    <w:rsid w:val="00540B49"/>
    <w:rsid w:val="00540C4F"/>
    <w:rsid w:val="005416AE"/>
    <w:rsid w:val="0054170B"/>
    <w:rsid w:val="00541AC6"/>
    <w:rsid w:val="00541C73"/>
    <w:rsid w:val="00541E6F"/>
    <w:rsid w:val="00542026"/>
    <w:rsid w:val="005421E0"/>
    <w:rsid w:val="0054268D"/>
    <w:rsid w:val="005428BC"/>
    <w:rsid w:val="00542C07"/>
    <w:rsid w:val="00542ED9"/>
    <w:rsid w:val="0054375D"/>
    <w:rsid w:val="00543A83"/>
    <w:rsid w:val="00543AD0"/>
    <w:rsid w:val="00543B41"/>
    <w:rsid w:val="00543D2C"/>
    <w:rsid w:val="00544099"/>
    <w:rsid w:val="00544EF1"/>
    <w:rsid w:val="00544F6B"/>
    <w:rsid w:val="00544F78"/>
    <w:rsid w:val="00545077"/>
    <w:rsid w:val="00545728"/>
    <w:rsid w:val="005464E9"/>
    <w:rsid w:val="0054685E"/>
    <w:rsid w:val="0054733C"/>
    <w:rsid w:val="0054791C"/>
    <w:rsid w:val="00547E3A"/>
    <w:rsid w:val="00547F33"/>
    <w:rsid w:val="0055000C"/>
    <w:rsid w:val="005506A1"/>
    <w:rsid w:val="005507B6"/>
    <w:rsid w:val="00550B07"/>
    <w:rsid w:val="00550BAE"/>
    <w:rsid w:val="00550D8E"/>
    <w:rsid w:val="0055115E"/>
    <w:rsid w:val="0055159E"/>
    <w:rsid w:val="005517F0"/>
    <w:rsid w:val="00552012"/>
    <w:rsid w:val="0055273C"/>
    <w:rsid w:val="00552F78"/>
    <w:rsid w:val="005535A6"/>
    <w:rsid w:val="005535B7"/>
    <w:rsid w:val="005547C6"/>
    <w:rsid w:val="00554807"/>
    <w:rsid w:val="00554D82"/>
    <w:rsid w:val="005550B6"/>
    <w:rsid w:val="005557EC"/>
    <w:rsid w:val="00555F2A"/>
    <w:rsid w:val="0055612B"/>
    <w:rsid w:val="00556D02"/>
    <w:rsid w:val="00556F2B"/>
    <w:rsid w:val="00557168"/>
    <w:rsid w:val="005576E4"/>
    <w:rsid w:val="00557C92"/>
    <w:rsid w:val="00557DF6"/>
    <w:rsid w:val="00560154"/>
    <w:rsid w:val="00560175"/>
    <w:rsid w:val="005607F6"/>
    <w:rsid w:val="00560D3E"/>
    <w:rsid w:val="00561253"/>
    <w:rsid w:val="00561451"/>
    <w:rsid w:val="0056147F"/>
    <w:rsid w:val="005621F7"/>
    <w:rsid w:val="0056321E"/>
    <w:rsid w:val="005636AF"/>
    <w:rsid w:val="0056378E"/>
    <w:rsid w:val="005637A8"/>
    <w:rsid w:val="00563CE2"/>
    <w:rsid w:val="00563ED4"/>
    <w:rsid w:val="005640F8"/>
    <w:rsid w:val="00565388"/>
    <w:rsid w:val="0056539A"/>
    <w:rsid w:val="00565B7D"/>
    <w:rsid w:val="00565BB3"/>
    <w:rsid w:val="00565E9C"/>
    <w:rsid w:val="005669A4"/>
    <w:rsid w:val="0056703B"/>
    <w:rsid w:val="0056722A"/>
    <w:rsid w:val="0056796C"/>
    <w:rsid w:val="00567A64"/>
    <w:rsid w:val="00567BB2"/>
    <w:rsid w:val="00567DB7"/>
    <w:rsid w:val="00567F04"/>
    <w:rsid w:val="0057012C"/>
    <w:rsid w:val="005702B3"/>
    <w:rsid w:val="005707B3"/>
    <w:rsid w:val="005707F8"/>
    <w:rsid w:val="00570B09"/>
    <w:rsid w:val="00570E55"/>
    <w:rsid w:val="005714AB"/>
    <w:rsid w:val="005715A4"/>
    <w:rsid w:val="005719B4"/>
    <w:rsid w:val="00571EDC"/>
    <w:rsid w:val="005722AF"/>
    <w:rsid w:val="00572387"/>
    <w:rsid w:val="005728DE"/>
    <w:rsid w:val="00572FEB"/>
    <w:rsid w:val="00573AC4"/>
    <w:rsid w:val="00573BBC"/>
    <w:rsid w:val="00573EC0"/>
    <w:rsid w:val="00573FB1"/>
    <w:rsid w:val="0057448A"/>
    <w:rsid w:val="00574A47"/>
    <w:rsid w:val="00574AE7"/>
    <w:rsid w:val="005750CA"/>
    <w:rsid w:val="005751FA"/>
    <w:rsid w:val="0057578A"/>
    <w:rsid w:val="00575820"/>
    <w:rsid w:val="00575BFE"/>
    <w:rsid w:val="0057611C"/>
    <w:rsid w:val="00576527"/>
    <w:rsid w:val="00576D6B"/>
    <w:rsid w:val="00576E59"/>
    <w:rsid w:val="0057778E"/>
    <w:rsid w:val="00577C2F"/>
    <w:rsid w:val="00577C93"/>
    <w:rsid w:val="00577EE8"/>
    <w:rsid w:val="0058006A"/>
    <w:rsid w:val="00580096"/>
    <w:rsid w:val="005801B9"/>
    <w:rsid w:val="00580408"/>
    <w:rsid w:val="00580530"/>
    <w:rsid w:val="00580730"/>
    <w:rsid w:val="00580770"/>
    <w:rsid w:val="005808AC"/>
    <w:rsid w:val="00580A73"/>
    <w:rsid w:val="00581007"/>
    <w:rsid w:val="00581DB5"/>
    <w:rsid w:val="00582EA0"/>
    <w:rsid w:val="00583734"/>
    <w:rsid w:val="00584D8D"/>
    <w:rsid w:val="0058527E"/>
    <w:rsid w:val="00585565"/>
    <w:rsid w:val="005855A6"/>
    <w:rsid w:val="005859CD"/>
    <w:rsid w:val="00585A78"/>
    <w:rsid w:val="0058627A"/>
    <w:rsid w:val="005862BB"/>
    <w:rsid w:val="005862CE"/>
    <w:rsid w:val="00586716"/>
    <w:rsid w:val="005869DE"/>
    <w:rsid w:val="00586A91"/>
    <w:rsid w:val="00586AC4"/>
    <w:rsid w:val="0058730D"/>
    <w:rsid w:val="0058768C"/>
    <w:rsid w:val="005876A4"/>
    <w:rsid w:val="00590641"/>
    <w:rsid w:val="00590CC2"/>
    <w:rsid w:val="00590EC3"/>
    <w:rsid w:val="00591868"/>
    <w:rsid w:val="00591A30"/>
    <w:rsid w:val="00591D7F"/>
    <w:rsid w:val="00593402"/>
    <w:rsid w:val="005936CF"/>
    <w:rsid w:val="00594316"/>
    <w:rsid w:val="0059479C"/>
    <w:rsid w:val="00594952"/>
    <w:rsid w:val="0059529D"/>
    <w:rsid w:val="00595624"/>
    <w:rsid w:val="005957B5"/>
    <w:rsid w:val="00595A23"/>
    <w:rsid w:val="00595B1A"/>
    <w:rsid w:val="00595F9C"/>
    <w:rsid w:val="00596105"/>
    <w:rsid w:val="00596316"/>
    <w:rsid w:val="005966D3"/>
    <w:rsid w:val="00596F55"/>
    <w:rsid w:val="00597671"/>
    <w:rsid w:val="0059774D"/>
    <w:rsid w:val="00597A09"/>
    <w:rsid w:val="00597C3A"/>
    <w:rsid w:val="00597DEC"/>
    <w:rsid w:val="00597E04"/>
    <w:rsid w:val="00597ED6"/>
    <w:rsid w:val="005A0163"/>
    <w:rsid w:val="005A0367"/>
    <w:rsid w:val="005A03F8"/>
    <w:rsid w:val="005A0B3C"/>
    <w:rsid w:val="005A1227"/>
    <w:rsid w:val="005A1734"/>
    <w:rsid w:val="005A1C30"/>
    <w:rsid w:val="005A2AA6"/>
    <w:rsid w:val="005A2AEE"/>
    <w:rsid w:val="005A2BE1"/>
    <w:rsid w:val="005A2FB6"/>
    <w:rsid w:val="005A3205"/>
    <w:rsid w:val="005A5282"/>
    <w:rsid w:val="005A5463"/>
    <w:rsid w:val="005A558C"/>
    <w:rsid w:val="005A5BAF"/>
    <w:rsid w:val="005A5BCA"/>
    <w:rsid w:val="005A5CD9"/>
    <w:rsid w:val="005A66A7"/>
    <w:rsid w:val="005A6F8D"/>
    <w:rsid w:val="005A7391"/>
    <w:rsid w:val="005A7695"/>
    <w:rsid w:val="005A7714"/>
    <w:rsid w:val="005A780E"/>
    <w:rsid w:val="005A7882"/>
    <w:rsid w:val="005A7B3E"/>
    <w:rsid w:val="005A7CDC"/>
    <w:rsid w:val="005B0195"/>
    <w:rsid w:val="005B06E4"/>
    <w:rsid w:val="005B0D15"/>
    <w:rsid w:val="005B1638"/>
    <w:rsid w:val="005B18BE"/>
    <w:rsid w:val="005B1F35"/>
    <w:rsid w:val="005B211D"/>
    <w:rsid w:val="005B2392"/>
    <w:rsid w:val="005B2499"/>
    <w:rsid w:val="005B27BF"/>
    <w:rsid w:val="005B35B0"/>
    <w:rsid w:val="005B3695"/>
    <w:rsid w:val="005B39B9"/>
    <w:rsid w:val="005B3ECC"/>
    <w:rsid w:val="005B4071"/>
    <w:rsid w:val="005B47FC"/>
    <w:rsid w:val="005B4C71"/>
    <w:rsid w:val="005B4DF8"/>
    <w:rsid w:val="005B4F97"/>
    <w:rsid w:val="005B52CA"/>
    <w:rsid w:val="005B52F9"/>
    <w:rsid w:val="005B5E0E"/>
    <w:rsid w:val="005B632E"/>
    <w:rsid w:val="005B6340"/>
    <w:rsid w:val="005B6EDE"/>
    <w:rsid w:val="005B7564"/>
    <w:rsid w:val="005B761D"/>
    <w:rsid w:val="005C014E"/>
    <w:rsid w:val="005C03B2"/>
    <w:rsid w:val="005C105E"/>
    <w:rsid w:val="005C1B34"/>
    <w:rsid w:val="005C1EB7"/>
    <w:rsid w:val="005C1F44"/>
    <w:rsid w:val="005C2467"/>
    <w:rsid w:val="005C2F55"/>
    <w:rsid w:val="005C3A3D"/>
    <w:rsid w:val="005C426F"/>
    <w:rsid w:val="005C44F6"/>
    <w:rsid w:val="005C4B82"/>
    <w:rsid w:val="005C4EE1"/>
    <w:rsid w:val="005C52AF"/>
    <w:rsid w:val="005C572C"/>
    <w:rsid w:val="005C58E3"/>
    <w:rsid w:val="005C650C"/>
    <w:rsid w:val="005C657A"/>
    <w:rsid w:val="005C69EB"/>
    <w:rsid w:val="005C7652"/>
    <w:rsid w:val="005C7701"/>
    <w:rsid w:val="005C7C21"/>
    <w:rsid w:val="005C7D89"/>
    <w:rsid w:val="005C7E64"/>
    <w:rsid w:val="005D0B7F"/>
    <w:rsid w:val="005D0C12"/>
    <w:rsid w:val="005D1077"/>
    <w:rsid w:val="005D1A4B"/>
    <w:rsid w:val="005D2076"/>
    <w:rsid w:val="005D20C1"/>
    <w:rsid w:val="005D256C"/>
    <w:rsid w:val="005D2B18"/>
    <w:rsid w:val="005D321F"/>
    <w:rsid w:val="005D352D"/>
    <w:rsid w:val="005D3A6F"/>
    <w:rsid w:val="005D3C90"/>
    <w:rsid w:val="005D4312"/>
    <w:rsid w:val="005D44C4"/>
    <w:rsid w:val="005D459D"/>
    <w:rsid w:val="005D4830"/>
    <w:rsid w:val="005D4C63"/>
    <w:rsid w:val="005D4F97"/>
    <w:rsid w:val="005D6242"/>
    <w:rsid w:val="005D6B4F"/>
    <w:rsid w:val="005D7001"/>
    <w:rsid w:val="005D77E2"/>
    <w:rsid w:val="005D7912"/>
    <w:rsid w:val="005E060C"/>
    <w:rsid w:val="005E0668"/>
    <w:rsid w:val="005E0DFE"/>
    <w:rsid w:val="005E11D3"/>
    <w:rsid w:val="005E1246"/>
    <w:rsid w:val="005E1454"/>
    <w:rsid w:val="005E2107"/>
    <w:rsid w:val="005E218B"/>
    <w:rsid w:val="005E26EB"/>
    <w:rsid w:val="005E29B9"/>
    <w:rsid w:val="005E2B6A"/>
    <w:rsid w:val="005E2F94"/>
    <w:rsid w:val="005E310B"/>
    <w:rsid w:val="005E36C4"/>
    <w:rsid w:val="005E3913"/>
    <w:rsid w:val="005E4534"/>
    <w:rsid w:val="005E4727"/>
    <w:rsid w:val="005E476B"/>
    <w:rsid w:val="005E495D"/>
    <w:rsid w:val="005E4C83"/>
    <w:rsid w:val="005E5031"/>
    <w:rsid w:val="005E5190"/>
    <w:rsid w:val="005E527F"/>
    <w:rsid w:val="005E58ED"/>
    <w:rsid w:val="005E5AD3"/>
    <w:rsid w:val="005E5FBE"/>
    <w:rsid w:val="005E6206"/>
    <w:rsid w:val="005E651C"/>
    <w:rsid w:val="005E6D31"/>
    <w:rsid w:val="005E74CD"/>
    <w:rsid w:val="005E77D3"/>
    <w:rsid w:val="005E7BED"/>
    <w:rsid w:val="005E7E35"/>
    <w:rsid w:val="005E7FF6"/>
    <w:rsid w:val="005F02CE"/>
    <w:rsid w:val="005F0B16"/>
    <w:rsid w:val="005F0C99"/>
    <w:rsid w:val="005F0D8C"/>
    <w:rsid w:val="005F0E51"/>
    <w:rsid w:val="005F1236"/>
    <w:rsid w:val="005F145D"/>
    <w:rsid w:val="005F1A1B"/>
    <w:rsid w:val="005F28F9"/>
    <w:rsid w:val="005F2BFF"/>
    <w:rsid w:val="005F2E51"/>
    <w:rsid w:val="005F3015"/>
    <w:rsid w:val="005F3465"/>
    <w:rsid w:val="005F393D"/>
    <w:rsid w:val="005F3C83"/>
    <w:rsid w:val="005F41A2"/>
    <w:rsid w:val="005F41B2"/>
    <w:rsid w:val="005F4374"/>
    <w:rsid w:val="005F48B6"/>
    <w:rsid w:val="005F517F"/>
    <w:rsid w:val="005F5439"/>
    <w:rsid w:val="005F5541"/>
    <w:rsid w:val="005F594E"/>
    <w:rsid w:val="005F6745"/>
    <w:rsid w:val="005F67B4"/>
    <w:rsid w:val="005F69DB"/>
    <w:rsid w:val="005F6AD4"/>
    <w:rsid w:val="005F7F03"/>
    <w:rsid w:val="006003B3"/>
    <w:rsid w:val="006004D1"/>
    <w:rsid w:val="006007CB"/>
    <w:rsid w:val="00600E38"/>
    <w:rsid w:val="0060136F"/>
    <w:rsid w:val="00601376"/>
    <w:rsid w:val="006013CB"/>
    <w:rsid w:val="00601A3D"/>
    <w:rsid w:val="0060226F"/>
    <w:rsid w:val="00602EAA"/>
    <w:rsid w:val="00602F1A"/>
    <w:rsid w:val="0060303F"/>
    <w:rsid w:val="00603698"/>
    <w:rsid w:val="00603A45"/>
    <w:rsid w:val="00604002"/>
    <w:rsid w:val="006043C8"/>
    <w:rsid w:val="00604D53"/>
    <w:rsid w:val="00604F06"/>
    <w:rsid w:val="00605567"/>
    <w:rsid w:val="006058C4"/>
    <w:rsid w:val="00606506"/>
    <w:rsid w:val="00606BE6"/>
    <w:rsid w:val="00607050"/>
    <w:rsid w:val="00607E31"/>
    <w:rsid w:val="006103EB"/>
    <w:rsid w:val="00610567"/>
    <w:rsid w:val="0061064E"/>
    <w:rsid w:val="006108C3"/>
    <w:rsid w:val="00610ACB"/>
    <w:rsid w:val="00611364"/>
    <w:rsid w:val="00611C2D"/>
    <w:rsid w:val="00611FE1"/>
    <w:rsid w:val="006121FA"/>
    <w:rsid w:val="006124E2"/>
    <w:rsid w:val="0061266E"/>
    <w:rsid w:val="006126B3"/>
    <w:rsid w:val="00612836"/>
    <w:rsid w:val="00612959"/>
    <w:rsid w:val="00612C46"/>
    <w:rsid w:val="006130D4"/>
    <w:rsid w:val="0061335F"/>
    <w:rsid w:val="006134F6"/>
    <w:rsid w:val="006145FF"/>
    <w:rsid w:val="006158E1"/>
    <w:rsid w:val="00615AD2"/>
    <w:rsid w:val="00615C9C"/>
    <w:rsid w:val="00615DD4"/>
    <w:rsid w:val="00615FEA"/>
    <w:rsid w:val="0061687B"/>
    <w:rsid w:val="006176EA"/>
    <w:rsid w:val="00617D1C"/>
    <w:rsid w:val="006206C5"/>
    <w:rsid w:val="00621011"/>
    <w:rsid w:val="00621087"/>
    <w:rsid w:val="006214BF"/>
    <w:rsid w:val="00621613"/>
    <w:rsid w:val="00621653"/>
    <w:rsid w:val="00621F8E"/>
    <w:rsid w:val="00622861"/>
    <w:rsid w:val="00622AD0"/>
    <w:rsid w:val="006244A3"/>
    <w:rsid w:val="00624591"/>
    <w:rsid w:val="006245C6"/>
    <w:rsid w:val="00624A78"/>
    <w:rsid w:val="006252B9"/>
    <w:rsid w:val="0062539C"/>
    <w:rsid w:val="006255AC"/>
    <w:rsid w:val="00625769"/>
    <w:rsid w:val="0062598B"/>
    <w:rsid w:val="00625AA2"/>
    <w:rsid w:val="00625D19"/>
    <w:rsid w:val="00625D5D"/>
    <w:rsid w:val="00625EAB"/>
    <w:rsid w:val="0062685C"/>
    <w:rsid w:val="00626ABF"/>
    <w:rsid w:val="00626B6E"/>
    <w:rsid w:val="00626C60"/>
    <w:rsid w:val="00626FD3"/>
    <w:rsid w:val="00627270"/>
    <w:rsid w:val="00627A38"/>
    <w:rsid w:val="00627A89"/>
    <w:rsid w:val="00630AF6"/>
    <w:rsid w:val="00630B28"/>
    <w:rsid w:val="00630FA8"/>
    <w:rsid w:val="006310B1"/>
    <w:rsid w:val="00631301"/>
    <w:rsid w:val="0063136D"/>
    <w:rsid w:val="006316F2"/>
    <w:rsid w:val="00632166"/>
    <w:rsid w:val="0063265D"/>
    <w:rsid w:val="0063347F"/>
    <w:rsid w:val="00633BA5"/>
    <w:rsid w:val="00633BAF"/>
    <w:rsid w:val="0063409C"/>
    <w:rsid w:val="006341E6"/>
    <w:rsid w:val="0063442A"/>
    <w:rsid w:val="0063448F"/>
    <w:rsid w:val="00634920"/>
    <w:rsid w:val="00634C6E"/>
    <w:rsid w:val="006353F2"/>
    <w:rsid w:val="00635405"/>
    <w:rsid w:val="0063568A"/>
    <w:rsid w:val="006357C6"/>
    <w:rsid w:val="00635A28"/>
    <w:rsid w:val="00636010"/>
    <w:rsid w:val="00636252"/>
    <w:rsid w:val="00636318"/>
    <w:rsid w:val="006364A0"/>
    <w:rsid w:val="006367A0"/>
    <w:rsid w:val="0063796B"/>
    <w:rsid w:val="006379F5"/>
    <w:rsid w:val="00637D05"/>
    <w:rsid w:val="006407FF"/>
    <w:rsid w:val="00640B3F"/>
    <w:rsid w:val="00640D56"/>
    <w:rsid w:val="006414DC"/>
    <w:rsid w:val="00642018"/>
    <w:rsid w:val="006423C0"/>
    <w:rsid w:val="00642788"/>
    <w:rsid w:val="006428D0"/>
    <w:rsid w:val="00642A3C"/>
    <w:rsid w:val="00642D86"/>
    <w:rsid w:val="006438FE"/>
    <w:rsid w:val="00643EF7"/>
    <w:rsid w:val="00644033"/>
    <w:rsid w:val="00644604"/>
    <w:rsid w:val="00644BF7"/>
    <w:rsid w:val="006450C1"/>
    <w:rsid w:val="006458A8"/>
    <w:rsid w:val="00645F6C"/>
    <w:rsid w:val="00646055"/>
    <w:rsid w:val="0064644B"/>
    <w:rsid w:val="00647AD9"/>
    <w:rsid w:val="00647E1F"/>
    <w:rsid w:val="00647FE3"/>
    <w:rsid w:val="006508A6"/>
    <w:rsid w:val="00650D2A"/>
    <w:rsid w:val="00650F25"/>
    <w:rsid w:val="0065125A"/>
    <w:rsid w:val="0065154C"/>
    <w:rsid w:val="00651D8C"/>
    <w:rsid w:val="00652162"/>
    <w:rsid w:val="00652CF6"/>
    <w:rsid w:val="00652EF3"/>
    <w:rsid w:val="00653294"/>
    <w:rsid w:val="006535C8"/>
    <w:rsid w:val="00653843"/>
    <w:rsid w:val="0065459C"/>
    <w:rsid w:val="00654D16"/>
    <w:rsid w:val="00654E06"/>
    <w:rsid w:val="006550C1"/>
    <w:rsid w:val="0065558C"/>
    <w:rsid w:val="00655758"/>
    <w:rsid w:val="006559DA"/>
    <w:rsid w:val="00655B9D"/>
    <w:rsid w:val="00655D8B"/>
    <w:rsid w:val="00656534"/>
    <w:rsid w:val="00656B40"/>
    <w:rsid w:val="00656CBB"/>
    <w:rsid w:val="00656DA1"/>
    <w:rsid w:val="00656F05"/>
    <w:rsid w:val="00656FDA"/>
    <w:rsid w:val="006570AE"/>
    <w:rsid w:val="006575E7"/>
    <w:rsid w:val="006576E3"/>
    <w:rsid w:val="00657790"/>
    <w:rsid w:val="006608BD"/>
    <w:rsid w:val="006613D1"/>
    <w:rsid w:val="006615C8"/>
    <w:rsid w:val="00661989"/>
    <w:rsid w:val="0066278E"/>
    <w:rsid w:val="00662C88"/>
    <w:rsid w:val="00662D3D"/>
    <w:rsid w:val="006640E0"/>
    <w:rsid w:val="0066422B"/>
    <w:rsid w:val="006642E3"/>
    <w:rsid w:val="0066468D"/>
    <w:rsid w:val="006649BA"/>
    <w:rsid w:val="006659D5"/>
    <w:rsid w:val="00665AC8"/>
    <w:rsid w:val="00665DC5"/>
    <w:rsid w:val="00665E01"/>
    <w:rsid w:val="00665EA0"/>
    <w:rsid w:val="00665F86"/>
    <w:rsid w:val="00665FAC"/>
    <w:rsid w:val="00666A76"/>
    <w:rsid w:val="006674A2"/>
    <w:rsid w:val="00667627"/>
    <w:rsid w:val="00667B10"/>
    <w:rsid w:val="00667E02"/>
    <w:rsid w:val="00670138"/>
    <w:rsid w:val="006703D0"/>
    <w:rsid w:val="00670466"/>
    <w:rsid w:val="00670823"/>
    <w:rsid w:val="00670B57"/>
    <w:rsid w:val="00670C06"/>
    <w:rsid w:val="0067173C"/>
    <w:rsid w:val="00671EA0"/>
    <w:rsid w:val="00671EF0"/>
    <w:rsid w:val="00672486"/>
    <w:rsid w:val="00672EA3"/>
    <w:rsid w:val="00672EC3"/>
    <w:rsid w:val="00673257"/>
    <w:rsid w:val="00673CE8"/>
    <w:rsid w:val="00673DB9"/>
    <w:rsid w:val="00674C8F"/>
    <w:rsid w:val="00675432"/>
    <w:rsid w:val="00675B3D"/>
    <w:rsid w:val="00675D07"/>
    <w:rsid w:val="00675E8C"/>
    <w:rsid w:val="006769EB"/>
    <w:rsid w:val="0067745D"/>
    <w:rsid w:val="0067783C"/>
    <w:rsid w:val="00680080"/>
    <w:rsid w:val="00680685"/>
    <w:rsid w:val="006806D3"/>
    <w:rsid w:val="00681937"/>
    <w:rsid w:val="00681984"/>
    <w:rsid w:val="006820B2"/>
    <w:rsid w:val="006820C5"/>
    <w:rsid w:val="00682134"/>
    <w:rsid w:val="00682175"/>
    <w:rsid w:val="0068219D"/>
    <w:rsid w:val="006827E0"/>
    <w:rsid w:val="00682A53"/>
    <w:rsid w:val="00682B6A"/>
    <w:rsid w:val="00682D89"/>
    <w:rsid w:val="00682E0D"/>
    <w:rsid w:val="0068307F"/>
    <w:rsid w:val="006830DD"/>
    <w:rsid w:val="0068369F"/>
    <w:rsid w:val="0068382C"/>
    <w:rsid w:val="00683BC5"/>
    <w:rsid w:val="00683D3C"/>
    <w:rsid w:val="00683DBA"/>
    <w:rsid w:val="00684B3A"/>
    <w:rsid w:val="00684CF3"/>
    <w:rsid w:val="00684E53"/>
    <w:rsid w:val="00685432"/>
    <w:rsid w:val="006856A7"/>
    <w:rsid w:val="0068571C"/>
    <w:rsid w:val="0068646D"/>
    <w:rsid w:val="0068658B"/>
    <w:rsid w:val="006868FC"/>
    <w:rsid w:val="00686D80"/>
    <w:rsid w:val="00690501"/>
    <w:rsid w:val="006906BC"/>
    <w:rsid w:val="00690B13"/>
    <w:rsid w:val="00690D62"/>
    <w:rsid w:val="00691110"/>
    <w:rsid w:val="00691424"/>
    <w:rsid w:val="006914F8"/>
    <w:rsid w:val="006915DE"/>
    <w:rsid w:val="0069173C"/>
    <w:rsid w:val="00691AFD"/>
    <w:rsid w:val="00691D2F"/>
    <w:rsid w:val="00691EE8"/>
    <w:rsid w:val="00691F5A"/>
    <w:rsid w:val="006921E6"/>
    <w:rsid w:val="00692602"/>
    <w:rsid w:val="0069368E"/>
    <w:rsid w:val="00693795"/>
    <w:rsid w:val="00694786"/>
    <w:rsid w:val="0069489D"/>
    <w:rsid w:val="00694ECB"/>
    <w:rsid w:val="00695D69"/>
    <w:rsid w:val="00696674"/>
    <w:rsid w:val="00696B9B"/>
    <w:rsid w:val="00696D59"/>
    <w:rsid w:val="00697378"/>
    <w:rsid w:val="00697C0E"/>
    <w:rsid w:val="00697C2D"/>
    <w:rsid w:val="00697CC1"/>
    <w:rsid w:val="006A01DE"/>
    <w:rsid w:val="006A05E3"/>
    <w:rsid w:val="006A139E"/>
    <w:rsid w:val="006A23D2"/>
    <w:rsid w:val="006A2559"/>
    <w:rsid w:val="006A2C2F"/>
    <w:rsid w:val="006A2E32"/>
    <w:rsid w:val="006A3810"/>
    <w:rsid w:val="006A4914"/>
    <w:rsid w:val="006A54B4"/>
    <w:rsid w:val="006A5802"/>
    <w:rsid w:val="006A599D"/>
    <w:rsid w:val="006A5F82"/>
    <w:rsid w:val="006A610C"/>
    <w:rsid w:val="006A611E"/>
    <w:rsid w:val="006A62A7"/>
    <w:rsid w:val="006A6D78"/>
    <w:rsid w:val="006A79F2"/>
    <w:rsid w:val="006A7C21"/>
    <w:rsid w:val="006A7CF4"/>
    <w:rsid w:val="006A7DF9"/>
    <w:rsid w:val="006B0293"/>
    <w:rsid w:val="006B0A04"/>
    <w:rsid w:val="006B0FF4"/>
    <w:rsid w:val="006B181B"/>
    <w:rsid w:val="006B1B7F"/>
    <w:rsid w:val="006B1E13"/>
    <w:rsid w:val="006B27B7"/>
    <w:rsid w:val="006B29CF"/>
    <w:rsid w:val="006B368D"/>
    <w:rsid w:val="006B3C52"/>
    <w:rsid w:val="006B3F2D"/>
    <w:rsid w:val="006B4E1D"/>
    <w:rsid w:val="006B4F6A"/>
    <w:rsid w:val="006B52AF"/>
    <w:rsid w:val="006B5629"/>
    <w:rsid w:val="006B5925"/>
    <w:rsid w:val="006B62B1"/>
    <w:rsid w:val="006B62DF"/>
    <w:rsid w:val="006B6467"/>
    <w:rsid w:val="006B67FA"/>
    <w:rsid w:val="006B6C0C"/>
    <w:rsid w:val="006B7273"/>
    <w:rsid w:val="006B7351"/>
    <w:rsid w:val="006C196B"/>
    <w:rsid w:val="006C1A36"/>
    <w:rsid w:val="006C1B1C"/>
    <w:rsid w:val="006C1B8E"/>
    <w:rsid w:val="006C1F00"/>
    <w:rsid w:val="006C2105"/>
    <w:rsid w:val="006C2700"/>
    <w:rsid w:val="006C287C"/>
    <w:rsid w:val="006C2923"/>
    <w:rsid w:val="006C2D0C"/>
    <w:rsid w:val="006C32E6"/>
    <w:rsid w:val="006C3698"/>
    <w:rsid w:val="006C3AA6"/>
    <w:rsid w:val="006C4102"/>
    <w:rsid w:val="006C4582"/>
    <w:rsid w:val="006C45A0"/>
    <w:rsid w:val="006C46D0"/>
    <w:rsid w:val="006C4C7C"/>
    <w:rsid w:val="006C4FAE"/>
    <w:rsid w:val="006C5B17"/>
    <w:rsid w:val="006C6072"/>
    <w:rsid w:val="006C7027"/>
    <w:rsid w:val="006C70CC"/>
    <w:rsid w:val="006C7B16"/>
    <w:rsid w:val="006C7C23"/>
    <w:rsid w:val="006D07CB"/>
    <w:rsid w:val="006D136F"/>
    <w:rsid w:val="006D1842"/>
    <w:rsid w:val="006D2049"/>
    <w:rsid w:val="006D2C73"/>
    <w:rsid w:val="006D3A59"/>
    <w:rsid w:val="006D3C22"/>
    <w:rsid w:val="006D3D42"/>
    <w:rsid w:val="006D43CA"/>
    <w:rsid w:val="006D5911"/>
    <w:rsid w:val="006D5A4D"/>
    <w:rsid w:val="006D5ED9"/>
    <w:rsid w:val="006D6046"/>
    <w:rsid w:val="006D6763"/>
    <w:rsid w:val="006D6807"/>
    <w:rsid w:val="006D6B6D"/>
    <w:rsid w:val="006D6EC5"/>
    <w:rsid w:val="006D6F40"/>
    <w:rsid w:val="006D796D"/>
    <w:rsid w:val="006D7B3E"/>
    <w:rsid w:val="006D7BED"/>
    <w:rsid w:val="006E037C"/>
    <w:rsid w:val="006E0441"/>
    <w:rsid w:val="006E078C"/>
    <w:rsid w:val="006E1868"/>
    <w:rsid w:val="006E19FB"/>
    <w:rsid w:val="006E1F90"/>
    <w:rsid w:val="006E269A"/>
    <w:rsid w:val="006E2A3A"/>
    <w:rsid w:val="006E2A88"/>
    <w:rsid w:val="006E2BF4"/>
    <w:rsid w:val="006E3197"/>
    <w:rsid w:val="006E37BC"/>
    <w:rsid w:val="006E3851"/>
    <w:rsid w:val="006E3B0E"/>
    <w:rsid w:val="006E3DF5"/>
    <w:rsid w:val="006E3E42"/>
    <w:rsid w:val="006E404E"/>
    <w:rsid w:val="006E4088"/>
    <w:rsid w:val="006E40C1"/>
    <w:rsid w:val="006E4128"/>
    <w:rsid w:val="006E426A"/>
    <w:rsid w:val="006E4871"/>
    <w:rsid w:val="006E4A87"/>
    <w:rsid w:val="006E582F"/>
    <w:rsid w:val="006E5B14"/>
    <w:rsid w:val="006E5BCA"/>
    <w:rsid w:val="006E6CBE"/>
    <w:rsid w:val="006E709F"/>
    <w:rsid w:val="006E751A"/>
    <w:rsid w:val="006E77C1"/>
    <w:rsid w:val="006E7929"/>
    <w:rsid w:val="006E7EA0"/>
    <w:rsid w:val="006F0051"/>
    <w:rsid w:val="006F0134"/>
    <w:rsid w:val="006F0422"/>
    <w:rsid w:val="006F08BE"/>
    <w:rsid w:val="006F0E20"/>
    <w:rsid w:val="006F13A5"/>
    <w:rsid w:val="006F1BAB"/>
    <w:rsid w:val="006F1D31"/>
    <w:rsid w:val="006F2142"/>
    <w:rsid w:val="006F2256"/>
    <w:rsid w:val="006F2339"/>
    <w:rsid w:val="006F23DC"/>
    <w:rsid w:val="006F305C"/>
    <w:rsid w:val="006F308D"/>
    <w:rsid w:val="006F36E4"/>
    <w:rsid w:val="006F37AA"/>
    <w:rsid w:val="006F3972"/>
    <w:rsid w:val="006F3AFD"/>
    <w:rsid w:val="006F3C04"/>
    <w:rsid w:val="006F3D0C"/>
    <w:rsid w:val="006F461E"/>
    <w:rsid w:val="006F47AD"/>
    <w:rsid w:val="006F48DE"/>
    <w:rsid w:val="006F493B"/>
    <w:rsid w:val="006F4CD7"/>
    <w:rsid w:val="006F52C8"/>
    <w:rsid w:val="006F5730"/>
    <w:rsid w:val="006F5941"/>
    <w:rsid w:val="006F6033"/>
    <w:rsid w:val="006F6400"/>
    <w:rsid w:val="006F67CB"/>
    <w:rsid w:val="006F69A5"/>
    <w:rsid w:val="006F6CDA"/>
    <w:rsid w:val="006F7150"/>
    <w:rsid w:val="006F785E"/>
    <w:rsid w:val="00700206"/>
    <w:rsid w:val="007004A4"/>
    <w:rsid w:val="007008FA"/>
    <w:rsid w:val="00700A21"/>
    <w:rsid w:val="00700B85"/>
    <w:rsid w:val="00700D7C"/>
    <w:rsid w:val="007013C0"/>
    <w:rsid w:val="0070195A"/>
    <w:rsid w:val="00701AA9"/>
    <w:rsid w:val="00701E91"/>
    <w:rsid w:val="0070216B"/>
    <w:rsid w:val="0070216C"/>
    <w:rsid w:val="007025A5"/>
    <w:rsid w:val="007029DF"/>
    <w:rsid w:val="00702F47"/>
    <w:rsid w:val="0070485C"/>
    <w:rsid w:val="007050EF"/>
    <w:rsid w:val="007051F8"/>
    <w:rsid w:val="007059DF"/>
    <w:rsid w:val="00705E93"/>
    <w:rsid w:val="0070606B"/>
    <w:rsid w:val="00706B5E"/>
    <w:rsid w:val="00706E8E"/>
    <w:rsid w:val="00707167"/>
    <w:rsid w:val="007079DE"/>
    <w:rsid w:val="00707A93"/>
    <w:rsid w:val="00710283"/>
    <w:rsid w:val="00710528"/>
    <w:rsid w:val="0071098E"/>
    <w:rsid w:val="00710FE1"/>
    <w:rsid w:val="0071172A"/>
    <w:rsid w:val="00711CD6"/>
    <w:rsid w:val="00711D15"/>
    <w:rsid w:val="00711DC9"/>
    <w:rsid w:val="00711FFD"/>
    <w:rsid w:val="0071230D"/>
    <w:rsid w:val="00712429"/>
    <w:rsid w:val="0071268B"/>
    <w:rsid w:val="007132EE"/>
    <w:rsid w:val="0071368B"/>
    <w:rsid w:val="007137D1"/>
    <w:rsid w:val="00715086"/>
    <w:rsid w:val="00715559"/>
    <w:rsid w:val="00715B3D"/>
    <w:rsid w:val="00715E49"/>
    <w:rsid w:val="00715EDA"/>
    <w:rsid w:val="00715F88"/>
    <w:rsid w:val="00716624"/>
    <w:rsid w:val="0071668C"/>
    <w:rsid w:val="00716DC4"/>
    <w:rsid w:val="00716F75"/>
    <w:rsid w:val="007175F4"/>
    <w:rsid w:val="00717680"/>
    <w:rsid w:val="00717972"/>
    <w:rsid w:val="00717BFB"/>
    <w:rsid w:val="00717C81"/>
    <w:rsid w:val="00717CBF"/>
    <w:rsid w:val="00720284"/>
    <w:rsid w:val="00720382"/>
    <w:rsid w:val="00720790"/>
    <w:rsid w:val="007209CC"/>
    <w:rsid w:val="00720A1B"/>
    <w:rsid w:val="00720BB0"/>
    <w:rsid w:val="00720F89"/>
    <w:rsid w:val="00720FA0"/>
    <w:rsid w:val="00720FA6"/>
    <w:rsid w:val="007212B3"/>
    <w:rsid w:val="0072141E"/>
    <w:rsid w:val="00721613"/>
    <w:rsid w:val="00721CA2"/>
    <w:rsid w:val="00721FA5"/>
    <w:rsid w:val="00722002"/>
    <w:rsid w:val="00722D94"/>
    <w:rsid w:val="00722F3B"/>
    <w:rsid w:val="007230A0"/>
    <w:rsid w:val="007233AF"/>
    <w:rsid w:val="0072349E"/>
    <w:rsid w:val="007236DC"/>
    <w:rsid w:val="00723C31"/>
    <w:rsid w:val="00723EA4"/>
    <w:rsid w:val="007241CF"/>
    <w:rsid w:val="00724288"/>
    <w:rsid w:val="00724313"/>
    <w:rsid w:val="0072475F"/>
    <w:rsid w:val="00724A92"/>
    <w:rsid w:val="00724D5D"/>
    <w:rsid w:val="0072518E"/>
    <w:rsid w:val="00725214"/>
    <w:rsid w:val="00726406"/>
    <w:rsid w:val="00726718"/>
    <w:rsid w:val="00730ABC"/>
    <w:rsid w:val="00730B4A"/>
    <w:rsid w:val="007314C7"/>
    <w:rsid w:val="007315E7"/>
    <w:rsid w:val="00731BF4"/>
    <w:rsid w:val="00731C11"/>
    <w:rsid w:val="00732217"/>
    <w:rsid w:val="0073237B"/>
    <w:rsid w:val="00732600"/>
    <w:rsid w:val="00732712"/>
    <w:rsid w:val="00732F43"/>
    <w:rsid w:val="00733258"/>
    <w:rsid w:val="0073393D"/>
    <w:rsid w:val="00733A62"/>
    <w:rsid w:val="00733A97"/>
    <w:rsid w:val="007345B8"/>
    <w:rsid w:val="0073479D"/>
    <w:rsid w:val="00734C26"/>
    <w:rsid w:val="00734DFD"/>
    <w:rsid w:val="0073518C"/>
    <w:rsid w:val="00735640"/>
    <w:rsid w:val="00736733"/>
    <w:rsid w:val="0073673A"/>
    <w:rsid w:val="00736B97"/>
    <w:rsid w:val="00736DBB"/>
    <w:rsid w:val="00737158"/>
    <w:rsid w:val="0073732A"/>
    <w:rsid w:val="00740309"/>
    <w:rsid w:val="00740665"/>
    <w:rsid w:val="00740F26"/>
    <w:rsid w:val="00741B71"/>
    <w:rsid w:val="00742AEE"/>
    <w:rsid w:val="00742B41"/>
    <w:rsid w:val="00743544"/>
    <w:rsid w:val="007438F7"/>
    <w:rsid w:val="007440E9"/>
    <w:rsid w:val="00745221"/>
    <w:rsid w:val="007461CE"/>
    <w:rsid w:val="007464D5"/>
    <w:rsid w:val="0074665A"/>
    <w:rsid w:val="00746B6A"/>
    <w:rsid w:val="00746FD3"/>
    <w:rsid w:val="007471CE"/>
    <w:rsid w:val="0074731A"/>
    <w:rsid w:val="007473E3"/>
    <w:rsid w:val="00747952"/>
    <w:rsid w:val="00747ABB"/>
    <w:rsid w:val="00747FC1"/>
    <w:rsid w:val="0075018D"/>
    <w:rsid w:val="00750481"/>
    <w:rsid w:val="0075064F"/>
    <w:rsid w:val="0075070A"/>
    <w:rsid w:val="007510AE"/>
    <w:rsid w:val="007513A1"/>
    <w:rsid w:val="00751975"/>
    <w:rsid w:val="00751D79"/>
    <w:rsid w:val="007521FF"/>
    <w:rsid w:val="0075222F"/>
    <w:rsid w:val="007523E4"/>
    <w:rsid w:val="00752919"/>
    <w:rsid w:val="00752CFF"/>
    <w:rsid w:val="00752D03"/>
    <w:rsid w:val="00752DE4"/>
    <w:rsid w:val="00753293"/>
    <w:rsid w:val="00753CC9"/>
    <w:rsid w:val="00754034"/>
    <w:rsid w:val="0075427C"/>
    <w:rsid w:val="00754C5D"/>
    <w:rsid w:val="00754CDB"/>
    <w:rsid w:val="007556C7"/>
    <w:rsid w:val="007560CA"/>
    <w:rsid w:val="007561B2"/>
    <w:rsid w:val="0075691B"/>
    <w:rsid w:val="007570EC"/>
    <w:rsid w:val="00757243"/>
    <w:rsid w:val="00757417"/>
    <w:rsid w:val="00757816"/>
    <w:rsid w:val="00757B4A"/>
    <w:rsid w:val="00757E1C"/>
    <w:rsid w:val="00757E57"/>
    <w:rsid w:val="0076005F"/>
    <w:rsid w:val="007603C5"/>
    <w:rsid w:val="00760587"/>
    <w:rsid w:val="0076097B"/>
    <w:rsid w:val="00760A49"/>
    <w:rsid w:val="00760D3A"/>
    <w:rsid w:val="00761042"/>
    <w:rsid w:val="00761BD3"/>
    <w:rsid w:val="00761CDB"/>
    <w:rsid w:val="00762199"/>
    <w:rsid w:val="007622B3"/>
    <w:rsid w:val="00762BAE"/>
    <w:rsid w:val="00762F9A"/>
    <w:rsid w:val="0076309E"/>
    <w:rsid w:val="00763414"/>
    <w:rsid w:val="00763642"/>
    <w:rsid w:val="0076430E"/>
    <w:rsid w:val="0076454B"/>
    <w:rsid w:val="00764918"/>
    <w:rsid w:val="007649D2"/>
    <w:rsid w:val="007654AE"/>
    <w:rsid w:val="00765713"/>
    <w:rsid w:val="0076581D"/>
    <w:rsid w:val="00766F58"/>
    <w:rsid w:val="00766FCF"/>
    <w:rsid w:val="007675DE"/>
    <w:rsid w:val="007676DF"/>
    <w:rsid w:val="0077065D"/>
    <w:rsid w:val="0077088A"/>
    <w:rsid w:val="007709C8"/>
    <w:rsid w:val="00770B83"/>
    <w:rsid w:val="00770DC8"/>
    <w:rsid w:val="00771E91"/>
    <w:rsid w:val="00772100"/>
    <w:rsid w:val="007721B5"/>
    <w:rsid w:val="0077331E"/>
    <w:rsid w:val="007739AC"/>
    <w:rsid w:val="007742C7"/>
    <w:rsid w:val="007744DE"/>
    <w:rsid w:val="00774618"/>
    <w:rsid w:val="00774B54"/>
    <w:rsid w:val="00774B5E"/>
    <w:rsid w:val="00774B94"/>
    <w:rsid w:val="00774DE4"/>
    <w:rsid w:val="0077509F"/>
    <w:rsid w:val="00775366"/>
    <w:rsid w:val="0077541B"/>
    <w:rsid w:val="0077552E"/>
    <w:rsid w:val="00775EE3"/>
    <w:rsid w:val="00776280"/>
    <w:rsid w:val="0077729C"/>
    <w:rsid w:val="00780054"/>
    <w:rsid w:val="0078048B"/>
    <w:rsid w:val="00780619"/>
    <w:rsid w:val="00780BCE"/>
    <w:rsid w:val="00780DCC"/>
    <w:rsid w:val="00781328"/>
    <w:rsid w:val="007817B5"/>
    <w:rsid w:val="00781958"/>
    <w:rsid w:val="00781B50"/>
    <w:rsid w:val="00781FB8"/>
    <w:rsid w:val="00782154"/>
    <w:rsid w:val="00782307"/>
    <w:rsid w:val="00782B38"/>
    <w:rsid w:val="00782B8A"/>
    <w:rsid w:val="0078365D"/>
    <w:rsid w:val="007838CE"/>
    <w:rsid w:val="00783D91"/>
    <w:rsid w:val="00783E67"/>
    <w:rsid w:val="007846E7"/>
    <w:rsid w:val="00784852"/>
    <w:rsid w:val="007848E4"/>
    <w:rsid w:val="00784D5B"/>
    <w:rsid w:val="00785427"/>
    <w:rsid w:val="0078634B"/>
    <w:rsid w:val="00786926"/>
    <w:rsid w:val="00786946"/>
    <w:rsid w:val="00786B61"/>
    <w:rsid w:val="00787406"/>
    <w:rsid w:val="007877D6"/>
    <w:rsid w:val="007878A9"/>
    <w:rsid w:val="00787CD1"/>
    <w:rsid w:val="00787D88"/>
    <w:rsid w:val="007902F4"/>
    <w:rsid w:val="00790848"/>
    <w:rsid w:val="0079099A"/>
    <w:rsid w:val="00790AE5"/>
    <w:rsid w:val="00790E66"/>
    <w:rsid w:val="00791151"/>
    <w:rsid w:val="007911A4"/>
    <w:rsid w:val="00791C9A"/>
    <w:rsid w:val="0079240C"/>
    <w:rsid w:val="00792938"/>
    <w:rsid w:val="00792A96"/>
    <w:rsid w:val="00792BF6"/>
    <w:rsid w:val="00792E9A"/>
    <w:rsid w:val="00793099"/>
    <w:rsid w:val="007934EC"/>
    <w:rsid w:val="00793791"/>
    <w:rsid w:val="007938D0"/>
    <w:rsid w:val="00794DFE"/>
    <w:rsid w:val="00794E5C"/>
    <w:rsid w:val="00794EF4"/>
    <w:rsid w:val="007952E3"/>
    <w:rsid w:val="007956DE"/>
    <w:rsid w:val="00796317"/>
    <w:rsid w:val="00796397"/>
    <w:rsid w:val="007964D7"/>
    <w:rsid w:val="00796666"/>
    <w:rsid w:val="00796807"/>
    <w:rsid w:val="00796CD0"/>
    <w:rsid w:val="0079709B"/>
    <w:rsid w:val="0079749C"/>
    <w:rsid w:val="00797750"/>
    <w:rsid w:val="00797CB0"/>
    <w:rsid w:val="007A0118"/>
    <w:rsid w:val="007A069D"/>
    <w:rsid w:val="007A0B1C"/>
    <w:rsid w:val="007A0CCB"/>
    <w:rsid w:val="007A13F6"/>
    <w:rsid w:val="007A1511"/>
    <w:rsid w:val="007A1D76"/>
    <w:rsid w:val="007A25CD"/>
    <w:rsid w:val="007A276F"/>
    <w:rsid w:val="007A2969"/>
    <w:rsid w:val="007A2ABF"/>
    <w:rsid w:val="007A3144"/>
    <w:rsid w:val="007A37DA"/>
    <w:rsid w:val="007A3BCE"/>
    <w:rsid w:val="007A4674"/>
    <w:rsid w:val="007A5377"/>
    <w:rsid w:val="007A53A9"/>
    <w:rsid w:val="007A5C67"/>
    <w:rsid w:val="007A62E1"/>
    <w:rsid w:val="007A746B"/>
    <w:rsid w:val="007A7CEA"/>
    <w:rsid w:val="007A7F2F"/>
    <w:rsid w:val="007B0BE7"/>
    <w:rsid w:val="007B0D81"/>
    <w:rsid w:val="007B1503"/>
    <w:rsid w:val="007B188F"/>
    <w:rsid w:val="007B19B2"/>
    <w:rsid w:val="007B1D5A"/>
    <w:rsid w:val="007B1ED4"/>
    <w:rsid w:val="007B1F0D"/>
    <w:rsid w:val="007B2413"/>
    <w:rsid w:val="007B2EA6"/>
    <w:rsid w:val="007B3D2E"/>
    <w:rsid w:val="007B4257"/>
    <w:rsid w:val="007B4EF2"/>
    <w:rsid w:val="007B555D"/>
    <w:rsid w:val="007B557E"/>
    <w:rsid w:val="007B5B38"/>
    <w:rsid w:val="007B5C8C"/>
    <w:rsid w:val="007B5ED2"/>
    <w:rsid w:val="007B60D5"/>
    <w:rsid w:val="007B6147"/>
    <w:rsid w:val="007B6B2D"/>
    <w:rsid w:val="007B72D6"/>
    <w:rsid w:val="007B7928"/>
    <w:rsid w:val="007B7CA2"/>
    <w:rsid w:val="007B7D91"/>
    <w:rsid w:val="007B7FF2"/>
    <w:rsid w:val="007C0246"/>
    <w:rsid w:val="007C05B6"/>
    <w:rsid w:val="007C0977"/>
    <w:rsid w:val="007C0B7B"/>
    <w:rsid w:val="007C1019"/>
    <w:rsid w:val="007C13B9"/>
    <w:rsid w:val="007C1436"/>
    <w:rsid w:val="007C1E74"/>
    <w:rsid w:val="007C230A"/>
    <w:rsid w:val="007C2A2F"/>
    <w:rsid w:val="007C3023"/>
    <w:rsid w:val="007C34DF"/>
    <w:rsid w:val="007C3A6F"/>
    <w:rsid w:val="007C42E3"/>
    <w:rsid w:val="007C5C8D"/>
    <w:rsid w:val="007C5CB6"/>
    <w:rsid w:val="007C5D75"/>
    <w:rsid w:val="007C5EFC"/>
    <w:rsid w:val="007C5F45"/>
    <w:rsid w:val="007C6114"/>
    <w:rsid w:val="007C635E"/>
    <w:rsid w:val="007C6533"/>
    <w:rsid w:val="007C6E13"/>
    <w:rsid w:val="007C6E71"/>
    <w:rsid w:val="007C6ED6"/>
    <w:rsid w:val="007C7398"/>
    <w:rsid w:val="007C79F8"/>
    <w:rsid w:val="007D0AB3"/>
    <w:rsid w:val="007D2283"/>
    <w:rsid w:val="007D22E2"/>
    <w:rsid w:val="007D2DC7"/>
    <w:rsid w:val="007D3075"/>
    <w:rsid w:val="007D3195"/>
    <w:rsid w:val="007D32A8"/>
    <w:rsid w:val="007D33F8"/>
    <w:rsid w:val="007D352A"/>
    <w:rsid w:val="007D3A5D"/>
    <w:rsid w:val="007D4109"/>
    <w:rsid w:val="007D4C66"/>
    <w:rsid w:val="007D4FC6"/>
    <w:rsid w:val="007D56ED"/>
    <w:rsid w:val="007D571C"/>
    <w:rsid w:val="007D58EB"/>
    <w:rsid w:val="007D5911"/>
    <w:rsid w:val="007D60E3"/>
    <w:rsid w:val="007D6B08"/>
    <w:rsid w:val="007D6BFA"/>
    <w:rsid w:val="007D6DB9"/>
    <w:rsid w:val="007D6E9B"/>
    <w:rsid w:val="007D6F7C"/>
    <w:rsid w:val="007D728B"/>
    <w:rsid w:val="007D72F8"/>
    <w:rsid w:val="007D7590"/>
    <w:rsid w:val="007D7877"/>
    <w:rsid w:val="007D792E"/>
    <w:rsid w:val="007D7CFF"/>
    <w:rsid w:val="007D7DF9"/>
    <w:rsid w:val="007E0122"/>
    <w:rsid w:val="007E0E69"/>
    <w:rsid w:val="007E0E91"/>
    <w:rsid w:val="007E1251"/>
    <w:rsid w:val="007E15FA"/>
    <w:rsid w:val="007E17D5"/>
    <w:rsid w:val="007E1A8E"/>
    <w:rsid w:val="007E2098"/>
    <w:rsid w:val="007E3375"/>
    <w:rsid w:val="007E34C5"/>
    <w:rsid w:val="007E36D1"/>
    <w:rsid w:val="007E37A5"/>
    <w:rsid w:val="007E3A98"/>
    <w:rsid w:val="007E3DD7"/>
    <w:rsid w:val="007E40A9"/>
    <w:rsid w:val="007E4136"/>
    <w:rsid w:val="007E4173"/>
    <w:rsid w:val="007E48EF"/>
    <w:rsid w:val="007E49DB"/>
    <w:rsid w:val="007E4CD9"/>
    <w:rsid w:val="007E4E05"/>
    <w:rsid w:val="007E5588"/>
    <w:rsid w:val="007E59A4"/>
    <w:rsid w:val="007E5AA0"/>
    <w:rsid w:val="007E5FCC"/>
    <w:rsid w:val="007E60FB"/>
    <w:rsid w:val="007E6625"/>
    <w:rsid w:val="007E6657"/>
    <w:rsid w:val="007E6A99"/>
    <w:rsid w:val="007E6E85"/>
    <w:rsid w:val="007E6F1B"/>
    <w:rsid w:val="007E7295"/>
    <w:rsid w:val="007E758A"/>
    <w:rsid w:val="007E7AC9"/>
    <w:rsid w:val="007F030A"/>
    <w:rsid w:val="007F05D0"/>
    <w:rsid w:val="007F05F9"/>
    <w:rsid w:val="007F07B6"/>
    <w:rsid w:val="007F0AD0"/>
    <w:rsid w:val="007F0C59"/>
    <w:rsid w:val="007F0F86"/>
    <w:rsid w:val="007F1D81"/>
    <w:rsid w:val="007F1F1D"/>
    <w:rsid w:val="007F21F0"/>
    <w:rsid w:val="007F25FB"/>
    <w:rsid w:val="007F27D0"/>
    <w:rsid w:val="007F2ADD"/>
    <w:rsid w:val="007F30A7"/>
    <w:rsid w:val="007F35C8"/>
    <w:rsid w:val="007F379F"/>
    <w:rsid w:val="007F3C35"/>
    <w:rsid w:val="007F3C36"/>
    <w:rsid w:val="007F3E21"/>
    <w:rsid w:val="007F44F7"/>
    <w:rsid w:val="007F4AAC"/>
    <w:rsid w:val="007F4FB7"/>
    <w:rsid w:val="007F5125"/>
    <w:rsid w:val="007F52D1"/>
    <w:rsid w:val="007F5357"/>
    <w:rsid w:val="007F5483"/>
    <w:rsid w:val="007F57A5"/>
    <w:rsid w:val="007F58BD"/>
    <w:rsid w:val="007F60D4"/>
    <w:rsid w:val="007F6407"/>
    <w:rsid w:val="007F653B"/>
    <w:rsid w:val="007F671B"/>
    <w:rsid w:val="007F705A"/>
    <w:rsid w:val="0080030E"/>
    <w:rsid w:val="00800A8F"/>
    <w:rsid w:val="00800DB8"/>
    <w:rsid w:val="00801536"/>
    <w:rsid w:val="008019E4"/>
    <w:rsid w:val="008028DF"/>
    <w:rsid w:val="008029F3"/>
    <w:rsid w:val="00803A0E"/>
    <w:rsid w:val="00803DB3"/>
    <w:rsid w:val="008042E0"/>
    <w:rsid w:val="00804A61"/>
    <w:rsid w:val="00804C06"/>
    <w:rsid w:val="0080519E"/>
    <w:rsid w:val="008054EE"/>
    <w:rsid w:val="00805FF2"/>
    <w:rsid w:val="008061CA"/>
    <w:rsid w:val="00806A0D"/>
    <w:rsid w:val="00806AED"/>
    <w:rsid w:val="008071BF"/>
    <w:rsid w:val="00807AE4"/>
    <w:rsid w:val="00807DD3"/>
    <w:rsid w:val="008104C1"/>
    <w:rsid w:val="00810591"/>
    <w:rsid w:val="00810913"/>
    <w:rsid w:val="00810A26"/>
    <w:rsid w:val="00810A80"/>
    <w:rsid w:val="00810FD9"/>
    <w:rsid w:val="008110FE"/>
    <w:rsid w:val="00811350"/>
    <w:rsid w:val="00811F4D"/>
    <w:rsid w:val="00811F60"/>
    <w:rsid w:val="00812001"/>
    <w:rsid w:val="00812140"/>
    <w:rsid w:val="0081321A"/>
    <w:rsid w:val="008132F7"/>
    <w:rsid w:val="008141ED"/>
    <w:rsid w:val="008149C0"/>
    <w:rsid w:val="00814B96"/>
    <w:rsid w:val="00814BBE"/>
    <w:rsid w:val="00815277"/>
    <w:rsid w:val="008158DB"/>
    <w:rsid w:val="00815C1C"/>
    <w:rsid w:val="00815C8B"/>
    <w:rsid w:val="00816389"/>
    <w:rsid w:val="008163F5"/>
    <w:rsid w:val="008165F1"/>
    <w:rsid w:val="00816BDB"/>
    <w:rsid w:val="00816E15"/>
    <w:rsid w:val="00817762"/>
    <w:rsid w:val="0082052C"/>
    <w:rsid w:val="0082093C"/>
    <w:rsid w:val="00820B1A"/>
    <w:rsid w:val="008210C0"/>
    <w:rsid w:val="008213F4"/>
    <w:rsid w:val="00821A26"/>
    <w:rsid w:val="00821E53"/>
    <w:rsid w:val="00821F89"/>
    <w:rsid w:val="0082247A"/>
    <w:rsid w:val="008224ED"/>
    <w:rsid w:val="0082267F"/>
    <w:rsid w:val="00822C4C"/>
    <w:rsid w:val="00823027"/>
    <w:rsid w:val="008238B5"/>
    <w:rsid w:val="00823E32"/>
    <w:rsid w:val="0082438D"/>
    <w:rsid w:val="00824685"/>
    <w:rsid w:val="00824C1E"/>
    <w:rsid w:val="00824C89"/>
    <w:rsid w:val="00824DB6"/>
    <w:rsid w:val="008253E8"/>
    <w:rsid w:val="008257B7"/>
    <w:rsid w:val="00825878"/>
    <w:rsid w:val="00826464"/>
    <w:rsid w:val="008265A0"/>
    <w:rsid w:val="00826C9B"/>
    <w:rsid w:val="00826EA0"/>
    <w:rsid w:val="00826EFD"/>
    <w:rsid w:val="0082707E"/>
    <w:rsid w:val="008277AC"/>
    <w:rsid w:val="00827B34"/>
    <w:rsid w:val="00827FD9"/>
    <w:rsid w:val="0083040D"/>
    <w:rsid w:val="008308EC"/>
    <w:rsid w:val="008309D4"/>
    <w:rsid w:val="0083141B"/>
    <w:rsid w:val="0083143D"/>
    <w:rsid w:val="008314F1"/>
    <w:rsid w:val="00831D6F"/>
    <w:rsid w:val="00832210"/>
    <w:rsid w:val="008322BD"/>
    <w:rsid w:val="008323B9"/>
    <w:rsid w:val="00832D93"/>
    <w:rsid w:val="00833BC2"/>
    <w:rsid w:val="00833C8F"/>
    <w:rsid w:val="00833DD5"/>
    <w:rsid w:val="00833E43"/>
    <w:rsid w:val="008343BF"/>
    <w:rsid w:val="00834818"/>
    <w:rsid w:val="00834B68"/>
    <w:rsid w:val="00835BA1"/>
    <w:rsid w:val="00835D11"/>
    <w:rsid w:val="00836230"/>
    <w:rsid w:val="00836A41"/>
    <w:rsid w:val="00837417"/>
    <w:rsid w:val="00837BDA"/>
    <w:rsid w:val="008405EC"/>
    <w:rsid w:val="00840B96"/>
    <w:rsid w:val="00841551"/>
    <w:rsid w:val="00841B1B"/>
    <w:rsid w:val="00841B76"/>
    <w:rsid w:val="00841D0A"/>
    <w:rsid w:val="00841FC9"/>
    <w:rsid w:val="0084204E"/>
    <w:rsid w:val="008423A0"/>
    <w:rsid w:val="0084251A"/>
    <w:rsid w:val="008428EC"/>
    <w:rsid w:val="00842C1E"/>
    <w:rsid w:val="00843159"/>
    <w:rsid w:val="008432CB"/>
    <w:rsid w:val="00843451"/>
    <w:rsid w:val="00843895"/>
    <w:rsid w:val="008443F5"/>
    <w:rsid w:val="00844C43"/>
    <w:rsid w:val="00845077"/>
    <w:rsid w:val="008466F0"/>
    <w:rsid w:val="00846FE0"/>
    <w:rsid w:val="008479F2"/>
    <w:rsid w:val="00847A69"/>
    <w:rsid w:val="00847AB0"/>
    <w:rsid w:val="008501BB"/>
    <w:rsid w:val="00850518"/>
    <w:rsid w:val="00850E67"/>
    <w:rsid w:val="00851325"/>
    <w:rsid w:val="0085142B"/>
    <w:rsid w:val="00852BE3"/>
    <w:rsid w:val="00852C5A"/>
    <w:rsid w:val="00852F5B"/>
    <w:rsid w:val="0085364F"/>
    <w:rsid w:val="00853C7C"/>
    <w:rsid w:val="00853F43"/>
    <w:rsid w:val="0085423A"/>
    <w:rsid w:val="0085452F"/>
    <w:rsid w:val="00854E42"/>
    <w:rsid w:val="00855272"/>
    <w:rsid w:val="00855695"/>
    <w:rsid w:val="00855974"/>
    <w:rsid w:val="0085629B"/>
    <w:rsid w:val="00856A2C"/>
    <w:rsid w:val="00856C10"/>
    <w:rsid w:val="00856DB9"/>
    <w:rsid w:val="008571BA"/>
    <w:rsid w:val="008571D4"/>
    <w:rsid w:val="0085748C"/>
    <w:rsid w:val="008600DE"/>
    <w:rsid w:val="008603D3"/>
    <w:rsid w:val="00860486"/>
    <w:rsid w:val="008606FD"/>
    <w:rsid w:val="008613EF"/>
    <w:rsid w:val="00861607"/>
    <w:rsid w:val="00861B9A"/>
    <w:rsid w:val="00862196"/>
    <w:rsid w:val="0086219E"/>
    <w:rsid w:val="008632E6"/>
    <w:rsid w:val="0086371F"/>
    <w:rsid w:val="008638A7"/>
    <w:rsid w:val="00863B22"/>
    <w:rsid w:val="00863DD5"/>
    <w:rsid w:val="0086407F"/>
    <w:rsid w:val="00864468"/>
    <w:rsid w:val="008644B7"/>
    <w:rsid w:val="008645AF"/>
    <w:rsid w:val="008647F9"/>
    <w:rsid w:val="008650F8"/>
    <w:rsid w:val="00865184"/>
    <w:rsid w:val="00865C94"/>
    <w:rsid w:val="00865DAE"/>
    <w:rsid w:val="00866416"/>
    <w:rsid w:val="00867829"/>
    <w:rsid w:val="00867E75"/>
    <w:rsid w:val="00870206"/>
    <w:rsid w:val="00870394"/>
    <w:rsid w:val="00870960"/>
    <w:rsid w:val="00870D61"/>
    <w:rsid w:val="008713D6"/>
    <w:rsid w:val="0087140D"/>
    <w:rsid w:val="008718C8"/>
    <w:rsid w:val="00871931"/>
    <w:rsid w:val="00871A3C"/>
    <w:rsid w:val="00871D31"/>
    <w:rsid w:val="00872665"/>
    <w:rsid w:val="00872D48"/>
    <w:rsid w:val="00872DA4"/>
    <w:rsid w:val="008736C5"/>
    <w:rsid w:val="00873827"/>
    <w:rsid w:val="00873FA1"/>
    <w:rsid w:val="008742D9"/>
    <w:rsid w:val="008747AE"/>
    <w:rsid w:val="00874AE2"/>
    <w:rsid w:val="00874F67"/>
    <w:rsid w:val="00875203"/>
    <w:rsid w:val="008756FE"/>
    <w:rsid w:val="00875806"/>
    <w:rsid w:val="00875F6E"/>
    <w:rsid w:val="00876132"/>
    <w:rsid w:val="00876C64"/>
    <w:rsid w:val="00877275"/>
    <w:rsid w:val="008776C0"/>
    <w:rsid w:val="00877F62"/>
    <w:rsid w:val="008805A1"/>
    <w:rsid w:val="00880B7D"/>
    <w:rsid w:val="00880DCB"/>
    <w:rsid w:val="00880F8D"/>
    <w:rsid w:val="0088137E"/>
    <w:rsid w:val="00881A26"/>
    <w:rsid w:val="00881B56"/>
    <w:rsid w:val="00881CA0"/>
    <w:rsid w:val="00881EA1"/>
    <w:rsid w:val="00881F0F"/>
    <w:rsid w:val="00882C40"/>
    <w:rsid w:val="0088356A"/>
    <w:rsid w:val="008836FB"/>
    <w:rsid w:val="00883B4D"/>
    <w:rsid w:val="00883DFB"/>
    <w:rsid w:val="008842E3"/>
    <w:rsid w:val="00884F69"/>
    <w:rsid w:val="00885597"/>
    <w:rsid w:val="00886AF8"/>
    <w:rsid w:val="00886C14"/>
    <w:rsid w:val="008870DF"/>
    <w:rsid w:val="008879E9"/>
    <w:rsid w:val="00887AA1"/>
    <w:rsid w:val="00887C90"/>
    <w:rsid w:val="00890195"/>
    <w:rsid w:val="00890845"/>
    <w:rsid w:val="00890C9A"/>
    <w:rsid w:val="00890CC6"/>
    <w:rsid w:val="008919B9"/>
    <w:rsid w:val="008919DB"/>
    <w:rsid w:val="00891A9E"/>
    <w:rsid w:val="00891B71"/>
    <w:rsid w:val="008927A0"/>
    <w:rsid w:val="0089295E"/>
    <w:rsid w:val="00892B01"/>
    <w:rsid w:val="00892C64"/>
    <w:rsid w:val="008934A9"/>
    <w:rsid w:val="00893F45"/>
    <w:rsid w:val="0089430E"/>
    <w:rsid w:val="008943E3"/>
    <w:rsid w:val="008948B8"/>
    <w:rsid w:val="008948C7"/>
    <w:rsid w:val="00894D47"/>
    <w:rsid w:val="008950DE"/>
    <w:rsid w:val="00896458"/>
    <w:rsid w:val="008966D4"/>
    <w:rsid w:val="00896798"/>
    <w:rsid w:val="0089737D"/>
    <w:rsid w:val="008976A4"/>
    <w:rsid w:val="00897773"/>
    <w:rsid w:val="00897F9F"/>
    <w:rsid w:val="008A048B"/>
    <w:rsid w:val="008A0C8F"/>
    <w:rsid w:val="008A1015"/>
    <w:rsid w:val="008A11E1"/>
    <w:rsid w:val="008A1628"/>
    <w:rsid w:val="008A18F1"/>
    <w:rsid w:val="008A1B63"/>
    <w:rsid w:val="008A2447"/>
    <w:rsid w:val="008A26BD"/>
    <w:rsid w:val="008A2B91"/>
    <w:rsid w:val="008A2E95"/>
    <w:rsid w:val="008A30D6"/>
    <w:rsid w:val="008A347C"/>
    <w:rsid w:val="008A3645"/>
    <w:rsid w:val="008A40B2"/>
    <w:rsid w:val="008A4316"/>
    <w:rsid w:val="008A49F4"/>
    <w:rsid w:val="008A4B80"/>
    <w:rsid w:val="008A5C8C"/>
    <w:rsid w:val="008A5E27"/>
    <w:rsid w:val="008A624A"/>
    <w:rsid w:val="008A6548"/>
    <w:rsid w:val="008A690C"/>
    <w:rsid w:val="008A6C89"/>
    <w:rsid w:val="008A78FB"/>
    <w:rsid w:val="008A7C49"/>
    <w:rsid w:val="008A7F1C"/>
    <w:rsid w:val="008B0E4B"/>
    <w:rsid w:val="008B0F0C"/>
    <w:rsid w:val="008B1195"/>
    <w:rsid w:val="008B169F"/>
    <w:rsid w:val="008B1751"/>
    <w:rsid w:val="008B2C36"/>
    <w:rsid w:val="008B2CCF"/>
    <w:rsid w:val="008B3177"/>
    <w:rsid w:val="008B3690"/>
    <w:rsid w:val="008B37E6"/>
    <w:rsid w:val="008B3C2C"/>
    <w:rsid w:val="008B3CF0"/>
    <w:rsid w:val="008B44D3"/>
    <w:rsid w:val="008B4A81"/>
    <w:rsid w:val="008B509D"/>
    <w:rsid w:val="008B5186"/>
    <w:rsid w:val="008B51DB"/>
    <w:rsid w:val="008B52C3"/>
    <w:rsid w:val="008B55F8"/>
    <w:rsid w:val="008B5BDA"/>
    <w:rsid w:val="008B6670"/>
    <w:rsid w:val="008B681D"/>
    <w:rsid w:val="008B693A"/>
    <w:rsid w:val="008B7F96"/>
    <w:rsid w:val="008C00DB"/>
    <w:rsid w:val="008C010E"/>
    <w:rsid w:val="008C062D"/>
    <w:rsid w:val="008C0DC2"/>
    <w:rsid w:val="008C108D"/>
    <w:rsid w:val="008C19AB"/>
    <w:rsid w:val="008C2511"/>
    <w:rsid w:val="008C27C6"/>
    <w:rsid w:val="008C2EDC"/>
    <w:rsid w:val="008C335A"/>
    <w:rsid w:val="008C33EC"/>
    <w:rsid w:val="008C3F68"/>
    <w:rsid w:val="008C427F"/>
    <w:rsid w:val="008C4564"/>
    <w:rsid w:val="008C48A1"/>
    <w:rsid w:val="008C4BD6"/>
    <w:rsid w:val="008C527C"/>
    <w:rsid w:val="008C5646"/>
    <w:rsid w:val="008C5DA0"/>
    <w:rsid w:val="008C6272"/>
    <w:rsid w:val="008C65EB"/>
    <w:rsid w:val="008C677D"/>
    <w:rsid w:val="008C6C80"/>
    <w:rsid w:val="008C6DF8"/>
    <w:rsid w:val="008C6F0C"/>
    <w:rsid w:val="008C70F7"/>
    <w:rsid w:val="008C72AA"/>
    <w:rsid w:val="008C7547"/>
    <w:rsid w:val="008D04DA"/>
    <w:rsid w:val="008D0833"/>
    <w:rsid w:val="008D0E81"/>
    <w:rsid w:val="008D1353"/>
    <w:rsid w:val="008D13CD"/>
    <w:rsid w:val="008D1705"/>
    <w:rsid w:val="008D1A15"/>
    <w:rsid w:val="008D1A2C"/>
    <w:rsid w:val="008D1CF3"/>
    <w:rsid w:val="008D1EBA"/>
    <w:rsid w:val="008D2353"/>
    <w:rsid w:val="008D2FB7"/>
    <w:rsid w:val="008D338C"/>
    <w:rsid w:val="008D390F"/>
    <w:rsid w:val="008D423B"/>
    <w:rsid w:val="008D486A"/>
    <w:rsid w:val="008D52DE"/>
    <w:rsid w:val="008D552A"/>
    <w:rsid w:val="008D5C5C"/>
    <w:rsid w:val="008D5D93"/>
    <w:rsid w:val="008D6444"/>
    <w:rsid w:val="008D6A1D"/>
    <w:rsid w:val="008D6E8C"/>
    <w:rsid w:val="008D78A2"/>
    <w:rsid w:val="008E019F"/>
    <w:rsid w:val="008E0D73"/>
    <w:rsid w:val="008E108A"/>
    <w:rsid w:val="008E12EE"/>
    <w:rsid w:val="008E1554"/>
    <w:rsid w:val="008E16FD"/>
    <w:rsid w:val="008E1B6D"/>
    <w:rsid w:val="008E1D7C"/>
    <w:rsid w:val="008E22BB"/>
    <w:rsid w:val="008E251A"/>
    <w:rsid w:val="008E2561"/>
    <w:rsid w:val="008E27C2"/>
    <w:rsid w:val="008E2B0E"/>
    <w:rsid w:val="008E3106"/>
    <w:rsid w:val="008E31DD"/>
    <w:rsid w:val="008E3490"/>
    <w:rsid w:val="008E355F"/>
    <w:rsid w:val="008E37CC"/>
    <w:rsid w:val="008E4727"/>
    <w:rsid w:val="008E4A1B"/>
    <w:rsid w:val="008E5310"/>
    <w:rsid w:val="008E5C1F"/>
    <w:rsid w:val="008E6BF5"/>
    <w:rsid w:val="008E6D2F"/>
    <w:rsid w:val="008E6F54"/>
    <w:rsid w:val="008E7428"/>
    <w:rsid w:val="008E7842"/>
    <w:rsid w:val="008F0894"/>
    <w:rsid w:val="008F08EA"/>
    <w:rsid w:val="008F0C64"/>
    <w:rsid w:val="008F0EBC"/>
    <w:rsid w:val="008F1069"/>
    <w:rsid w:val="008F165E"/>
    <w:rsid w:val="008F194D"/>
    <w:rsid w:val="008F19B4"/>
    <w:rsid w:val="008F1BB8"/>
    <w:rsid w:val="008F2096"/>
    <w:rsid w:val="008F2362"/>
    <w:rsid w:val="008F2451"/>
    <w:rsid w:val="008F2F73"/>
    <w:rsid w:val="008F3357"/>
    <w:rsid w:val="008F3B9C"/>
    <w:rsid w:val="008F3FF3"/>
    <w:rsid w:val="008F43CB"/>
    <w:rsid w:val="008F4431"/>
    <w:rsid w:val="008F45C4"/>
    <w:rsid w:val="008F4712"/>
    <w:rsid w:val="008F486A"/>
    <w:rsid w:val="008F4BD4"/>
    <w:rsid w:val="008F5291"/>
    <w:rsid w:val="008F5693"/>
    <w:rsid w:val="008F5744"/>
    <w:rsid w:val="008F5E11"/>
    <w:rsid w:val="008F5F49"/>
    <w:rsid w:val="008F6495"/>
    <w:rsid w:val="008F665F"/>
    <w:rsid w:val="008F68B9"/>
    <w:rsid w:val="008F6FAB"/>
    <w:rsid w:val="008F7B3D"/>
    <w:rsid w:val="008F7B8A"/>
    <w:rsid w:val="008F7F77"/>
    <w:rsid w:val="00900031"/>
    <w:rsid w:val="009011B2"/>
    <w:rsid w:val="009012DE"/>
    <w:rsid w:val="009018F4"/>
    <w:rsid w:val="00901C95"/>
    <w:rsid w:val="00901CCD"/>
    <w:rsid w:val="00902441"/>
    <w:rsid w:val="00902512"/>
    <w:rsid w:val="00902C1B"/>
    <w:rsid w:val="00902CA5"/>
    <w:rsid w:val="00902E76"/>
    <w:rsid w:val="0090303F"/>
    <w:rsid w:val="00903BB2"/>
    <w:rsid w:val="0090403D"/>
    <w:rsid w:val="00904182"/>
    <w:rsid w:val="009046BA"/>
    <w:rsid w:val="00904D59"/>
    <w:rsid w:val="00905529"/>
    <w:rsid w:val="0090590A"/>
    <w:rsid w:val="00905BAB"/>
    <w:rsid w:val="00905FEF"/>
    <w:rsid w:val="009062F0"/>
    <w:rsid w:val="00906AF7"/>
    <w:rsid w:val="00906F14"/>
    <w:rsid w:val="0090719E"/>
    <w:rsid w:val="009078F9"/>
    <w:rsid w:val="00907B1B"/>
    <w:rsid w:val="00907C61"/>
    <w:rsid w:val="00907D58"/>
    <w:rsid w:val="00910320"/>
    <w:rsid w:val="0091089B"/>
    <w:rsid w:val="00910BED"/>
    <w:rsid w:val="00910E9A"/>
    <w:rsid w:val="00910F27"/>
    <w:rsid w:val="0091140F"/>
    <w:rsid w:val="00911BD2"/>
    <w:rsid w:val="00912142"/>
    <w:rsid w:val="00912D5B"/>
    <w:rsid w:val="00912DA1"/>
    <w:rsid w:val="009132ED"/>
    <w:rsid w:val="00913605"/>
    <w:rsid w:val="00913747"/>
    <w:rsid w:val="00913A03"/>
    <w:rsid w:val="00913A83"/>
    <w:rsid w:val="00913AD2"/>
    <w:rsid w:val="00913CF3"/>
    <w:rsid w:val="00913E1F"/>
    <w:rsid w:val="009141F1"/>
    <w:rsid w:val="00914E41"/>
    <w:rsid w:val="00914F84"/>
    <w:rsid w:val="0091550C"/>
    <w:rsid w:val="00915AE4"/>
    <w:rsid w:val="00915C10"/>
    <w:rsid w:val="00916406"/>
    <w:rsid w:val="009168F8"/>
    <w:rsid w:val="00916D52"/>
    <w:rsid w:val="00917315"/>
    <w:rsid w:val="00917832"/>
    <w:rsid w:val="00920360"/>
    <w:rsid w:val="009204A2"/>
    <w:rsid w:val="009205D3"/>
    <w:rsid w:val="009206D3"/>
    <w:rsid w:val="009211C1"/>
    <w:rsid w:val="00921873"/>
    <w:rsid w:val="00921996"/>
    <w:rsid w:val="00921B4A"/>
    <w:rsid w:val="00921D08"/>
    <w:rsid w:val="009223CD"/>
    <w:rsid w:val="0092262A"/>
    <w:rsid w:val="00922A16"/>
    <w:rsid w:val="00923AA3"/>
    <w:rsid w:val="00923C81"/>
    <w:rsid w:val="00923FDA"/>
    <w:rsid w:val="00924623"/>
    <w:rsid w:val="00924D1C"/>
    <w:rsid w:val="00925FB8"/>
    <w:rsid w:val="00926656"/>
    <w:rsid w:val="00926CD3"/>
    <w:rsid w:val="00927CDF"/>
    <w:rsid w:val="00930051"/>
    <w:rsid w:val="00930339"/>
    <w:rsid w:val="00930493"/>
    <w:rsid w:val="0093110D"/>
    <w:rsid w:val="0093143C"/>
    <w:rsid w:val="0093185E"/>
    <w:rsid w:val="00931B33"/>
    <w:rsid w:val="00931BBC"/>
    <w:rsid w:val="009321C5"/>
    <w:rsid w:val="0093286A"/>
    <w:rsid w:val="00932F15"/>
    <w:rsid w:val="00933126"/>
    <w:rsid w:val="00933D30"/>
    <w:rsid w:val="00933E3C"/>
    <w:rsid w:val="00934587"/>
    <w:rsid w:val="00935288"/>
    <w:rsid w:val="0093570E"/>
    <w:rsid w:val="009357ED"/>
    <w:rsid w:val="00935EC6"/>
    <w:rsid w:val="009367DF"/>
    <w:rsid w:val="0093722B"/>
    <w:rsid w:val="009372C1"/>
    <w:rsid w:val="00937AA9"/>
    <w:rsid w:val="00937AB1"/>
    <w:rsid w:val="00937ED9"/>
    <w:rsid w:val="00940112"/>
    <w:rsid w:val="00940309"/>
    <w:rsid w:val="0094042F"/>
    <w:rsid w:val="00940679"/>
    <w:rsid w:val="0094068D"/>
    <w:rsid w:val="00940D03"/>
    <w:rsid w:val="00941466"/>
    <w:rsid w:val="009419B9"/>
    <w:rsid w:val="00941CAD"/>
    <w:rsid w:val="00942DEC"/>
    <w:rsid w:val="00943613"/>
    <w:rsid w:val="0094380A"/>
    <w:rsid w:val="00943D64"/>
    <w:rsid w:val="00943EB8"/>
    <w:rsid w:val="0094428B"/>
    <w:rsid w:val="009443D7"/>
    <w:rsid w:val="009443D8"/>
    <w:rsid w:val="0094440F"/>
    <w:rsid w:val="0094449B"/>
    <w:rsid w:val="00944766"/>
    <w:rsid w:val="00944F24"/>
    <w:rsid w:val="009454ED"/>
    <w:rsid w:val="00945F82"/>
    <w:rsid w:val="009463A4"/>
    <w:rsid w:val="009465FF"/>
    <w:rsid w:val="00946AE1"/>
    <w:rsid w:val="00946FCE"/>
    <w:rsid w:val="0094720D"/>
    <w:rsid w:val="009477B3"/>
    <w:rsid w:val="0094781E"/>
    <w:rsid w:val="00947920"/>
    <w:rsid w:val="00950888"/>
    <w:rsid w:val="00950A01"/>
    <w:rsid w:val="00950D20"/>
    <w:rsid w:val="0095143F"/>
    <w:rsid w:val="0095193F"/>
    <w:rsid w:val="00951B14"/>
    <w:rsid w:val="0095235F"/>
    <w:rsid w:val="0095291D"/>
    <w:rsid w:val="00952CE3"/>
    <w:rsid w:val="009536A0"/>
    <w:rsid w:val="00953A52"/>
    <w:rsid w:val="00953D63"/>
    <w:rsid w:val="009541A9"/>
    <w:rsid w:val="00954A3F"/>
    <w:rsid w:val="00955102"/>
    <w:rsid w:val="00955E21"/>
    <w:rsid w:val="00956168"/>
    <w:rsid w:val="009561B3"/>
    <w:rsid w:val="0095626D"/>
    <w:rsid w:val="00956F0F"/>
    <w:rsid w:val="00956F21"/>
    <w:rsid w:val="00957325"/>
    <w:rsid w:val="009579C9"/>
    <w:rsid w:val="00957A0C"/>
    <w:rsid w:val="00957D37"/>
    <w:rsid w:val="00961212"/>
    <w:rsid w:val="009617CD"/>
    <w:rsid w:val="00961B52"/>
    <w:rsid w:val="00961C44"/>
    <w:rsid w:val="00961D9F"/>
    <w:rsid w:val="009620A8"/>
    <w:rsid w:val="00962597"/>
    <w:rsid w:val="009626D4"/>
    <w:rsid w:val="009626E8"/>
    <w:rsid w:val="009626F1"/>
    <w:rsid w:val="00962835"/>
    <w:rsid w:val="0096284E"/>
    <w:rsid w:val="00962B9E"/>
    <w:rsid w:val="00962C26"/>
    <w:rsid w:val="00963219"/>
    <w:rsid w:val="0096398E"/>
    <w:rsid w:val="00964373"/>
    <w:rsid w:val="00964C18"/>
    <w:rsid w:val="00965861"/>
    <w:rsid w:val="00965BED"/>
    <w:rsid w:val="0096665D"/>
    <w:rsid w:val="00966EC9"/>
    <w:rsid w:val="009673B1"/>
    <w:rsid w:val="00967407"/>
    <w:rsid w:val="0096759F"/>
    <w:rsid w:val="00967A16"/>
    <w:rsid w:val="009701BE"/>
    <w:rsid w:val="00972099"/>
    <w:rsid w:val="009722CC"/>
    <w:rsid w:val="00972CBE"/>
    <w:rsid w:val="009731C3"/>
    <w:rsid w:val="00973513"/>
    <w:rsid w:val="00973B11"/>
    <w:rsid w:val="009744C1"/>
    <w:rsid w:val="009747C3"/>
    <w:rsid w:val="009748EE"/>
    <w:rsid w:val="00974908"/>
    <w:rsid w:val="009749F9"/>
    <w:rsid w:val="00974AA4"/>
    <w:rsid w:val="009750B4"/>
    <w:rsid w:val="00975800"/>
    <w:rsid w:val="00976020"/>
    <w:rsid w:val="0097619D"/>
    <w:rsid w:val="0097635E"/>
    <w:rsid w:val="009765B3"/>
    <w:rsid w:val="009765C7"/>
    <w:rsid w:val="009769EE"/>
    <w:rsid w:val="00976A1D"/>
    <w:rsid w:val="00976AC0"/>
    <w:rsid w:val="00976D95"/>
    <w:rsid w:val="009775E4"/>
    <w:rsid w:val="0097768C"/>
    <w:rsid w:val="00980402"/>
    <w:rsid w:val="00980B00"/>
    <w:rsid w:val="00980F42"/>
    <w:rsid w:val="009812A6"/>
    <w:rsid w:val="00983058"/>
    <w:rsid w:val="00983136"/>
    <w:rsid w:val="00983702"/>
    <w:rsid w:val="00983AC6"/>
    <w:rsid w:val="00983FD7"/>
    <w:rsid w:val="00984906"/>
    <w:rsid w:val="00985350"/>
    <w:rsid w:val="00985599"/>
    <w:rsid w:val="00985735"/>
    <w:rsid w:val="00985DCB"/>
    <w:rsid w:val="0098604D"/>
    <w:rsid w:val="009862A4"/>
    <w:rsid w:val="00986447"/>
    <w:rsid w:val="009865DB"/>
    <w:rsid w:val="00986A20"/>
    <w:rsid w:val="00987AC8"/>
    <w:rsid w:val="00990A89"/>
    <w:rsid w:val="00991237"/>
    <w:rsid w:val="00991455"/>
    <w:rsid w:val="009914A5"/>
    <w:rsid w:val="009914EE"/>
    <w:rsid w:val="00991FAC"/>
    <w:rsid w:val="00991FF7"/>
    <w:rsid w:val="00992B91"/>
    <w:rsid w:val="009932BF"/>
    <w:rsid w:val="00993697"/>
    <w:rsid w:val="00993A63"/>
    <w:rsid w:val="00993D41"/>
    <w:rsid w:val="00994037"/>
    <w:rsid w:val="009940F2"/>
    <w:rsid w:val="00994F0E"/>
    <w:rsid w:val="00994F72"/>
    <w:rsid w:val="009957A0"/>
    <w:rsid w:val="00995842"/>
    <w:rsid w:val="00995C44"/>
    <w:rsid w:val="00996732"/>
    <w:rsid w:val="0099685F"/>
    <w:rsid w:val="00996B44"/>
    <w:rsid w:val="00996BD8"/>
    <w:rsid w:val="00996E56"/>
    <w:rsid w:val="00996ED8"/>
    <w:rsid w:val="009971C5"/>
    <w:rsid w:val="009976A0"/>
    <w:rsid w:val="00997759"/>
    <w:rsid w:val="00997B80"/>
    <w:rsid w:val="00997F87"/>
    <w:rsid w:val="00997FDD"/>
    <w:rsid w:val="009A0097"/>
    <w:rsid w:val="009A0774"/>
    <w:rsid w:val="009A17B1"/>
    <w:rsid w:val="009A1B61"/>
    <w:rsid w:val="009A1EEA"/>
    <w:rsid w:val="009A2296"/>
    <w:rsid w:val="009A278E"/>
    <w:rsid w:val="009A2811"/>
    <w:rsid w:val="009A3027"/>
    <w:rsid w:val="009A38BA"/>
    <w:rsid w:val="009A39C3"/>
    <w:rsid w:val="009A44D6"/>
    <w:rsid w:val="009A46F1"/>
    <w:rsid w:val="009A496C"/>
    <w:rsid w:val="009A5386"/>
    <w:rsid w:val="009A54B5"/>
    <w:rsid w:val="009A5A83"/>
    <w:rsid w:val="009A62B1"/>
    <w:rsid w:val="009A6486"/>
    <w:rsid w:val="009A6A4F"/>
    <w:rsid w:val="009A6DE0"/>
    <w:rsid w:val="009A7C1D"/>
    <w:rsid w:val="009B0091"/>
    <w:rsid w:val="009B0103"/>
    <w:rsid w:val="009B08EF"/>
    <w:rsid w:val="009B132A"/>
    <w:rsid w:val="009B1BD0"/>
    <w:rsid w:val="009B1EF2"/>
    <w:rsid w:val="009B1F71"/>
    <w:rsid w:val="009B204D"/>
    <w:rsid w:val="009B2458"/>
    <w:rsid w:val="009B2545"/>
    <w:rsid w:val="009B2E78"/>
    <w:rsid w:val="009B317B"/>
    <w:rsid w:val="009B3D63"/>
    <w:rsid w:val="009B3F9E"/>
    <w:rsid w:val="009B479E"/>
    <w:rsid w:val="009B497E"/>
    <w:rsid w:val="009B4B95"/>
    <w:rsid w:val="009B512B"/>
    <w:rsid w:val="009B5631"/>
    <w:rsid w:val="009B5A66"/>
    <w:rsid w:val="009B5B8D"/>
    <w:rsid w:val="009B6C2A"/>
    <w:rsid w:val="009B6E52"/>
    <w:rsid w:val="009B7666"/>
    <w:rsid w:val="009B76BF"/>
    <w:rsid w:val="009B7773"/>
    <w:rsid w:val="009C02CB"/>
    <w:rsid w:val="009C04F0"/>
    <w:rsid w:val="009C0E59"/>
    <w:rsid w:val="009C1597"/>
    <w:rsid w:val="009C16D0"/>
    <w:rsid w:val="009C202E"/>
    <w:rsid w:val="009C207A"/>
    <w:rsid w:val="009C25A5"/>
    <w:rsid w:val="009C2603"/>
    <w:rsid w:val="009C309E"/>
    <w:rsid w:val="009C3109"/>
    <w:rsid w:val="009C33F2"/>
    <w:rsid w:val="009C48D8"/>
    <w:rsid w:val="009C49AB"/>
    <w:rsid w:val="009C4CC6"/>
    <w:rsid w:val="009C4D65"/>
    <w:rsid w:val="009C4EA8"/>
    <w:rsid w:val="009C560E"/>
    <w:rsid w:val="009C5892"/>
    <w:rsid w:val="009C6371"/>
    <w:rsid w:val="009C6BC5"/>
    <w:rsid w:val="009C6FE4"/>
    <w:rsid w:val="009C7092"/>
    <w:rsid w:val="009C7124"/>
    <w:rsid w:val="009C7189"/>
    <w:rsid w:val="009C73C1"/>
    <w:rsid w:val="009C7500"/>
    <w:rsid w:val="009C7DCE"/>
    <w:rsid w:val="009D003F"/>
    <w:rsid w:val="009D01C7"/>
    <w:rsid w:val="009D045F"/>
    <w:rsid w:val="009D0574"/>
    <w:rsid w:val="009D08C5"/>
    <w:rsid w:val="009D1644"/>
    <w:rsid w:val="009D1AAB"/>
    <w:rsid w:val="009D1B02"/>
    <w:rsid w:val="009D1CC0"/>
    <w:rsid w:val="009D2406"/>
    <w:rsid w:val="009D264A"/>
    <w:rsid w:val="009D2A13"/>
    <w:rsid w:val="009D307B"/>
    <w:rsid w:val="009D3BED"/>
    <w:rsid w:val="009D3E4D"/>
    <w:rsid w:val="009D40D0"/>
    <w:rsid w:val="009D49E7"/>
    <w:rsid w:val="009D4A0A"/>
    <w:rsid w:val="009D4C0D"/>
    <w:rsid w:val="009D55BA"/>
    <w:rsid w:val="009D583B"/>
    <w:rsid w:val="009D5E39"/>
    <w:rsid w:val="009D602A"/>
    <w:rsid w:val="009D6354"/>
    <w:rsid w:val="009D66E2"/>
    <w:rsid w:val="009D6D7F"/>
    <w:rsid w:val="009D6E72"/>
    <w:rsid w:val="009D7F54"/>
    <w:rsid w:val="009E0551"/>
    <w:rsid w:val="009E0683"/>
    <w:rsid w:val="009E0B4C"/>
    <w:rsid w:val="009E0E60"/>
    <w:rsid w:val="009E2049"/>
    <w:rsid w:val="009E2451"/>
    <w:rsid w:val="009E286F"/>
    <w:rsid w:val="009E3075"/>
    <w:rsid w:val="009E3A60"/>
    <w:rsid w:val="009E40F6"/>
    <w:rsid w:val="009E44C7"/>
    <w:rsid w:val="009E484F"/>
    <w:rsid w:val="009E4860"/>
    <w:rsid w:val="009E4C5D"/>
    <w:rsid w:val="009E5331"/>
    <w:rsid w:val="009E5498"/>
    <w:rsid w:val="009E5690"/>
    <w:rsid w:val="009E56AF"/>
    <w:rsid w:val="009E58FC"/>
    <w:rsid w:val="009E5AA2"/>
    <w:rsid w:val="009E5D05"/>
    <w:rsid w:val="009E65AC"/>
    <w:rsid w:val="009E69B3"/>
    <w:rsid w:val="009E6BB4"/>
    <w:rsid w:val="009E6E73"/>
    <w:rsid w:val="009E7C06"/>
    <w:rsid w:val="009E7C56"/>
    <w:rsid w:val="009F008E"/>
    <w:rsid w:val="009F0330"/>
    <w:rsid w:val="009F0556"/>
    <w:rsid w:val="009F117B"/>
    <w:rsid w:val="009F1418"/>
    <w:rsid w:val="009F165D"/>
    <w:rsid w:val="009F17E0"/>
    <w:rsid w:val="009F19D4"/>
    <w:rsid w:val="009F1C60"/>
    <w:rsid w:val="009F255F"/>
    <w:rsid w:val="009F25BC"/>
    <w:rsid w:val="009F2BD5"/>
    <w:rsid w:val="009F2EBB"/>
    <w:rsid w:val="009F30A5"/>
    <w:rsid w:val="009F32B6"/>
    <w:rsid w:val="009F33DC"/>
    <w:rsid w:val="009F396E"/>
    <w:rsid w:val="009F49A0"/>
    <w:rsid w:val="009F4DB4"/>
    <w:rsid w:val="009F50F7"/>
    <w:rsid w:val="009F5172"/>
    <w:rsid w:val="009F591D"/>
    <w:rsid w:val="009F6504"/>
    <w:rsid w:val="009F6D07"/>
    <w:rsid w:val="009F735D"/>
    <w:rsid w:val="009F7633"/>
    <w:rsid w:val="009F7913"/>
    <w:rsid w:val="009F7F59"/>
    <w:rsid w:val="00A005C6"/>
    <w:rsid w:val="00A008C4"/>
    <w:rsid w:val="00A00D20"/>
    <w:rsid w:val="00A01567"/>
    <w:rsid w:val="00A0202E"/>
    <w:rsid w:val="00A02284"/>
    <w:rsid w:val="00A022E0"/>
    <w:rsid w:val="00A02741"/>
    <w:rsid w:val="00A02D7E"/>
    <w:rsid w:val="00A0353A"/>
    <w:rsid w:val="00A04129"/>
    <w:rsid w:val="00A04A32"/>
    <w:rsid w:val="00A04D54"/>
    <w:rsid w:val="00A04E6F"/>
    <w:rsid w:val="00A04EB0"/>
    <w:rsid w:val="00A05B2F"/>
    <w:rsid w:val="00A05C97"/>
    <w:rsid w:val="00A062A2"/>
    <w:rsid w:val="00A062FF"/>
    <w:rsid w:val="00A063A3"/>
    <w:rsid w:val="00A06414"/>
    <w:rsid w:val="00A0644B"/>
    <w:rsid w:val="00A0647B"/>
    <w:rsid w:val="00A06AFB"/>
    <w:rsid w:val="00A06CA6"/>
    <w:rsid w:val="00A075E2"/>
    <w:rsid w:val="00A078F2"/>
    <w:rsid w:val="00A106CC"/>
    <w:rsid w:val="00A10917"/>
    <w:rsid w:val="00A117CD"/>
    <w:rsid w:val="00A11AC3"/>
    <w:rsid w:val="00A1216C"/>
    <w:rsid w:val="00A12502"/>
    <w:rsid w:val="00A13052"/>
    <w:rsid w:val="00A13074"/>
    <w:rsid w:val="00A13246"/>
    <w:rsid w:val="00A1363C"/>
    <w:rsid w:val="00A136D2"/>
    <w:rsid w:val="00A13877"/>
    <w:rsid w:val="00A140C5"/>
    <w:rsid w:val="00A1411D"/>
    <w:rsid w:val="00A1442F"/>
    <w:rsid w:val="00A1449E"/>
    <w:rsid w:val="00A144AA"/>
    <w:rsid w:val="00A14A21"/>
    <w:rsid w:val="00A14ECB"/>
    <w:rsid w:val="00A150A5"/>
    <w:rsid w:val="00A15D97"/>
    <w:rsid w:val="00A15F1E"/>
    <w:rsid w:val="00A16708"/>
    <w:rsid w:val="00A17695"/>
    <w:rsid w:val="00A17EE4"/>
    <w:rsid w:val="00A17FCB"/>
    <w:rsid w:val="00A202B7"/>
    <w:rsid w:val="00A205F2"/>
    <w:rsid w:val="00A20977"/>
    <w:rsid w:val="00A20A81"/>
    <w:rsid w:val="00A21473"/>
    <w:rsid w:val="00A216A8"/>
    <w:rsid w:val="00A216D2"/>
    <w:rsid w:val="00A21F3D"/>
    <w:rsid w:val="00A224CB"/>
    <w:rsid w:val="00A226A8"/>
    <w:rsid w:val="00A2301E"/>
    <w:rsid w:val="00A236C5"/>
    <w:rsid w:val="00A237A4"/>
    <w:rsid w:val="00A23D7D"/>
    <w:rsid w:val="00A24593"/>
    <w:rsid w:val="00A245DB"/>
    <w:rsid w:val="00A2462A"/>
    <w:rsid w:val="00A24E89"/>
    <w:rsid w:val="00A253B8"/>
    <w:rsid w:val="00A2541F"/>
    <w:rsid w:val="00A2567D"/>
    <w:rsid w:val="00A256E1"/>
    <w:rsid w:val="00A25B7F"/>
    <w:rsid w:val="00A25C3F"/>
    <w:rsid w:val="00A25CCB"/>
    <w:rsid w:val="00A269B0"/>
    <w:rsid w:val="00A270D1"/>
    <w:rsid w:val="00A2748F"/>
    <w:rsid w:val="00A27AA4"/>
    <w:rsid w:val="00A27E15"/>
    <w:rsid w:val="00A30495"/>
    <w:rsid w:val="00A30D77"/>
    <w:rsid w:val="00A30E47"/>
    <w:rsid w:val="00A3124A"/>
    <w:rsid w:val="00A3179D"/>
    <w:rsid w:val="00A31A68"/>
    <w:rsid w:val="00A31DF6"/>
    <w:rsid w:val="00A31E59"/>
    <w:rsid w:val="00A323D2"/>
    <w:rsid w:val="00A32845"/>
    <w:rsid w:val="00A32B2E"/>
    <w:rsid w:val="00A32B55"/>
    <w:rsid w:val="00A32C1B"/>
    <w:rsid w:val="00A32F80"/>
    <w:rsid w:val="00A32FDC"/>
    <w:rsid w:val="00A32FED"/>
    <w:rsid w:val="00A342F0"/>
    <w:rsid w:val="00A34574"/>
    <w:rsid w:val="00A348A4"/>
    <w:rsid w:val="00A34C1D"/>
    <w:rsid w:val="00A34CB6"/>
    <w:rsid w:val="00A34DA5"/>
    <w:rsid w:val="00A35011"/>
    <w:rsid w:val="00A358A2"/>
    <w:rsid w:val="00A35E1B"/>
    <w:rsid w:val="00A36155"/>
    <w:rsid w:val="00A36E2E"/>
    <w:rsid w:val="00A371A9"/>
    <w:rsid w:val="00A372F4"/>
    <w:rsid w:val="00A377AE"/>
    <w:rsid w:val="00A37899"/>
    <w:rsid w:val="00A378C4"/>
    <w:rsid w:val="00A37D18"/>
    <w:rsid w:val="00A400E1"/>
    <w:rsid w:val="00A40168"/>
    <w:rsid w:val="00A40D42"/>
    <w:rsid w:val="00A40DE0"/>
    <w:rsid w:val="00A414E5"/>
    <w:rsid w:val="00A4185A"/>
    <w:rsid w:val="00A41BF5"/>
    <w:rsid w:val="00A42184"/>
    <w:rsid w:val="00A425B0"/>
    <w:rsid w:val="00A42604"/>
    <w:rsid w:val="00A433DF"/>
    <w:rsid w:val="00A433F8"/>
    <w:rsid w:val="00A43925"/>
    <w:rsid w:val="00A439A0"/>
    <w:rsid w:val="00A43C8D"/>
    <w:rsid w:val="00A43D73"/>
    <w:rsid w:val="00A442AA"/>
    <w:rsid w:val="00A446B8"/>
    <w:rsid w:val="00A44EC7"/>
    <w:rsid w:val="00A44FE2"/>
    <w:rsid w:val="00A45364"/>
    <w:rsid w:val="00A4563B"/>
    <w:rsid w:val="00A46AF9"/>
    <w:rsid w:val="00A46CAD"/>
    <w:rsid w:val="00A46CC4"/>
    <w:rsid w:val="00A46E10"/>
    <w:rsid w:val="00A46E61"/>
    <w:rsid w:val="00A46EE2"/>
    <w:rsid w:val="00A47698"/>
    <w:rsid w:val="00A478D7"/>
    <w:rsid w:val="00A478F2"/>
    <w:rsid w:val="00A50654"/>
    <w:rsid w:val="00A5093F"/>
    <w:rsid w:val="00A50B36"/>
    <w:rsid w:val="00A51056"/>
    <w:rsid w:val="00A511D4"/>
    <w:rsid w:val="00A5121E"/>
    <w:rsid w:val="00A5143A"/>
    <w:rsid w:val="00A5153E"/>
    <w:rsid w:val="00A515C1"/>
    <w:rsid w:val="00A52013"/>
    <w:rsid w:val="00A52139"/>
    <w:rsid w:val="00A5218F"/>
    <w:rsid w:val="00A522C5"/>
    <w:rsid w:val="00A527FA"/>
    <w:rsid w:val="00A53FF4"/>
    <w:rsid w:val="00A54002"/>
    <w:rsid w:val="00A54236"/>
    <w:rsid w:val="00A549D3"/>
    <w:rsid w:val="00A54B94"/>
    <w:rsid w:val="00A5545D"/>
    <w:rsid w:val="00A554CD"/>
    <w:rsid w:val="00A5588B"/>
    <w:rsid w:val="00A55D2B"/>
    <w:rsid w:val="00A56435"/>
    <w:rsid w:val="00A56575"/>
    <w:rsid w:val="00A5698E"/>
    <w:rsid w:val="00A56D2E"/>
    <w:rsid w:val="00A572FB"/>
    <w:rsid w:val="00A57EF4"/>
    <w:rsid w:val="00A57FA8"/>
    <w:rsid w:val="00A60112"/>
    <w:rsid w:val="00A60553"/>
    <w:rsid w:val="00A60714"/>
    <w:rsid w:val="00A6095E"/>
    <w:rsid w:val="00A60DD5"/>
    <w:rsid w:val="00A611D6"/>
    <w:rsid w:val="00A61C0B"/>
    <w:rsid w:val="00A61DC1"/>
    <w:rsid w:val="00A6291E"/>
    <w:rsid w:val="00A62AAF"/>
    <w:rsid w:val="00A62EF6"/>
    <w:rsid w:val="00A62FAB"/>
    <w:rsid w:val="00A635E9"/>
    <w:rsid w:val="00A63D67"/>
    <w:rsid w:val="00A63EC1"/>
    <w:rsid w:val="00A63F8F"/>
    <w:rsid w:val="00A63FCA"/>
    <w:rsid w:val="00A647D1"/>
    <w:rsid w:val="00A64F0F"/>
    <w:rsid w:val="00A65503"/>
    <w:rsid w:val="00A656D5"/>
    <w:rsid w:val="00A658BD"/>
    <w:rsid w:val="00A66240"/>
    <w:rsid w:val="00A668D4"/>
    <w:rsid w:val="00A66917"/>
    <w:rsid w:val="00A66A8C"/>
    <w:rsid w:val="00A66CDB"/>
    <w:rsid w:val="00A66E44"/>
    <w:rsid w:val="00A673EF"/>
    <w:rsid w:val="00A67522"/>
    <w:rsid w:val="00A67939"/>
    <w:rsid w:val="00A67E4A"/>
    <w:rsid w:val="00A67E7A"/>
    <w:rsid w:val="00A700E6"/>
    <w:rsid w:val="00A70691"/>
    <w:rsid w:val="00A70B06"/>
    <w:rsid w:val="00A70C93"/>
    <w:rsid w:val="00A70EB4"/>
    <w:rsid w:val="00A7123D"/>
    <w:rsid w:val="00A7131E"/>
    <w:rsid w:val="00A717E0"/>
    <w:rsid w:val="00A71903"/>
    <w:rsid w:val="00A71AB5"/>
    <w:rsid w:val="00A720E6"/>
    <w:rsid w:val="00A720EC"/>
    <w:rsid w:val="00A7232F"/>
    <w:rsid w:val="00A7241D"/>
    <w:rsid w:val="00A72F9E"/>
    <w:rsid w:val="00A73636"/>
    <w:rsid w:val="00A73F4B"/>
    <w:rsid w:val="00A73FCF"/>
    <w:rsid w:val="00A741B7"/>
    <w:rsid w:val="00A7443B"/>
    <w:rsid w:val="00A74BFE"/>
    <w:rsid w:val="00A74C75"/>
    <w:rsid w:val="00A75760"/>
    <w:rsid w:val="00A75A7E"/>
    <w:rsid w:val="00A75BC2"/>
    <w:rsid w:val="00A75E61"/>
    <w:rsid w:val="00A761E4"/>
    <w:rsid w:val="00A7671B"/>
    <w:rsid w:val="00A768C3"/>
    <w:rsid w:val="00A76B9C"/>
    <w:rsid w:val="00A76BDC"/>
    <w:rsid w:val="00A7707D"/>
    <w:rsid w:val="00A7774D"/>
    <w:rsid w:val="00A77964"/>
    <w:rsid w:val="00A77ECE"/>
    <w:rsid w:val="00A80149"/>
    <w:rsid w:val="00A80521"/>
    <w:rsid w:val="00A80541"/>
    <w:rsid w:val="00A80F48"/>
    <w:rsid w:val="00A815DB"/>
    <w:rsid w:val="00A81814"/>
    <w:rsid w:val="00A81A96"/>
    <w:rsid w:val="00A81BC1"/>
    <w:rsid w:val="00A81D15"/>
    <w:rsid w:val="00A81EA5"/>
    <w:rsid w:val="00A824A5"/>
    <w:rsid w:val="00A8299F"/>
    <w:rsid w:val="00A82B79"/>
    <w:rsid w:val="00A82C78"/>
    <w:rsid w:val="00A833BD"/>
    <w:rsid w:val="00A83F18"/>
    <w:rsid w:val="00A83F47"/>
    <w:rsid w:val="00A84792"/>
    <w:rsid w:val="00A849AB"/>
    <w:rsid w:val="00A84B2F"/>
    <w:rsid w:val="00A84E3D"/>
    <w:rsid w:val="00A850C7"/>
    <w:rsid w:val="00A86044"/>
    <w:rsid w:val="00A8609D"/>
    <w:rsid w:val="00A866C1"/>
    <w:rsid w:val="00A86CFD"/>
    <w:rsid w:val="00A87025"/>
    <w:rsid w:val="00A871B2"/>
    <w:rsid w:val="00A872FA"/>
    <w:rsid w:val="00A873A1"/>
    <w:rsid w:val="00A87995"/>
    <w:rsid w:val="00A900D4"/>
    <w:rsid w:val="00A9092B"/>
    <w:rsid w:val="00A91A62"/>
    <w:rsid w:val="00A92094"/>
    <w:rsid w:val="00A92A12"/>
    <w:rsid w:val="00A92F28"/>
    <w:rsid w:val="00A931BA"/>
    <w:rsid w:val="00A937C6"/>
    <w:rsid w:val="00A93A95"/>
    <w:rsid w:val="00A93E5E"/>
    <w:rsid w:val="00A94FE7"/>
    <w:rsid w:val="00A952B9"/>
    <w:rsid w:val="00A95305"/>
    <w:rsid w:val="00A96008"/>
    <w:rsid w:val="00A960BE"/>
    <w:rsid w:val="00A960DD"/>
    <w:rsid w:val="00A96761"/>
    <w:rsid w:val="00A96CE0"/>
    <w:rsid w:val="00A9781F"/>
    <w:rsid w:val="00AA04CE"/>
    <w:rsid w:val="00AA04D5"/>
    <w:rsid w:val="00AA06AF"/>
    <w:rsid w:val="00AA093C"/>
    <w:rsid w:val="00AA0C36"/>
    <w:rsid w:val="00AA0D65"/>
    <w:rsid w:val="00AA0FFB"/>
    <w:rsid w:val="00AA11DE"/>
    <w:rsid w:val="00AA1265"/>
    <w:rsid w:val="00AA15A7"/>
    <w:rsid w:val="00AA1B69"/>
    <w:rsid w:val="00AA1D5F"/>
    <w:rsid w:val="00AA1E2A"/>
    <w:rsid w:val="00AA1E3C"/>
    <w:rsid w:val="00AA20DC"/>
    <w:rsid w:val="00AA21D4"/>
    <w:rsid w:val="00AA2515"/>
    <w:rsid w:val="00AA3C17"/>
    <w:rsid w:val="00AA3C32"/>
    <w:rsid w:val="00AA3C6F"/>
    <w:rsid w:val="00AA3E97"/>
    <w:rsid w:val="00AA3FF0"/>
    <w:rsid w:val="00AA4271"/>
    <w:rsid w:val="00AA4608"/>
    <w:rsid w:val="00AA4E57"/>
    <w:rsid w:val="00AA4F0B"/>
    <w:rsid w:val="00AA5180"/>
    <w:rsid w:val="00AA5363"/>
    <w:rsid w:val="00AA5859"/>
    <w:rsid w:val="00AA5A47"/>
    <w:rsid w:val="00AA64D8"/>
    <w:rsid w:val="00AA6691"/>
    <w:rsid w:val="00AA6B60"/>
    <w:rsid w:val="00AA74B5"/>
    <w:rsid w:val="00AA7683"/>
    <w:rsid w:val="00AA7C63"/>
    <w:rsid w:val="00AA7DFC"/>
    <w:rsid w:val="00AA7FDE"/>
    <w:rsid w:val="00AB097D"/>
    <w:rsid w:val="00AB0AA1"/>
    <w:rsid w:val="00AB0CD6"/>
    <w:rsid w:val="00AB14FC"/>
    <w:rsid w:val="00AB22B5"/>
    <w:rsid w:val="00AB300F"/>
    <w:rsid w:val="00AB32DD"/>
    <w:rsid w:val="00AB3413"/>
    <w:rsid w:val="00AB368B"/>
    <w:rsid w:val="00AB3980"/>
    <w:rsid w:val="00AB410B"/>
    <w:rsid w:val="00AB43FC"/>
    <w:rsid w:val="00AB4836"/>
    <w:rsid w:val="00AB486C"/>
    <w:rsid w:val="00AB4F9E"/>
    <w:rsid w:val="00AB5088"/>
    <w:rsid w:val="00AB587A"/>
    <w:rsid w:val="00AB589B"/>
    <w:rsid w:val="00AB5BEA"/>
    <w:rsid w:val="00AB5EEC"/>
    <w:rsid w:val="00AB5F03"/>
    <w:rsid w:val="00AB71D2"/>
    <w:rsid w:val="00AB7DE6"/>
    <w:rsid w:val="00AC05A7"/>
    <w:rsid w:val="00AC08D6"/>
    <w:rsid w:val="00AC0AAE"/>
    <w:rsid w:val="00AC120C"/>
    <w:rsid w:val="00AC1C5D"/>
    <w:rsid w:val="00AC207A"/>
    <w:rsid w:val="00AC2E06"/>
    <w:rsid w:val="00AC31BC"/>
    <w:rsid w:val="00AC3729"/>
    <w:rsid w:val="00AC41F3"/>
    <w:rsid w:val="00AC455F"/>
    <w:rsid w:val="00AC4719"/>
    <w:rsid w:val="00AC5549"/>
    <w:rsid w:val="00AC5A28"/>
    <w:rsid w:val="00AC5C70"/>
    <w:rsid w:val="00AC5EC2"/>
    <w:rsid w:val="00AC6946"/>
    <w:rsid w:val="00AC6A9E"/>
    <w:rsid w:val="00AC7072"/>
    <w:rsid w:val="00AC722A"/>
    <w:rsid w:val="00AC778E"/>
    <w:rsid w:val="00AC7B71"/>
    <w:rsid w:val="00AD001C"/>
    <w:rsid w:val="00AD04CD"/>
    <w:rsid w:val="00AD0638"/>
    <w:rsid w:val="00AD0FD4"/>
    <w:rsid w:val="00AD1050"/>
    <w:rsid w:val="00AD10CA"/>
    <w:rsid w:val="00AD116D"/>
    <w:rsid w:val="00AD2BEB"/>
    <w:rsid w:val="00AD2F82"/>
    <w:rsid w:val="00AD3103"/>
    <w:rsid w:val="00AD3435"/>
    <w:rsid w:val="00AD35BA"/>
    <w:rsid w:val="00AD3DC6"/>
    <w:rsid w:val="00AD46DD"/>
    <w:rsid w:val="00AD483F"/>
    <w:rsid w:val="00AD4DF5"/>
    <w:rsid w:val="00AD518C"/>
    <w:rsid w:val="00AD5270"/>
    <w:rsid w:val="00AD5D9D"/>
    <w:rsid w:val="00AD658B"/>
    <w:rsid w:val="00AD68B0"/>
    <w:rsid w:val="00AD6A9D"/>
    <w:rsid w:val="00AD6DDE"/>
    <w:rsid w:val="00AD6FEB"/>
    <w:rsid w:val="00AD76AA"/>
    <w:rsid w:val="00AD7858"/>
    <w:rsid w:val="00AD7CC2"/>
    <w:rsid w:val="00AD7D31"/>
    <w:rsid w:val="00AE0053"/>
    <w:rsid w:val="00AE0314"/>
    <w:rsid w:val="00AE1125"/>
    <w:rsid w:val="00AE15DB"/>
    <w:rsid w:val="00AE19DB"/>
    <w:rsid w:val="00AE1F97"/>
    <w:rsid w:val="00AE2836"/>
    <w:rsid w:val="00AE31A1"/>
    <w:rsid w:val="00AE324D"/>
    <w:rsid w:val="00AE3AF7"/>
    <w:rsid w:val="00AE3E5F"/>
    <w:rsid w:val="00AE3EB6"/>
    <w:rsid w:val="00AE40F9"/>
    <w:rsid w:val="00AE4393"/>
    <w:rsid w:val="00AE4462"/>
    <w:rsid w:val="00AE47E0"/>
    <w:rsid w:val="00AE4D64"/>
    <w:rsid w:val="00AE54C3"/>
    <w:rsid w:val="00AE562C"/>
    <w:rsid w:val="00AE5A78"/>
    <w:rsid w:val="00AE5DE9"/>
    <w:rsid w:val="00AE6343"/>
    <w:rsid w:val="00AE63B8"/>
    <w:rsid w:val="00AE6624"/>
    <w:rsid w:val="00AE69B1"/>
    <w:rsid w:val="00AE69CA"/>
    <w:rsid w:val="00AE6D3F"/>
    <w:rsid w:val="00AE7EF6"/>
    <w:rsid w:val="00AF073E"/>
    <w:rsid w:val="00AF08A8"/>
    <w:rsid w:val="00AF10B9"/>
    <w:rsid w:val="00AF11BB"/>
    <w:rsid w:val="00AF13E7"/>
    <w:rsid w:val="00AF1542"/>
    <w:rsid w:val="00AF157E"/>
    <w:rsid w:val="00AF1880"/>
    <w:rsid w:val="00AF1BD1"/>
    <w:rsid w:val="00AF1F00"/>
    <w:rsid w:val="00AF28D4"/>
    <w:rsid w:val="00AF3683"/>
    <w:rsid w:val="00AF375D"/>
    <w:rsid w:val="00AF3771"/>
    <w:rsid w:val="00AF39A2"/>
    <w:rsid w:val="00AF3A13"/>
    <w:rsid w:val="00AF3C5A"/>
    <w:rsid w:val="00AF3F97"/>
    <w:rsid w:val="00AF444B"/>
    <w:rsid w:val="00AF4698"/>
    <w:rsid w:val="00AF54C2"/>
    <w:rsid w:val="00AF55E3"/>
    <w:rsid w:val="00AF57B9"/>
    <w:rsid w:val="00AF5A45"/>
    <w:rsid w:val="00AF5B14"/>
    <w:rsid w:val="00AF5BFB"/>
    <w:rsid w:val="00AF5D29"/>
    <w:rsid w:val="00AF5DF8"/>
    <w:rsid w:val="00AF6C42"/>
    <w:rsid w:val="00AF6C8E"/>
    <w:rsid w:val="00AF7267"/>
    <w:rsid w:val="00AF78A8"/>
    <w:rsid w:val="00AF7DF9"/>
    <w:rsid w:val="00AF7F5B"/>
    <w:rsid w:val="00AF7FC1"/>
    <w:rsid w:val="00B00282"/>
    <w:rsid w:val="00B00A42"/>
    <w:rsid w:val="00B00ECA"/>
    <w:rsid w:val="00B00F4B"/>
    <w:rsid w:val="00B00FAD"/>
    <w:rsid w:val="00B010C6"/>
    <w:rsid w:val="00B01231"/>
    <w:rsid w:val="00B016A5"/>
    <w:rsid w:val="00B01B57"/>
    <w:rsid w:val="00B01DDA"/>
    <w:rsid w:val="00B01F89"/>
    <w:rsid w:val="00B025CB"/>
    <w:rsid w:val="00B031AC"/>
    <w:rsid w:val="00B03864"/>
    <w:rsid w:val="00B03872"/>
    <w:rsid w:val="00B03B05"/>
    <w:rsid w:val="00B03DD2"/>
    <w:rsid w:val="00B03E6E"/>
    <w:rsid w:val="00B040FA"/>
    <w:rsid w:val="00B042CF"/>
    <w:rsid w:val="00B0436A"/>
    <w:rsid w:val="00B047CB"/>
    <w:rsid w:val="00B04E76"/>
    <w:rsid w:val="00B04FE3"/>
    <w:rsid w:val="00B051BC"/>
    <w:rsid w:val="00B051EE"/>
    <w:rsid w:val="00B056BD"/>
    <w:rsid w:val="00B06361"/>
    <w:rsid w:val="00B069F5"/>
    <w:rsid w:val="00B06DD4"/>
    <w:rsid w:val="00B07009"/>
    <w:rsid w:val="00B070B3"/>
    <w:rsid w:val="00B0745E"/>
    <w:rsid w:val="00B07A56"/>
    <w:rsid w:val="00B07D62"/>
    <w:rsid w:val="00B07FBD"/>
    <w:rsid w:val="00B103B0"/>
    <w:rsid w:val="00B10DED"/>
    <w:rsid w:val="00B11491"/>
    <w:rsid w:val="00B11ABB"/>
    <w:rsid w:val="00B12754"/>
    <w:rsid w:val="00B12FB7"/>
    <w:rsid w:val="00B132D8"/>
    <w:rsid w:val="00B132FA"/>
    <w:rsid w:val="00B13319"/>
    <w:rsid w:val="00B13428"/>
    <w:rsid w:val="00B134EE"/>
    <w:rsid w:val="00B13794"/>
    <w:rsid w:val="00B140B5"/>
    <w:rsid w:val="00B1415B"/>
    <w:rsid w:val="00B146A2"/>
    <w:rsid w:val="00B14B15"/>
    <w:rsid w:val="00B14C06"/>
    <w:rsid w:val="00B1585E"/>
    <w:rsid w:val="00B159C5"/>
    <w:rsid w:val="00B16467"/>
    <w:rsid w:val="00B165E7"/>
    <w:rsid w:val="00B16745"/>
    <w:rsid w:val="00B16FDB"/>
    <w:rsid w:val="00B17451"/>
    <w:rsid w:val="00B1755C"/>
    <w:rsid w:val="00B176E0"/>
    <w:rsid w:val="00B17A26"/>
    <w:rsid w:val="00B17CD2"/>
    <w:rsid w:val="00B17EB5"/>
    <w:rsid w:val="00B20241"/>
    <w:rsid w:val="00B202A7"/>
    <w:rsid w:val="00B202FE"/>
    <w:rsid w:val="00B203FC"/>
    <w:rsid w:val="00B219C6"/>
    <w:rsid w:val="00B21C15"/>
    <w:rsid w:val="00B226B1"/>
    <w:rsid w:val="00B226DB"/>
    <w:rsid w:val="00B22ED9"/>
    <w:rsid w:val="00B235A4"/>
    <w:rsid w:val="00B2390D"/>
    <w:rsid w:val="00B23C44"/>
    <w:rsid w:val="00B23D4D"/>
    <w:rsid w:val="00B24857"/>
    <w:rsid w:val="00B2519B"/>
    <w:rsid w:val="00B258EA"/>
    <w:rsid w:val="00B25AA5"/>
    <w:rsid w:val="00B25BFC"/>
    <w:rsid w:val="00B25D23"/>
    <w:rsid w:val="00B262D7"/>
    <w:rsid w:val="00B262DA"/>
    <w:rsid w:val="00B26505"/>
    <w:rsid w:val="00B265E9"/>
    <w:rsid w:val="00B2673B"/>
    <w:rsid w:val="00B26944"/>
    <w:rsid w:val="00B270EB"/>
    <w:rsid w:val="00B275BF"/>
    <w:rsid w:val="00B27846"/>
    <w:rsid w:val="00B27C54"/>
    <w:rsid w:val="00B27E19"/>
    <w:rsid w:val="00B30279"/>
    <w:rsid w:val="00B302EF"/>
    <w:rsid w:val="00B305ED"/>
    <w:rsid w:val="00B3073E"/>
    <w:rsid w:val="00B30A0B"/>
    <w:rsid w:val="00B3104E"/>
    <w:rsid w:val="00B31194"/>
    <w:rsid w:val="00B32309"/>
    <w:rsid w:val="00B32CDF"/>
    <w:rsid w:val="00B32D42"/>
    <w:rsid w:val="00B32FA2"/>
    <w:rsid w:val="00B33F96"/>
    <w:rsid w:val="00B34418"/>
    <w:rsid w:val="00B34527"/>
    <w:rsid w:val="00B3472A"/>
    <w:rsid w:val="00B34BE3"/>
    <w:rsid w:val="00B34DA9"/>
    <w:rsid w:val="00B351BC"/>
    <w:rsid w:val="00B355E2"/>
    <w:rsid w:val="00B3570F"/>
    <w:rsid w:val="00B35DBC"/>
    <w:rsid w:val="00B3605F"/>
    <w:rsid w:val="00B360BC"/>
    <w:rsid w:val="00B364C9"/>
    <w:rsid w:val="00B36688"/>
    <w:rsid w:val="00B36857"/>
    <w:rsid w:val="00B36C26"/>
    <w:rsid w:val="00B36FF8"/>
    <w:rsid w:val="00B3728F"/>
    <w:rsid w:val="00B37353"/>
    <w:rsid w:val="00B374A7"/>
    <w:rsid w:val="00B40BEF"/>
    <w:rsid w:val="00B41340"/>
    <w:rsid w:val="00B41428"/>
    <w:rsid w:val="00B4178D"/>
    <w:rsid w:val="00B4216D"/>
    <w:rsid w:val="00B425CB"/>
    <w:rsid w:val="00B427DF"/>
    <w:rsid w:val="00B4292D"/>
    <w:rsid w:val="00B42D9F"/>
    <w:rsid w:val="00B430DC"/>
    <w:rsid w:val="00B4351D"/>
    <w:rsid w:val="00B4379F"/>
    <w:rsid w:val="00B437C1"/>
    <w:rsid w:val="00B4394E"/>
    <w:rsid w:val="00B4398E"/>
    <w:rsid w:val="00B43C59"/>
    <w:rsid w:val="00B44261"/>
    <w:rsid w:val="00B44EAC"/>
    <w:rsid w:val="00B45104"/>
    <w:rsid w:val="00B453C6"/>
    <w:rsid w:val="00B45F7D"/>
    <w:rsid w:val="00B4674C"/>
    <w:rsid w:val="00B4697F"/>
    <w:rsid w:val="00B46C74"/>
    <w:rsid w:val="00B46D51"/>
    <w:rsid w:val="00B46D63"/>
    <w:rsid w:val="00B46E3C"/>
    <w:rsid w:val="00B46F74"/>
    <w:rsid w:val="00B46FD8"/>
    <w:rsid w:val="00B474EB"/>
    <w:rsid w:val="00B500D1"/>
    <w:rsid w:val="00B500E0"/>
    <w:rsid w:val="00B508D0"/>
    <w:rsid w:val="00B508E4"/>
    <w:rsid w:val="00B50907"/>
    <w:rsid w:val="00B50FF5"/>
    <w:rsid w:val="00B51087"/>
    <w:rsid w:val="00B52330"/>
    <w:rsid w:val="00B5242E"/>
    <w:rsid w:val="00B52A0D"/>
    <w:rsid w:val="00B530B1"/>
    <w:rsid w:val="00B5368E"/>
    <w:rsid w:val="00B53B44"/>
    <w:rsid w:val="00B53FFE"/>
    <w:rsid w:val="00B545B7"/>
    <w:rsid w:val="00B54BF6"/>
    <w:rsid w:val="00B54BF8"/>
    <w:rsid w:val="00B54EC9"/>
    <w:rsid w:val="00B5520D"/>
    <w:rsid w:val="00B5527F"/>
    <w:rsid w:val="00B55453"/>
    <w:rsid w:val="00B5558B"/>
    <w:rsid w:val="00B55D7F"/>
    <w:rsid w:val="00B561CC"/>
    <w:rsid w:val="00B56275"/>
    <w:rsid w:val="00B56609"/>
    <w:rsid w:val="00B56BB0"/>
    <w:rsid w:val="00B578FC"/>
    <w:rsid w:val="00B6000A"/>
    <w:rsid w:val="00B6041E"/>
    <w:rsid w:val="00B60485"/>
    <w:rsid w:val="00B60AAB"/>
    <w:rsid w:val="00B60EE4"/>
    <w:rsid w:val="00B61056"/>
    <w:rsid w:val="00B613A8"/>
    <w:rsid w:val="00B6194D"/>
    <w:rsid w:val="00B624CA"/>
    <w:rsid w:val="00B627ED"/>
    <w:rsid w:val="00B631BD"/>
    <w:rsid w:val="00B640CF"/>
    <w:rsid w:val="00B64193"/>
    <w:rsid w:val="00B65044"/>
    <w:rsid w:val="00B6526B"/>
    <w:rsid w:val="00B65886"/>
    <w:rsid w:val="00B65BAD"/>
    <w:rsid w:val="00B65C96"/>
    <w:rsid w:val="00B65E1A"/>
    <w:rsid w:val="00B65F09"/>
    <w:rsid w:val="00B66913"/>
    <w:rsid w:val="00B66F86"/>
    <w:rsid w:val="00B67011"/>
    <w:rsid w:val="00B676F5"/>
    <w:rsid w:val="00B679A2"/>
    <w:rsid w:val="00B67F02"/>
    <w:rsid w:val="00B700C6"/>
    <w:rsid w:val="00B70B95"/>
    <w:rsid w:val="00B70D02"/>
    <w:rsid w:val="00B70E26"/>
    <w:rsid w:val="00B718A2"/>
    <w:rsid w:val="00B71C39"/>
    <w:rsid w:val="00B71CCF"/>
    <w:rsid w:val="00B71D7F"/>
    <w:rsid w:val="00B71E35"/>
    <w:rsid w:val="00B722BB"/>
    <w:rsid w:val="00B7257B"/>
    <w:rsid w:val="00B728C9"/>
    <w:rsid w:val="00B7294D"/>
    <w:rsid w:val="00B7321E"/>
    <w:rsid w:val="00B7350C"/>
    <w:rsid w:val="00B73CA0"/>
    <w:rsid w:val="00B73DD9"/>
    <w:rsid w:val="00B741E1"/>
    <w:rsid w:val="00B746E7"/>
    <w:rsid w:val="00B7564F"/>
    <w:rsid w:val="00B75A2E"/>
    <w:rsid w:val="00B75C8D"/>
    <w:rsid w:val="00B761C7"/>
    <w:rsid w:val="00B762CD"/>
    <w:rsid w:val="00B7673C"/>
    <w:rsid w:val="00B76816"/>
    <w:rsid w:val="00B76C4E"/>
    <w:rsid w:val="00B76C8B"/>
    <w:rsid w:val="00B76D98"/>
    <w:rsid w:val="00B76D99"/>
    <w:rsid w:val="00B77411"/>
    <w:rsid w:val="00B777E3"/>
    <w:rsid w:val="00B77831"/>
    <w:rsid w:val="00B77848"/>
    <w:rsid w:val="00B8034F"/>
    <w:rsid w:val="00B8143E"/>
    <w:rsid w:val="00B81608"/>
    <w:rsid w:val="00B81756"/>
    <w:rsid w:val="00B81EED"/>
    <w:rsid w:val="00B822F5"/>
    <w:rsid w:val="00B8284D"/>
    <w:rsid w:val="00B82B0F"/>
    <w:rsid w:val="00B82EC1"/>
    <w:rsid w:val="00B82EE3"/>
    <w:rsid w:val="00B830D2"/>
    <w:rsid w:val="00B83C8D"/>
    <w:rsid w:val="00B83F3E"/>
    <w:rsid w:val="00B83FE7"/>
    <w:rsid w:val="00B84B50"/>
    <w:rsid w:val="00B84DC5"/>
    <w:rsid w:val="00B84DF0"/>
    <w:rsid w:val="00B84F64"/>
    <w:rsid w:val="00B853DE"/>
    <w:rsid w:val="00B854D4"/>
    <w:rsid w:val="00B859C2"/>
    <w:rsid w:val="00B85B75"/>
    <w:rsid w:val="00B85EA1"/>
    <w:rsid w:val="00B8656D"/>
    <w:rsid w:val="00B86FD7"/>
    <w:rsid w:val="00B87822"/>
    <w:rsid w:val="00B905F1"/>
    <w:rsid w:val="00B906A9"/>
    <w:rsid w:val="00B90D09"/>
    <w:rsid w:val="00B90D44"/>
    <w:rsid w:val="00B90D56"/>
    <w:rsid w:val="00B912F7"/>
    <w:rsid w:val="00B916DB"/>
    <w:rsid w:val="00B917AF"/>
    <w:rsid w:val="00B921E8"/>
    <w:rsid w:val="00B922FC"/>
    <w:rsid w:val="00B9234F"/>
    <w:rsid w:val="00B92686"/>
    <w:rsid w:val="00B927D3"/>
    <w:rsid w:val="00B92F1C"/>
    <w:rsid w:val="00B935E3"/>
    <w:rsid w:val="00B939D8"/>
    <w:rsid w:val="00B9408A"/>
    <w:rsid w:val="00B954D2"/>
    <w:rsid w:val="00B95C39"/>
    <w:rsid w:val="00B95DDE"/>
    <w:rsid w:val="00B95EB3"/>
    <w:rsid w:val="00B961A1"/>
    <w:rsid w:val="00B96A42"/>
    <w:rsid w:val="00B96F6C"/>
    <w:rsid w:val="00B97094"/>
    <w:rsid w:val="00B971C7"/>
    <w:rsid w:val="00B977B5"/>
    <w:rsid w:val="00B97B96"/>
    <w:rsid w:val="00BA066B"/>
    <w:rsid w:val="00BA08CA"/>
    <w:rsid w:val="00BA096B"/>
    <w:rsid w:val="00BA0D46"/>
    <w:rsid w:val="00BA0E69"/>
    <w:rsid w:val="00BA10A2"/>
    <w:rsid w:val="00BA1A7E"/>
    <w:rsid w:val="00BA1B87"/>
    <w:rsid w:val="00BA21C0"/>
    <w:rsid w:val="00BA2674"/>
    <w:rsid w:val="00BA26CB"/>
    <w:rsid w:val="00BA2909"/>
    <w:rsid w:val="00BA3021"/>
    <w:rsid w:val="00BA310A"/>
    <w:rsid w:val="00BA3EF2"/>
    <w:rsid w:val="00BA4BD0"/>
    <w:rsid w:val="00BA4E8B"/>
    <w:rsid w:val="00BA54AD"/>
    <w:rsid w:val="00BA54BA"/>
    <w:rsid w:val="00BA5603"/>
    <w:rsid w:val="00BA56C5"/>
    <w:rsid w:val="00BA64B7"/>
    <w:rsid w:val="00BA68CB"/>
    <w:rsid w:val="00BA75EA"/>
    <w:rsid w:val="00BA7749"/>
    <w:rsid w:val="00BA775D"/>
    <w:rsid w:val="00BA7B0C"/>
    <w:rsid w:val="00BA7B54"/>
    <w:rsid w:val="00BB0855"/>
    <w:rsid w:val="00BB09EF"/>
    <w:rsid w:val="00BB0E20"/>
    <w:rsid w:val="00BB17E3"/>
    <w:rsid w:val="00BB1A44"/>
    <w:rsid w:val="00BB2191"/>
    <w:rsid w:val="00BB266C"/>
    <w:rsid w:val="00BB2934"/>
    <w:rsid w:val="00BB2B8D"/>
    <w:rsid w:val="00BB332D"/>
    <w:rsid w:val="00BB3960"/>
    <w:rsid w:val="00BB3972"/>
    <w:rsid w:val="00BB3DC9"/>
    <w:rsid w:val="00BB3EAD"/>
    <w:rsid w:val="00BB4200"/>
    <w:rsid w:val="00BB4496"/>
    <w:rsid w:val="00BB485D"/>
    <w:rsid w:val="00BB4AE6"/>
    <w:rsid w:val="00BB4C36"/>
    <w:rsid w:val="00BB4CCC"/>
    <w:rsid w:val="00BB509C"/>
    <w:rsid w:val="00BB582F"/>
    <w:rsid w:val="00BB58E6"/>
    <w:rsid w:val="00BB593A"/>
    <w:rsid w:val="00BB5A70"/>
    <w:rsid w:val="00BB5C5F"/>
    <w:rsid w:val="00BB7124"/>
    <w:rsid w:val="00BB71D6"/>
    <w:rsid w:val="00BB7229"/>
    <w:rsid w:val="00BC04DE"/>
    <w:rsid w:val="00BC0576"/>
    <w:rsid w:val="00BC0927"/>
    <w:rsid w:val="00BC0CE1"/>
    <w:rsid w:val="00BC0E84"/>
    <w:rsid w:val="00BC10B2"/>
    <w:rsid w:val="00BC17B6"/>
    <w:rsid w:val="00BC1B09"/>
    <w:rsid w:val="00BC1BC4"/>
    <w:rsid w:val="00BC1DF3"/>
    <w:rsid w:val="00BC22BB"/>
    <w:rsid w:val="00BC268C"/>
    <w:rsid w:val="00BC28E4"/>
    <w:rsid w:val="00BC293F"/>
    <w:rsid w:val="00BC299E"/>
    <w:rsid w:val="00BC2E8F"/>
    <w:rsid w:val="00BC3280"/>
    <w:rsid w:val="00BC3346"/>
    <w:rsid w:val="00BC38EB"/>
    <w:rsid w:val="00BC392E"/>
    <w:rsid w:val="00BC3B6E"/>
    <w:rsid w:val="00BC3B97"/>
    <w:rsid w:val="00BC3E92"/>
    <w:rsid w:val="00BC4045"/>
    <w:rsid w:val="00BC413D"/>
    <w:rsid w:val="00BC462A"/>
    <w:rsid w:val="00BC4700"/>
    <w:rsid w:val="00BC5ABD"/>
    <w:rsid w:val="00BC5AC6"/>
    <w:rsid w:val="00BC5C62"/>
    <w:rsid w:val="00BC6006"/>
    <w:rsid w:val="00BC638A"/>
    <w:rsid w:val="00BC6AE4"/>
    <w:rsid w:val="00BC6C18"/>
    <w:rsid w:val="00BC77ED"/>
    <w:rsid w:val="00BC7936"/>
    <w:rsid w:val="00BC7A10"/>
    <w:rsid w:val="00BC7B8B"/>
    <w:rsid w:val="00BD0075"/>
    <w:rsid w:val="00BD1137"/>
    <w:rsid w:val="00BD129C"/>
    <w:rsid w:val="00BD160B"/>
    <w:rsid w:val="00BD163E"/>
    <w:rsid w:val="00BD2296"/>
    <w:rsid w:val="00BD2E24"/>
    <w:rsid w:val="00BD3041"/>
    <w:rsid w:val="00BD366A"/>
    <w:rsid w:val="00BD47A9"/>
    <w:rsid w:val="00BD4A6D"/>
    <w:rsid w:val="00BD5E3B"/>
    <w:rsid w:val="00BD610D"/>
    <w:rsid w:val="00BD63DB"/>
    <w:rsid w:val="00BD6BA6"/>
    <w:rsid w:val="00BD71C5"/>
    <w:rsid w:val="00BD749B"/>
    <w:rsid w:val="00BD76AF"/>
    <w:rsid w:val="00BD78D5"/>
    <w:rsid w:val="00BD7D2F"/>
    <w:rsid w:val="00BE0011"/>
    <w:rsid w:val="00BE0743"/>
    <w:rsid w:val="00BE0C5B"/>
    <w:rsid w:val="00BE1341"/>
    <w:rsid w:val="00BE15A0"/>
    <w:rsid w:val="00BE17D8"/>
    <w:rsid w:val="00BE1BED"/>
    <w:rsid w:val="00BE1C05"/>
    <w:rsid w:val="00BE2000"/>
    <w:rsid w:val="00BE287C"/>
    <w:rsid w:val="00BE2A75"/>
    <w:rsid w:val="00BE3006"/>
    <w:rsid w:val="00BE3B9A"/>
    <w:rsid w:val="00BE47D4"/>
    <w:rsid w:val="00BE52CA"/>
    <w:rsid w:val="00BE5A11"/>
    <w:rsid w:val="00BE5BF6"/>
    <w:rsid w:val="00BE627B"/>
    <w:rsid w:val="00BE63FC"/>
    <w:rsid w:val="00BE6812"/>
    <w:rsid w:val="00BE7480"/>
    <w:rsid w:val="00BE7649"/>
    <w:rsid w:val="00BF001A"/>
    <w:rsid w:val="00BF0055"/>
    <w:rsid w:val="00BF072F"/>
    <w:rsid w:val="00BF0753"/>
    <w:rsid w:val="00BF14A8"/>
    <w:rsid w:val="00BF19B0"/>
    <w:rsid w:val="00BF1DCB"/>
    <w:rsid w:val="00BF2481"/>
    <w:rsid w:val="00BF2700"/>
    <w:rsid w:val="00BF28E3"/>
    <w:rsid w:val="00BF2CD7"/>
    <w:rsid w:val="00BF2EBF"/>
    <w:rsid w:val="00BF2FA9"/>
    <w:rsid w:val="00BF3937"/>
    <w:rsid w:val="00BF4054"/>
    <w:rsid w:val="00BF4176"/>
    <w:rsid w:val="00BF42DA"/>
    <w:rsid w:val="00BF4AB4"/>
    <w:rsid w:val="00BF50E7"/>
    <w:rsid w:val="00BF552D"/>
    <w:rsid w:val="00BF57A2"/>
    <w:rsid w:val="00BF5BEB"/>
    <w:rsid w:val="00BF60DB"/>
    <w:rsid w:val="00BF6425"/>
    <w:rsid w:val="00BF65EA"/>
    <w:rsid w:val="00BF6B65"/>
    <w:rsid w:val="00BF79BA"/>
    <w:rsid w:val="00BF79D2"/>
    <w:rsid w:val="00BF7FFD"/>
    <w:rsid w:val="00C000D8"/>
    <w:rsid w:val="00C00641"/>
    <w:rsid w:val="00C00824"/>
    <w:rsid w:val="00C00B7C"/>
    <w:rsid w:val="00C010E1"/>
    <w:rsid w:val="00C016E2"/>
    <w:rsid w:val="00C01D97"/>
    <w:rsid w:val="00C03537"/>
    <w:rsid w:val="00C03653"/>
    <w:rsid w:val="00C03EEC"/>
    <w:rsid w:val="00C04138"/>
    <w:rsid w:val="00C04697"/>
    <w:rsid w:val="00C0474A"/>
    <w:rsid w:val="00C04B58"/>
    <w:rsid w:val="00C04DD0"/>
    <w:rsid w:val="00C05129"/>
    <w:rsid w:val="00C0571E"/>
    <w:rsid w:val="00C05B27"/>
    <w:rsid w:val="00C05B71"/>
    <w:rsid w:val="00C05C0C"/>
    <w:rsid w:val="00C06822"/>
    <w:rsid w:val="00C06885"/>
    <w:rsid w:val="00C068F0"/>
    <w:rsid w:val="00C06C96"/>
    <w:rsid w:val="00C06F6B"/>
    <w:rsid w:val="00C06F8D"/>
    <w:rsid w:val="00C071FA"/>
    <w:rsid w:val="00C0723A"/>
    <w:rsid w:val="00C07365"/>
    <w:rsid w:val="00C0748E"/>
    <w:rsid w:val="00C10075"/>
    <w:rsid w:val="00C10228"/>
    <w:rsid w:val="00C104A1"/>
    <w:rsid w:val="00C10A05"/>
    <w:rsid w:val="00C10AC7"/>
    <w:rsid w:val="00C1121D"/>
    <w:rsid w:val="00C1121E"/>
    <w:rsid w:val="00C11595"/>
    <w:rsid w:val="00C11A4E"/>
    <w:rsid w:val="00C11F6F"/>
    <w:rsid w:val="00C121D0"/>
    <w:rsid w:val="00C12255"/>
    <w:rsid w:val="00C1231E"/>
    <w:rsid w:val="00C12504"/>
    <w:rsid w:val="00C12627"/>
    <w:rsid w:val="00C12D36"/>
    <w:rsid w:val="00C1325F"/>
    <w:rsid w:val="00C13B05"/>
    <w:rsid w:val="00C13D56"/>
    <w:rsid w:val="00C13EC0"/>
    <w:rsid w:val="00C13FA6"/>
    <w:rsid w:val="00C14950"/>
    <w:rsid w:val="00C149AE"/>
    <w:rsid w:val="00C14F9D"/>
    <w:rsid w:val="00C15062"/>
    <w:rsid w:val="00C15A76"/>
    <w:rsid w:val="00C15ACE"/>
    <w:rsid w:val="00C16062"/>
    <w:rsid w:val="00C161A9"/>
    <w:rsid w:val="00C165B7"/>
    <w:rsid w:val="00C16CD6"/>
    <w:rsid w:val="00C16E30"/>
    <w:rsid w:val="00C1719F"/>
    <w:rsid w:val="00C17DE2"/>
    <w:rsid w:val="00C2015E"/>
    <w:rsid w:val="00C201D7"/>
    <w:rsid w:val="00C20245"/>
    <w:rsid w:val="00C202B5"/>
    <w:rsid w:val="00C20E73"/>
    <w:rsid w:val="00C2125C"/>
    <w:rsid w:val="00C21421"/>
    <w:rsid w:val="00C21497"/>
    <w:rsid w:val="00C21C48"/>
    <w:rsid w:val="00C2214F"/>
    <w:rsid w:val="00C22357"/>
    <w:rsid w:val="00C23014"/>
    <w:rsid w:val="00C230EA"/>
    <w:rsid w:val="00C23420"/>
    <w:rsid w:val="00C23B4B"/>
    <w:rsid w:val="00C24669"/>
    <w:rsid w:val="00C249F1"/>
    <w:rsid w:val="00C24F2A"/>
    <w:rsid w:val="00C251B0"/>
    <w:rsid w:val="00C2550C"/>
    <w:rsid w:val="00C25C9C"/>
    <w:rsid w:val="00C25EA2"/>
    <w:rsid w:val="00C2638C"/>
    <w:rsid w:val="00C26D7B"/>
    <w:rsid w:val="00C26DE0"/>
    <w:rsid w:val="00C26E4F"/>
    <w:rsid w:val="00C26FEC"/>
    <w:rsid w:val="00C27D4E"/>
    <w:rsid w:val="00C27FBA"/>
    <w:rsid w:val="00C30736"/>
    <w:rsid w:val="00C314E7"/>
    <w:rsid w:val="00C3181C"/>
    <w:rsid w:val="00C31E0A"/>
    <w:rsid w:val="00C32013"/>
    <w:rsid w:val="00C32051"/>
    <w:rsid w:val="00C3211E"/>
    <w:rsid w:val="00C323FA"/>
    <w:rsid w:val="00C32983"/>
    <w:rsid w:val="00C32A88"/>
    <w:rsid w:val="00C334F1"/>
    <w:rsid w:val="00C334F3"/>
    <w:rsid w:val="00C336B1"/>
    <w:rsid w:val="00C3372E"/>
    <w:rsid w:val="00C33854"/>
    <w:rsid w:val="00C33DA0"/>
    <w:rsid w:val="00C34402"/>
    <w:rsid w:val="00C3458C"/>
    <w:rsid w:val="00C34DB6"/>
    <w:rsid w:val="00C34F9D"/>
    <w:rsid w:val="00C352D3"/>
    <w:rsid w:val="00C35363"/>
    <w:rsid w:val="00C353AF"/>
    <w:rsid w:val="00C35893"/>
    <w:rsid w:val="00C359BB"/>
    <w:rsid w:val="00C359EA"/>
    <w:rsid w:val="00C35C4A"/>
    <w:rsid w:val="00C35D50"/>
    <w:rsid w:val="00C35F60"/>
    <w:rsid w:val="00C36162"/>
    <w:rsid w:val="00C368DC"/>
    <w:rsid w:val="00C3693F"/>
    <w:rsid w:val="00C36ABD"/>
    <w:rsid w:val="00C36DD6"/>
    <w:rsid w:val="00C36EC7"/>
    <w:rsid w:val="00C3700C"/>
    <w:rsid w:val="00C3711E"/>
    <w:rsid w:val="00C37B9D"/>
    <w:rsid w:val="00C37BB5"/>
    <w:rsid w:val="00C40593"/>
    <w:rsid w:val="00C40811"/>
    <w:rsid w:val="00C40AA8"/>
    <w:rsid w:val="00C40DBD"/>
    <w:rsid w:val="00C40F35"/>
    <w:rsid w:val="00C40FDB"/>
    <w:rsid w:val="00C4145C"/>
    <w:rsid w:val="00C4155B"/>
    <w:rsid w:val="00C41756"/>
    <w:rsid w:val="00C41B22"/>
    <w:rsid w:val="00C423A2"/>
    <w:rsid w:val="00C4276B"/>
    <w:rsid w:val="00C427FD"/>
    <w:rsid w:val="00C42AD0"/>
    <w:rsid w:val="00C432CF"/>
    <w:rsid w:val="00C43608"/>
    <w:rsid w:val="00C43898"/>
    <w:rsid w:val="00C43D30"/>
    <w:rsid w:val="00C43F27"/>
    <w:rsid w:val="00C4443D"/>
    <w:rsid w:val="00C44BD1"/>
    <w:rsid w:val="00C45603"/>
    <w:rsid w:val="00C4568F"/>
    <w:rsid w:val="00C46735"/>
    <w:rsid w:val="00C46B5F"/>
    <w:rsid w:val="00C47161"/>
    <w:rsid w:val="00C471A5"/>
    <w:rsid w:val="00C4738F"/>
    <w:rsid w:val="00C47BBB"/>
    <w:rsid w:val="00C47CEB"/>
    <w:rsid w:val="00C47EFB"/>
    <w:rsid w:val="00C47F74"/>
    <w:rsid w:val="00C5169F"/>
    <w:rsid w:val="00C51A3B"/>
    <w:rsid w:val="00C51AF2"/>
    <w:rsid w:val="00C51CC3"/>
    <w:rsid w:val="00C521BB"/>
    <w:rsid w:val="00C52253"/>
    <w:rsid w:val="00C5263A"/>
    <w:rsid w:val="00C5272C"/>
    <w:rsid w:val="00C52921"/>
    <w:rsid w:val="00C52A74"/>
    <w:rsid w:val="00C52BE8"/>
    <w:rsid w:val="00C52E05"/>
    <w:rsid w:val="00C5303F"/>
    <w:rsid w:val="00C531AE"/>
    <w:rsid w:val="00C53502"/>
    <w:rsid w:val="00C53A4D"/>
    <w:rsid w:val="00C53FF2"/>
    <w:rsid w:val="00C5416E"/>
    <w:rsid w:val="00C542A6"/>
    <w:rsid w:val="00C54378"/>
    <w:rsid w:val="00C549A4"/>
    <w:rsid w:val="00C549DF"/>
    <w:rsid w:val="00C54E60"/>
    <w:rsid w:val="00C54EF1"/>
    <w:rsid w:val="00C5500D"/>
    <w:rsid w:val="00C55149"/>
    <w:rsid w:val="00C55489"/>
    <w:rsid w:val="00C55DA5"/>
    <w:rsid w:val="00C55DD1"/>
    <w:rsid w:val="00C56765"/>
    <w:rsid w:val="00C5685D"/>
    <w:rsid w:val="00C568BB"/>
    <w:rsid w:val="00C56DCC"/>
    <w:rsid w:val="00C57A51"/>
    <w:rsid w:val="00C57EDF"/>
    <w:rsid w:val="00C57F5C"/>
    <w:rsid w:val="00C606BD"/>
    <w:rsid w:val="00C6074A"/>
    <w:rsid w:val="00C607FD"/>
    <w:rsid w:val="00C611BD"/>
    <w:rsid w:val="00C612E7"/>
    <w:rsid w:val="00C61B52"/>
    <w:rsid w:val="00C61E56"/>
    <w:rsid w:val="00C6215A"/>
    <w:rsid w:val="00C6248B"/>
    <w:rsid w:val="00C62E49"/>
    <w:rsid w:val="00C6387C"/>
    <w:rsid w:val="00C6391A"/>
    <w:rsid w:val="00C63E07"/>
    <w:rsid w:val="00C64027"/>
    <w:rsid w:val="00C644BD"/>
    <w:rsid w:val="00C646F9"/>
    <w:rsid w:val="00C64BBA"/>
    <w:rsid w:val="00C65036"/>
    <w:rsid w:val="00C6505D"/>
    <w:rsid w:val="00C651FC"/>
    <w:rsid w:val="00C657EA"/>
    <w:rsid w:val="00C658DC"/>
    <w:rsid w:val="00C65E33"/>
    <w:rsid w:val="00C673C6"/>
    <w:rsid w:val="00C6742B"/>
    <w:rsid w:val="00C67B01"/>
    <w:rsid w:val="00C7041F"/>
    <w:rsid w:val="00C705F0"/>
    <w:rsid w:val="00C7078E"/>
    <w:rsid w:val="00C70CA7"/>
    <w:rsid w:val="00C70DEA"/>
    <w:rsid w:val="00C710BB"/>
    <w:rsid w:val="00C718B9"/>
    <w:rsid w:val="00C71F0E"/>
    <w:rsid w:val="00C72211"/>
    <w:rsid w:val="00C7261E"/>
    <w:rsid w:val="00C7279B"/>
    <w:rsid w:val="00C728AD"/>
    <w:rsid w:val="00C72DE3"/>
    <w:rsid w:val="00C7310E"/>
    <w:rsid w:val="00C73569"/>
    <w:rsid w:val="00C735BC"/>
    <w:rsid w:val="00C738D2"/>
    <w:rsid w:val="00C73AE7"/>
    <w:rsid w:val="00C74210"/>
    <w:rsid w:val="00C7484B"/>
    <w:rsid w:val="00C751CA"/>
    <w:rsid w:val="00C752D6"/>
    <w:rsid w:val="00C75729"/>
    <w:rsid w:val="00C75820"/>
    <w:rsid w:val="00C75A12"/>
    <w:rsid w:val="00C75A99"/>
    <w:rsid w:val="00C75C48"/>
    <w:rsid w:val="00C7643A"/>
    <w:rsid w:val="00C764DF"/>
    <w:rsid w:val="00C76B11"/>
    <w:rsid w:val="00C76E1D"/>
    <w:rsid w:val="00C76E42"/>
    <w:rsid w:val="00C77423"/>
    <w:rsid w:val="00C77441"/>
    <w:rsid w:val="00C7755F"/>
    <w:rsid w:val="00C776C3"/>
    <w:rsid w:val="00C77943"/>
    <w:rsid w:val="00C779CD"/>
    <w:rsid w:val="00C77DA4"/>
    <w:rsid w:val="00C77E42"/>
    <w:rsid w:val="00C80384"/>
    <w:rsid w:val="00C80752"/>
    <w:rsid w:val="00C8099D"/>
    <w:rsid w:val="00C81F06"/>
    <w:rsid w:val="00C81FEB"/>
    <w:rsid w:val="00C82096"/>
    <w:rsid w:val="00C8233D"/>
    <w:rsid w:val="00C82D3D"/>
    <w:rsid w:val="00C82E29"/>
    <w:rsid w:val="00C83593"/>
    <w:rsid w:val="00C835B3"/>
    <w:rsid w:val="00C8361A"/>
    <w:rsid w:val="00C83801"/>
    <w:rsid w:val="00C83A92"/>
    <w:rsid w:val="00C83CE3"/>
    <w:rsid w:val="00C83F56"/>
    <w:rsid w:val="00C84613"/>
    <w:rsid w:val="00C84A5E"/>
    <w:rsid w:val="00C84A72"/>
    <w:rsid w:val="00C84B1E"/>
    <w:rsid w:val="00C84B24"/>
    <w:rsid w:val="00C84C8F"/>
    <w:rsid w:val="00C84C97"/>
    <w:rsid w:val="00C85B54"/>
    <w:rsid w:val="00C85BA1"/>
    <w:rsid w:val="00C86346"/>
    <w:rsid w:val="00C8634E"/>
    <w:rsid w:val="00C864A3"/>
    <w:rsid w:val="00C86AE1"/>
    <w:rsid w:val="00C87E4B"/>
    <w:rsid w:val="00C90550"/>
    <w:rsid w:val="00C9074A"/>
    <w:rsid w:val="00C90C09"/>
    <w:rsid w:val="00C91173"/>
    <w:rsid w:val="00C91474"/>
    <w:rsid w:val="00C914BA"/>
    <w:rsid w:val="00C914BC"/>
    <w:rsid w:val="00C91A2F"/>
    <w:rsid w:val="00C9274C"/>
    <w:rsid w:val="00C92E84"/>
    <w:rsid w:val="00C930C8"/>
    <w:rsid w:val="00C93843"/>
    <w:rsid w:val="00C93F2A"/>
    <w:rsid w:val="00C93FAF"/>
    <w:rsid w:val="00C946EF"/>
    <w:rsid w:val="00C949FC"/>
    <w:rsid w:val="00C95138"/>
    <w:rsid w:val="00C95281"/>
    <w:rsid w:val="00C953AA"/>
    <w:rsid w:val="00C95A24"/>
    <w:rsid w:val="00C96308"/>
    <w:rsid w:val="00C9656A"/>
    <w:rsid w:val="00C96727"/>
    <w:rsid w:val="00C967CD"/>
    <w:rsid w:val="00C96A9C"/>
    <w:rsid w:val="00C96E7A"/>
    <w:rsid w:val="00C96E7D"/>
    <w:rsid w:val="00C96FBB"/>
    <w:rsid w:val="00C9725B"/>
    <w:rsid w:val="00C9767B"/>
    <w:rsid w:val="00C97A85"/>
    <w:rsid w:val="00C97FA7"/>
    <w:rsid w:val="00CA0215"/>
    <w:rsid w:val="00CA039E"/>
    <w:rsid w:val="00CA0EF5"/>
    <w:rsid w:val="00CA10C3"/>
    <w:rsid w:val="00CA141B"/>
    <w:rsid w:val="00CA1824"/>
    <w:rsid w:val="00CA183A"/>
    <w:rsid w:val="00CA1DCA"/>
    <w:rsid w:val="00CA23BA"/>
    <w:rsid w:val="00CA2560"/>
    <w:rsid w:val="00CA360E"/>
    <w:rsid w:val="00CA3D2B"/>
    <w:rsid w:val="00CA4245"/>
    <w:rsid w:val="00CA43DA"/>
    <w:rsid w:val="00CA4A23"/>
    <w:rsid w:val="00CA5097"/>
    <w:rsid w:val="00CA609F"/>
    <w:rsid w:val="00CA625C"/>
    <w:rsid w:val="00CA64DD"/>
    <w:rsid w:val="00CA699F"/>
    <w:rsid w:val="00CA6A37"/>
    <w:rsid w:val="00CA725C"/>
    <w:rsid w:val="00CA739E"/>
    <w:rsid w:val="00CA7738"/>
    <w:rsid w:val="00CA7BF0"/>
    <w:rsid w:val="00CA7D16"/>
    <w:rsid w:val="00CB0237"/>
    <w:rsid w:val="00CB0567"/>
    <w:rsid w:val="00CB0596"/>
    <w:rsid w:val="00CB07ED"/>
    <w:rsid w:val="00CB0802"/>
    <w:rsid w:val="00CB0C55"/>
    <w:rsid w:val="00CB0CFC"/>
    <w:rsid w:val="00CB0D57"/>
    <w:rsid w:val="00CB0FAD"/>
    <w:rsid w:val="00CB1142"/>
    <w:rsid w:val="00CB1D82"/>
    <w:rsid w:val="00CB216A"/>
    <w:rsid w:val="00CB2694"/>
    <w:rsid w:val="00CB292D"/>
    <w:rsid w:val="00CB2F67"/>
    <w:rsid w:val="00CB3CBB"/>
    <w:rsid w:val="00CB44EB"/>
    <w:rsid w:val="00CB44F5"/>
    <w:rsid w:val="00CB4B5D"/>
    <w:rsid w:val="00CB5293"/>
    <w:rsid w:val="00CB531D"/>
    <w:rsid w:val="00CB5EFA"/>
    <w:rsid w:val="00CB6373"/>
    <w:rsid w:val="00CB63A1"/>
    <w:rsid w:val="00CB697A"/>
    <w:rsid w:val="00CB69E1"/>
    <w:rsid w:val="00CB72BC"/>
    <w:rsid w:val="00CB73AF"/>
    <w:rsid w:val="00CB7C07"/>
    <w:rsid w:val="00CB7E4F"/>
    <w:rsid w:val="00CC03B4"/>
    <w:rsid w:val="00CC12B2"/>
    <w:rsid w:val="00CC20EA"/>
    <w:rsid w:val="00CC228B"/>
    <w:rsid w:val="00CC32E1"/>
    <w:rsid w:val="00CC3E0A"/>
    <w:rsid w:val="00CC4700"/>
    <w:rsid w:val="00CC4873"/>
    <w:rsid w:val="00CC57ED"/>
    <w:rsid w:val="00CC5B62"/>
    <w:rsid w:val="00CC5BEC"/>
    <w:rsid w:val="00CC5F3D"/>
    <w:rsid w:val="00CC61C2"/>
    <w:rsid w:val="00CC6898"/>
    <w:rsid w:val="00CC7127"/>
    <w:rsid w:val="00CC7279"/>
    <w:rsid w:val="00CD021C"/>
    <w:rsid w:val="00CD12A4"/>
    <w:rsid w:val="00CD1321"/>
    <w:rsid w:val="00CD1B2D"/>
    <w:rsid w:val="00CD1BC5"/>
    <w:rsid w:val="00CD1E88"/>
    <w:rsid w:val="00CD1F16"/>
    <w:rsid w:val="00CD2133"/>
    <w:rsid w:val="00CD2C29"/>
    <w:rsid w:val="00CD324D"/>
    <w:rsid w:val="00CD3547"/>
    <w:rsid w:val="00CD38D1"/>
    <w:rsid w:val="00CD390E"/>
    <w:rsid w:val="00CD3D57"/>
    <w:rsid w:val="00CD3EFC"/>
    <w:rsid w:val="00CD4485"/>
    <w:rsid w:val="00CD46EB"/>
    <w:rsid w:val="00CD4922"/>
    <w:rsid w:val="00CD4BDB"/>
    <w:rsid w:val="00CD549B"/>
    <w:rsid w:val="00CD5741"/>
    <w:rsid w:val="00CD5EF8"/>
    <w:rsid w:val="00CD6079"/>
    <w:rsid w:val="00CD6546"/>
    <w:rsid w:val="00CD6809"/>
    <w:rsid w:val="00CD7018"/>
    <w:rsid w:val="00CD7E0A"/>
    <w:rsid w:val="00CE0378"/>
    <w:rsid w:val="00CE04B7"/>
    <w:rsid w:val="00CE0E37"/>
    <w:rsid w:val="00CE0FEB"/>
    <w:rsid w:val="00CE1318"/>
    <w:rsid w:val="00CE13CB"/>
    <w:rsid w:val="00CE23BC"/>
    <w:rsid w:val="00CE2AA6"/>
    <w:rsid w:val="00CE3319"/>
    <w:rsid w:val="00CE3444"/>
    <w:rsid w:val="00CE396B"/>
    <w:rsid w:val="00CE3D14"/>
    <w:rsid w:val="00CE3D3E"/>
    <w:rsid w:val="00CE3ECB"/>
    <w:rsid w:val="00CE5961"/>
    <w:rsid w:val="00CE5DD0"/>
    <w:rsid w:val="00CE6068"/>
    <w:rsid w:val="00CE61CE"/>
    <w:rsid w:val="00CE6550"/>
    <w:rsid w:val="00CE6A21"/>
    <w:rsid w:val="00CE6B00"/>
    <w:rsid w:val="00CE6CD4"/>
    <w:rsid w:val="00CE72C2"/>
    <w:rsid w:val="00CE773F"/>
    <w:rsid w:val="00CE7CBB"/>
    <w:rsid w:val="00CE7E24"/>
    <w:rsid w:val="00CF0039"/>
    <w:rsid w:val="00CF023C"/>
    <w:rsid w:val="00CF06AC"/>
    <w:rsid w:val="00CF1835"/>
    <w:rsid w:val="00CF18D8"/>
    <w:rsid w:val="00CF1BA0"/>
    <w:rsid w:val="00CF1F3E"/>
    <w:rsid w:val="00CF249F"/>
    <w:rsid w:val="00CF27ED"/>
    <w:rsid w:val="00CF2D73"/>
    <w:rsid w:val="00CF3A12"/>
    <w:rsid w:val="00CF3AAE"/>
    <w:rsid w:val="00CF3C5B"/>
    <w:rsid w:val="00CF403B"/>
    <w:rsid w:val="00CF4212"/>
    <w:rsid w:val="00CF448F"/>
    <w:rsid w:val="00CF4ED2"/>
    <w:rsid w:val="00CF51BA"/>
    <w:rsid w:val="00CF6A22"/>
    <w:rsid w:val="00CF6C17"/>
    <w:rsid w:val="00CF715D"/>
    <w:rsid w:val="00D00077"/>
    <w:rsid w:val="00D005A2"/>
    <w:rsid w:val="00D01193"/>
    <w:rsid w:val="00D0125C"/>
    <w:rsid w:val="00D0135C"/>
    <w:rsid w:val="00D013A9"/>
    <w:rsid w:val="00D01513"/>
    <w:rsid w:val="00D01550"/>
    <w:rsid w:val="00D015DD"/>
    <w:rsid w:val="00D015EE"/>
    <w:rsid w:val="00D02040"/>
    <w:rsid w:val="00D027CC"/>
    <w:rsid w:val="00D02810"/>
    <w:rsid w:val="00D02DBA"/>
    <w:rsid w:val="00D033AA"/>
    <w:rsid w:val="00D038E1"/>
    <w:rsid w:val="00D041AD"/>
    <w:rsid w:val="00D04B5B"/>
    <w:rsid w:val="00D05778"/>
    <w:rsid w:val="00D061C3"/>
    <w:rsid w:val="00D06DA9"/>
    <w:rsid w:val="00D076AB"/>
    <w:rsid w:val="00D07975"/>
    <w:rsid w:val="00D07A0A"/>
    <w:rsid w:val="00D07AE8"/>
    <w:rsid w:val="00D07BF6"/>
    <w:rsid w:val="00D1062B"/>
    <w:rsid w:val="00D10E95"/>
    <w:rsid w:val="00D1101D"/>
    <w:rsid w:val="00D11515"/>
    <w:rsid w:val="00D11558"/>
    <w:rsid w:val="00D117FA"/>
    <w:rsid w:val="00D11DE9"/>
    <w:rsid w:val="00D12048"/>
    <w:rsid w:val="00D122DD"/>
    <w:rsid w:val="00D12F08"/>
    <w:rsid w:val="00D12F49"/>
    <w:rsid w:val="00D134AB"/>
    <w:rsid w:val="00D13510"/>
    <w:rsid w:val="00D139E9"/>
    <w:rsid w:val="00D13AC9"/>
    <w:rsid w:val="00D13D54"/>
    <w:rsid w:val="00D13D7B"/>
    <w:rsid w:val="00D13EF0"/>
    <w:rsid w:val="00D141DC"/>
    <w:rsid w:val="00D1435B"/>
    <w:rsid w:val="00D14770"/>
    <w:rsid w:val="00D150C9"/>
    <w:rsid w:val="00D1546F"/>
    <w:rsid w:val="00D15664"/>
    <w:rsid w:val="00D15CE2"/>
    <w:rsid w:val="00D15D73"/>
    <w:rsid w:val="00D15DE2"/>
    <w:rsid w:val="00D16027"/>
    <w:rsid w:val="00D168B4"/>
    <w:rsid w:val="00D16A48"/>
    <w:rsid w:val="00D16FCC"/>
    <w:rsid w:val="00D17657"/>
    <w:rsid w:val="00D17E20"/>
    <w:rsid w:val="00D200AB"/>
    <w:rsid w:val="00D206E6"/>
    <w:rsid w:val="00D20805"/>
    <w:rsid w:val="00D20A7C"/>
    <w:rsid w:val="00D20E16"/>
    <w:rsid w:val="00D20E6C"/>
    <w:rsid w:val="00D218B7"/>
    <w:rsid w:val="00D21B7A"/>
    <w:rsid w:val="00D21BED"/>
    <w:rsid w:val="00D22D00"/>
    <w:rsid w:val="00D2395D"/>
    <w:rsid w:val="00D23AFA"/>
    <w:rsid w:val="00D25511"/>
    <w:rsid w:val="00D2605B"/>
    <w:rsid w:val="00D260B0"/>
    <w:rsid w:val="00D26140"/>
    <w:rsid w:val="00D26454"/>
    <w:rsid w:val="00D26BE2"/>
    <w:rsid w:val="00D272D7"/>
    <w:rsid w:val="00D27A12"/>
    <w:rsid w:val="00D301F1"/>
    <w:rsid w:val="00D307E4"/>
    <w:rsid w:val="00D30808"/>
    <w:rsid w:val="00D30A83"/>
    <w:rsid w:val="00D31027"/>
    <w:rsid w:val="00D31041"/>
    <w:rsid w:val="00D313F8"/>
    <w:rsid w:val="00D31851"/>
    <w:rsid w:val="00D31F69"/>
    <w:rsid w:val="00D32447"/>
    <w:rsid w:val="00D32A2B"/>
    <w:rsid w:val="00D32A30"/>
    <w:rsid w:val="00D32BA8"/>
    <w:rsid w:val="00D33143"/>
    <w:rsid w:val="00D33629"/>
    <w:rsid w:val="00D3369A"/>
    <w:rsid w:val="00D336DE"/>
    <w:rsid w:val="00D33945"/>
    <w:rsid w:val="00D33B1D"/>
    <w:rsid w:val="00D34360"/>
    <w:rsid w:val="00D34B1B"/>
    <w:rsid w:val="00D34F7D"/>
    <w:rsid w:val="00D35619"/>
    <w:rsid w:val="00D358FF"/>
    <w:rsid w:val="00D35AF5"/>
    <w:rsid w:val="00D35ED7"/>
    <w:rsid w:val="00D361E0"/>
    <w:rsid w:val="00D36628"/>
    <w:rsid w:val="00D36BF9"/>
    <w:rsid w:val="00D36C38"/>
    <w:rsid w:val="00D36C54"/>
    <w:rsid w:val="00D3714D"/>
    <w:rsid w:val="00D372EC"/>
    <w:rsid w:val="00D3741A"/>
    <w:rsid w:val="00D37692"/>
    <w:rsid w:val="00D37AEA"/>
    <w:rsid w:val="00D37FAF"/>
    <w:rsid w:val="00D4010B"/>
    <w:rsid w:val="00D40C0F"/>
    <w:rsid w:val="00D40D28"/>
    <w:rsid w:val="00D40DB8"/>
    <w:rsid w:val="00D40DE4"/>
    <w:rsid w:val="00D40FDE"/>
    <w:rsid w:val="00D413D4"/>
    <w:rsid w:val="00D41474"/>
    <w:rsid w:val="00D4159A"/>
    <w:rsid w:val="00D4225C"/>
    <w:rsid w:val="00D4275C"/>
    <w:rsid w:val="00D428F3"/>
    <w:rsid w:val="00D43009"/>
    <w:rsid w:val="00D4374B"/>
    <w:rsid w:val="00D43E71"/>
    <w:rsid w:val="00D43F15"/>
    <w:rsid w:val="00D44496"/>
    <w:rsid w:val="00D448AC"/>
    <w:rsid w:val="00D44C64"/>
    <w:rsid w:val="00D44FCB"/>
    <w:rsid w:val="00D453E4"/>
    <w:rsid w:val="00D4577E"/>
    <w:rsid w:val="00D457E0"/>
    <w:rsid w:val="00D45D10"/>
    <w:rsid w:val="00D45ECA"/>
    <w:rsid w:val="00D46138"/>
    <w:rsid w:val="00D4621F"/>
    <w:rsid w:val="00D463B6"/>
    <w:rsid w:val="00D46AAB"/>
    <w:rsid w:val="00D46F40"/>
    <w:rsid w:val="00D47167"/>
    <w:rsid w:val="00D4726C"/>
    <w:rsid w:val="00D47D3B"/>
    <w:rsid w:val="00D501F3"/>
    <w:rsid w:val="00D50308"/>
    <w:rsid w:val="00D50312"/>
    <w:rsid w:val="00D506D1"/>
    <w:rsid w:val="00D50AE8"/>
    <w:rsid w:val="00D51A48"/>
    <w:rsid w:val="00D51BDF"/>
    <w:rsid w:val="00D51FFC"/>
    <w:rsid w:val="00D521CC"/>
    <w:rsid w:val="00D52A9A"/>
    <w:rsid w:val="00D53206"/>
    <w:rsid w:val="00D532F8"/>
    <w:rsid w:val="00D53A9C"/>
    <w:rsid w:val="00D53AEB"/>
    <w:rsid w:val="00D543BE"/>
    <w:rsid w:val="00D5480A"/>
    <w:rsid w:val="00D54950"/>
    <w:rsid w:val="00D55223"/>
    <w:rsid w:val="00D552AC"/>
    <w:rsid w:val="00D55BA6"/>
    <w:rsid w:val="00D55D7F"/>
    <w:rsid w:val="00D55E12"/>
    <w:rsid w:val="00D5609A"/>
    <w:rsid w:val="00D56511"/>
    <w:rsid w:val="00D5657D"/>
    <w:rsid w:val="00D56A91"/>
    <w:rsid w:val="00D56EEC"/>
    <w:rsid w:val="00D572E2"/>
    <w:rsid w:val="00D573DB"/>
    <w:rsid w:val="00D5798F"/>
    <w:rsid w:val="00D602CC"/>
    <w:rsid w:val="00D602E5"/>
    <w:rsid w:val="00D60B0B"/>
    <w:rsid w:val="00D61A75"/>
    <w:rsid w:val="00D61B91"/>
    <w:rsid w:val="00D61FC3"/>
    <w:rsid w:val="00D6301E"/>
    <w:rsid w:val="00D632DC"/>
    <w:rsid w:val="00D63A31"/>
    <w:rsid w:val="00D64002"/>
    <w:rsid w:val="00D640E4"/>
    <w:rsid w:val="00D641BF"/>
    <w:rsid w:val="00D64361"/>
    <w:rsid w:val="00D6461A"/>
    <w:rsid w:val="00D647BD"/>
    <w:rsid w:val="00D64EA4"/>
    <w:rsid w:val="00D65869"/>
    <w:rsid w:val="00D658B1"/>
    <w:rsid w:val="00D65A9B"/>
    <w:rsid w:val="00D66171"/>
    <w:rsid w:val="00D66749"/>
    <w:rsid w:val="00D6685E"/>
    <w:rsid w:val="00D669A1"/>
    <w:rsid w:val="00D6730B"/>
    <w:rsid w:val="00D67374"/>
    <w:rsid w:val="00D67652"/>
    <w:rsid w:val="00D67742"/>
    <w:rsid w:val="00D67899"/>
    <w:rsid w:val="00D6796A"/>
    <w:rsid w:val="00D67B0B"/>
    <w:rsid w:val="00D67BB5"/>
    <w:rsid w:val="00D67E26"/>
    <w:rsid w:val="00D67EDF"/>
    <w:rsid w:val="00D70426"/>
    <w:rsid w:val="00D7070E"/>
    <w:rsid w:val="00D70983"/>
    <w:rsid w:val="00D709F3"/>
    <w:rsid w:val="00D70CCD"/>
    <w:rsid w:val="00D70D36"/>
    <w:rsid w:val="00D71BA9"/>
    <w:rsid w:val="00D721A3"/>
    <w:rsid w:val="00D72307"/>
    <w:rsid w:val="00D7275B"/>
    <w:rsid w:val="00D72B7B"/>
    <w:rsid w:val="00D72D5B"/>
    <w:rsid w:val="00D72F99"/>
    <w:rsid w:val="00D736C8"/>
    <w:rsid w:val="00D7437C"/>
    <w:rsid w:val="00D74A26"/>
    <w:rsid w:val="00D74A57"/>
    <w:rsid w:val="00D74E8F"/>
    <w:rsid w:val="00D75E1B"/>
    <w:rsid w:val="00D75E6E"/>
    <w:rsid w:val="00D76D1C"/>
    <w:rsid w:val="00D76F17"/>
    <w:rsid w:val="00D77316"/>
    <w:rsid w:val="00D77F9D"/>
    <w:rsid w:val="00D802CD"/>
    <w:rsid w:val="00D80588"/>
    <w:rsid w:val="00D80E37"/>
    <w:rsid w:val="00D812C9"/>
    <w:rsid w:val="00D81414"/>
    <w:rsid w:val="00D81453"/>
    <w:rsid w:val="00D817ED"/>
    <w:rsid w:val="00D81B08"/>
    <w:rsid w:val="00D81ED4"/>
    <w:rsid w:val="00D81F7A"/>
    <w:rsid w:val="00D82167"/>
    <w:rsid w:val="00D82250"/>
    <w:rsid w:val="00D824B9"/>
    <w:rsid w:val="00D82B11"/>
    <w:rsid w:val="00D83157"/>
    <w:rsid w:val="00D83683"/>
    <w:rsid w:val="00D83922"/>
    <w:rsid w:val="00D83B5D"/>
    <w:rsid w:val="00D84A65"/>
    <w:rsid w:val="00D86114"/>
    <w:rsid w:val="00D8638E"/>
    <w:rsid w:val="00D87209"/>
    <w:rsid w:val="00D87C68"/>
    <w:rsid w:val="00D9043B"/>
    <w:rsid w:val="00D90751"/>
    <w:rsid w:val="00D90C42"/>
    <w:rsid w:val="00D91063"/>
    <w:rsid w:val="00D91D2B"/>
    <w:rsid w:val="00D91EC7"/>
    <w:rsid w:val="00D92227"/>
    <w:rsid w:val="00D922DA"/>
    <w:rsid w:val="00D92371"/>
    <w:rsid w:val="00D926FA"/>
    <w:rsid w:val="00D93421"/>
    <w:rsid w:val="00D9354C"/>
    <w:rsid w:val="00D938C9"/>
    <w:rsid w:val="00D941AA"/>
    <w:rsid w:val="00D94866"/>
    <w:rsid w:val="00D94B33"/>
    <w:rsid w:val="00D94B58"/>
    <w:rsid w:val="00D94BAE"/>
    <w:rsid w:val="00D94BB9"/>
    <w:rsid w:val="00D94E34"/>
    <w:rsid w:val="00D9534E"/>
    <w:rsid w:val="00D9596A"/>
    <w:rsid w:val="00D965E2"/>
    <w:rsid w:val="00D96AC4"/>
    <w:rsid w:val="00D96CD3"/>
    <w:rsid w:val="00D96FA8"/>
    <w:rsid w:val="00D97017"/>
    <w:rsid w:val="00D974D1"/>
    <w:rsid w:val="00D97673"/>
    <w:rsid w:val="00D9772A"/>
    <w:rsid w:val="00D9779D"/>
    <w:rsid w:val="00D97D20"/>
    <w:rsid w:val="00D97FDF"/>
    <w:rsid w:val="00DA00B5"/>
    <w:rsid w:val="00DA03C1"/>
    <w:rsid w:val="00DA055C"/>
    <w:rsid w:val="00DA0EA2"/>
    <w:rsid w:val="00DA16DD"/>
    <w:rsid w:val="00DA18C3"/>
    <w:rsid w:val="00DA1B85"/>
    <w:rsid w:val="00DA1C4D"/>
    <w:rsid w:val="00DA2E81"/>
    <w:rsid w:val="00DA2E89"/>
    <w:rsid w:val="00DA3833"/>
    <w:rsid w:val="00DA3A30"/>
    <w:rsid w:val="00DA46DF"/>
    <w:rsid w:val="00DA4B58"/>
    <w:rsid w:val="00DA4F23"/>
    <w:rsid w:val="00DA57B2"/>
    <w:rsid w:val="00DA58AE"/>
    <w:rsid w:val="00DA5D4E"/>
    <w:rsid w:val="00DA5FF1"/>
    <w:rsid w:val="00DA6218"/>
    <w:rsid w:val="00DA62B8"/>
    <w:rsid w:val="00DA631E"/>
    <w:rsid w:val="00DA6595"/>
    <w:rsid w:val="00DA6720"/>
    <w:rsid w:val="00DA6A2A"/>
    <w:rsid w:val="00DA7382"/>
    <w:rsid w:val="00DA7B16"/>
    <w:rsid w:val="00DA7C53"/>
    <w:rsid w:val="00DB0995"/>
    <w:rsid w:val="00DB0DBD"/>
    <w:rsid w:val="00DB1293"/>
    <w:rsid w:val="00DB1708"/>
    <w:rsid w:val="00DB1770"/>
    <w:rsid w:val="00DB18FA"/>
    <w:rsid w:val="00DB1DE6"/>
    <w:rsid w:val="00DB1EB8"/>
    <w:rsid w:val="00DB1EC9"/>
    <w:rsid w:val="00DB2985"/>
    <w:rsid w:val="00DB29F9"/>
    <w:rsid w:val="00DB2AA5"/>
    <w:rsid w:val="00DB2CD1"/>
    <w:rsid w:val="00DB2E99"/>
    <w:rsid w:val="00DB36EE"/>
    <w:rsid w:val="00DB38FA"/>
    <w:rsid w:val="00DB3A3E"/>
    <w:rsid w:val="00DB4A97"/>
    <w:rsid w:val="00DB4EB3"/>
    <w:rsid w:val="00DB520F"/>
    <w:rsid w:val="00DB53E9"/>
    <w:rsid w:val="00DB5ABB"/>
    <w:rsid w:val="00DB5BF9"/>
    <w:rsid w:val="00DB5D51"/>
    <w:rsid w:val="00DB604A"/>
    <w:rsid w:val="00DB6114"/>
    <w:rsid w:val="00DB6E53"/>
    <w:rsid w:val="00DB735E"/>
    <w:rsid w:val="00DB739C"/>
    <w:rsid w:val="00DB752E"/>
    <w:rsid w:val="00DB7749"/>
    <w:rsid w:val="00DB7D22"/>
    <w:rsid w:val="00DB7F61"/>
    <w:rsid w:val="00DC023A"/>
    <w:rsid w:val="00DC02F7"/>
    <w:rsid w:val="00DC05C1"/>
    <w:rsid w:val="00DC098D"/>
    <w:rsid w:val="00DC0AF7"/>
    <w:rsid w:val="00DC0B02"/>
    <w:rsid w:val="00DC0C85"/>
    <w:rsid w:val="00DC12EC"/>
    <w:rsid w:val="00DC13DD"/>
    <w:rsid w:val="00DC16A7"/>
    <w:rsid w:val="00DC1BE4"/>
    <w:rsid w:val="00DC2173"/>
    <w:rsid w:val="00DC2B86"/>
    <w:rsid w:val="00DC2FC9"/>
    <w:rsid w:val="00DC32D0"/>
    <w:rsid w:val="00DC3637"/>
    <w:rsid w:val="00DC3A48"/>
    <w:rsid w:val="00DC3B92"/>
    <w:rsid w:val="00DC3BA0"/>
    <w:rsid w:val="00DC473A"/>
    <w:rsid w:val="00DC487D"/>
    <w:rsid w:val="00DC543B"/>
    <w:rsid w:val="00DC65FA"/>
    <w:rsid w:val="00DC67FB"/>
    <w:rsid w:val="00DC6A43"/>
    <w:rsid w:val="00DC6E35"/>
    <w:rsid w:val="00DC73D0"/>
    <w:rsid w:val="00DC772A"/>
    <w:rsid w:val="00DC7D9D"/>
    <w:rsid w:val="00DC7EE1"/>
    <w:rsid w:val="00DD016D"/>
    <w:rsid w:val="00DD06EA"/>
    <w:rsid w:val="00DD1C24"/>
    <w:rsid w:val="00DD2826"/>
    <w:rsid w:val="00DD358F"/>
    <w:rsid w:val="00DD3648"/>
    <w:rsid w:val="00DD3C8E"/>
    <w:rsid w:val="00DD4123"/>
    <w:rsid w:val="00DD472A"/>
    <w:rsid w:val="00DD4831"/>
    <w:rsid w:val="00DD4959"/>
    <w:rsid w:val="00DD4CED"/>
    <w:rsid w:val="00DD4DDE"/>
    <w:rsid w:val="00DD5425"/>
    <w:rsid w:val="00DD5C93"/>
    <w:rsid w:val="00DD606D"/>
    <w:rsid w:val="00DD664C"/>
    <w:rsid w:val="00DD6917"/>
    <w:rsid w:val="00DD6A07"/>
    <w:rsid w:val="00DD71F7"/>
    <w:rsid w:val="00DD7219"/>
    <w:rsid w:val="00DD76A1"/>
    <w:rsid w:val="00DD7BBC"/>
    <w:rsid w:val="00DD7C45"/>
    <w:rsid w:val="00DD7F4F"/>
    <w:rsid w:val="00DE026A"/>
    <w:rsid w:val="00DE0896"/>
    <w:rsid w:val="00DE08BC"/>
    <w:rsid w:val="00DE0C76"/>
    <w:rsid w:val="00DE0D93"/>
    <w:rsid w:val="00DE1239"/>
    <w:rsid w:val="00DE1C81"/>
    <w:rsid w:val="00DE2332"/>
    <w:rsid w:val="00DE355F"/>
    <w:rsid w:val="00DE368A"/>
    <w:rsid w:val="00DE378F"/>
    <w:rsid w:val="00DE399D"/>
    <w:rsid w:val="00DE3A5F"/>
    <w:rsid w:val="00DE3AC1"/>
    <w:rsid w:val="00DE41FF"/>
    <w:rsid w:val="00DE49A4"/>
    <w:rsid w:val="00DE4BAD"/>
    <w:rsid w:val="00DE4C50"/>
    <w:rsid w:val="00DE503F"/>
    <w:rsid w:val="00DE5466"/>
    <w:rsid w:val="00DE5525"/>
    <w:rsid w:val="00DE5A11"/>
    <w:rsid w:val="00DE5DDD"/>
    <w:rsid w:val="00DE641A"/>
    <w:rsid w:val="00DE66BE"/>
    <w:rsid w:val="00DE6918"/>
    <w:rsid w:val="00DE6CEC"/>
    <w:rsid w:val="00DE6E7C"/>
    <w:rsid w:val="00DE7029"/>
    <w:rsid w:val="00DE761A"/>
    <w:rsid w:val="00DE77A3"/>
    <w:rsid w:val="00DE7948"/>
    <w:rsid w:val="00DE7B18"/>
    <w:rsid w:val="00DF029E"/>
    <w:rsid w:val="00DF0DED"/>
    <w:rsid w:val="00DF11B5"/>
    <w:rsid w:val="00DF1BCC"/>
    <w:rsid w:val="00DF1C8A"/>
    <w:rsid w:val="00DF20F7"/>
    <w:rsid w:val="00DF2220"/>
    <w:rsid w:val="00DF3132"/>
    <w:rsid w:val="00DF31A3"/>
    <w:rsid w:val="00DF3BF6"/>
    <w:rsid w:val="00DF4297"/>
    <w:rsid w:val="00DF479C"/>
    <w:rsid w:val="00DF4879"/>
    <w:rsid w:val="00DF4B29"/>
    <w:rsid w:val="00DF5BE1"/>
    <w:rsid w:val="00DF5FB4"/>
    <w:rsid w:val="00DF65E2"/>
    <w:rsid w:val="00DF6CA2"/>
    <w:rsid w:val="00DF7AB2"/>
    <w:rsid w:val="00DF7C19"/>
    <w:rsid w:val="00DF7D45"/>
    <w:rsid w:val="00E007E5"/>
    <w:rsid w:val="00E00ED3"/>
    <w:rsid w:val="00E01538"/>
    <w:rsid w:val="00E01585"/>
    <w:rsid w:val="00E02612"/>
    <w:rsid w:val="00E026D3"/>
    <w:rsid w:val="00E02896"/>
    <w:rsid w:val="00E029BA"/>
    <w:rsid w:val="00E02B05"/>
    <w:rsid w:val="00E032EE"/>
    <w:rsid w:val="00E03B83"/>
    <w:rsid w:val="00E03FC0"/>
    <w:rsid w:val="00E04855"/>
    <w:rsid w:val="00E04A51"/>
    <w:rsid w:val="00E04D5B"/>
    <w:rsid w:val="00E052EA"/>
    <w:rsid w:val="00E05714"/>
    <w:rsid w:val="00E058CD"/>
    <w:rsid w:val="00E0596F"/>
    <w:rsid w:val="00E05BFA"/>
    <w:rsid w:val="00E062CD"/>
    <w:rsid w:val="00E0643C"/>
    <w:rsid w:val="00E065ED"/>
    <w:rsid w:val="00E06A7B"/>
    <w:rsid w:val="00E06B49"/>
    <w:rsid w:val="00E073CB"/>
    <w:rsid w:val="00E073F3"/>
    <w:rsid w:val="00E076A5"/>
    <w:rsid w:val="00E078E8"/>
    <w:rsid w:val="00E100CA"/>
    <w:rsid w:val="00E102E8"/>
    <w:rsid w:val="00E105CA"/>
    <w:rsid w:val="00E10B1F"/>
    <w:rsid w:val="00E10CAB"/>
    <w:rsid w:val="00E114E5"/>
    <w:rsid w:val="00E1228C"/>
    <w:rsid w:val="00E12602"/>
    <w:rsid w:val="00E13996"/>
    <w:rsid w:val="00E13C3E"/>
    <w:rsid w:val="00E140FF"/>
    <w:rsid w:val="00E1433A"/>
    <w:rsid w:val="00E14EFD"/>
    <w:rsid w:val="00E15424"/>
    <w:rsid w:val="00E158FE"/>
    <w:rsid w:val="00E161E9"/>
    <w:rsid w:val="00E16261"/>
    <w:rsid w:val="00E17661"/>
    <w:rsid w:val="00E1767B"/>
    <w:rsid w:val="00E17698"/>
    <w:rsid w:val="00E17902"/>
    <w:rsid w:val="00E201F6"/>
    <w:rsid w:val="00E204F7"/>
    <w:rsid w:val="00E207E3"/>
    <w:rsid w:val="00E21CD1"/>
    <w:rsid w:val="00E21DF2"/>
    <w:rsid w:val="00E21FDB"/>
    <w:rsid w:val="00E223FB"/>
    <w:rsid w:val="00E228D9"/>
    <w:rsid w:val="00E23395"/>
    <w:rsid w:val="00E239A6"/>
    <w:rsid w:val="00E23B51"/>
    <w:rsid w:val="00E24802"/>
    <w:rsid w:val="00E24C3C"/>
    <w:rsid w:val="00E25202"/>
    <w:rsid w:val="00E25491"/>
    <w:rsid w:val="00E2590C"/>
    <w:rsid w:val="00E25BFE"/>
    <w:rsid w:val="00E25CD8"/>
    <w:rsid w:val="00E2721B"/>
    <w:rsid w:val="00E2728A"/>
    <w:rsid w:val="00E3086E"/>
    <w:rsid w:val="00E30BF7"/>
    <w:rsid w:val="00E30C04"/>
    <w:rsid w:val="00E30F6E"/>
    <w:rsid w:val="00E3110C"/>
    <w:rsid w:val="00E31932"/>
    <w:rsid w:val="00E31EF1"/>
    <w:rsid w:val="00E321CA"/>
    <w:rsid w:val="00E32454"/>
    <w:rsid w:val="00E3258D"/>
    <w:rsid w:val="00E3277C"/>
    <w:rsid w:val="00E32C00"/>
    <w:rsid w:val="00E33011"/>
    <w:rsid w:val="00E336E5"/>
    <w:rsid w:val="00E3375A"/>
    <w:rsid w:val="00E33DCE"/>
    <w:rsid w:val="00E3403A"/>
    <w:rsid w:val="00E34237"/>
    <w:rsid w:val="00E34376"/>
    <w:rsid w:val="00E343BF"/>
    <w:rsid w:val="00E3519C"/>
    <w:rsid w:val="00E353D0"/>
    <w:rsid w:val="00E35858"/>
    <w:rsid w:val="00E35C01"/>
    <w:rsid w:val="00E35EE1"/>
    <w:rsid w:val="00E362F0"/>
    <w:rsid w:val="00E36405"/>
    <w:rsid w:val="00E374D5"/>
    <w:rsid w:val="00E37564"/>
    <w:rsid w:val="00E37AE8"/>
    <w:rsid w:val="00E40105"/>
    <w:rsid w:val="00E4066A"/>
    <w:rsid w:val="00E40683"/>
    <w:rsid w:val="00E40745"/>
    <w:rsid w:val="00E409E6"/>
    <w:rsid w:val="00E41282"/>
    <w:rsid w:val="00E424A0"/>
    <w:rsid w:val="00E4283E"/>
    <w:rsid w:val="00E4316D"/>
    <w:rsid w:val="00E4354E"/>
    <w:rsid w:val="00E43B57"/>
    <w:rsid w:val="00E43CB3"/>
    <w:rsid w:val="00E43E88"/>
    <w:rsid w:val="00E446E5"/>
    <w:rsid w:val="00E44ABF"/>
    <w:rsid w:val="00E44C34"/>
    <w:rsid w:val="00E454AD"/>
    <w:rsid w:val="00E459A4"/>
    <w:rsid w:val="00E459E9"/>
    <w:rsid w:val="00E45EC4"/>
    <w:rsid w:val="00E45FB8"/>
    <w:rsid w:val="00E46789"/>
    <w:rsid w:val="00E47012"/>
    <w:rsid w:val="00E47151"/>
    <w:rsid w:val="00E47226"/>
    <w:rsid w:val="00E47C5F"/>
    <w:rsid w:val="00E5047F"/>
    <w:rsid w:val="00E5081C"/>
    <w:rsid w:val="00E508BF"/>
    <w:rsid w:val="00E5091B"/>
    <w:rsid w:val="00E50A63"/>
    <w:rsid w:val="00E50E59"/>
    <w:rsid w:val="00E52005"/>
    <w:rsid w:val="00E520BA"/>
    <w:rsid w:val="00E52484"/>
    <w:rsid w:val="00E528EA"/>
    <w:rsid w:val="00E529B1"/>
    <w:rsid w:val="00E52CC5"/>
    <w:rsid w:val="00E52D04"/>
    <w:rsid w:val="00E535A8"/>
    <w:rsid w:val="00E53671"/>
    <w:rsid w:val="00E54482"/>
    <w:rsid w:val="00E5490E"/>
    <w:rsid w:val="00E54CA1"/>
    <w:rsid w:val="00E55213"/>
    <w:rsid w:val="00E555D2"/>
    <w:rsid w:val="00E55D62"/>
    <w:rsid w:val="00E5620C"/>
    <w:rsid w:val="00E56319"/>
    <w:rsid w:val="00E56437"/>
    <w:rsid w:val="00E577E9"/>
    <w:rsid w:val="00E57859"/>
    <w:rsid w:val="00E57E1A"/>
    <w:rsid w:val="00E57F98"/>
    <w:rsid w:val="00E6060B"/>
    <w:rsid w:val="00E61142"/>
    <w:rsid w:val="00E61587"/>
    <w:rsid w:val="00E61BB0"/>
    <w:rsid w:val="00E61EC8"/>
    <w:rsid w:val="00E624A0"/>
    <w:rsid w:val="00E633C3"/>
    <w:rsid w:val="00E633F1"/>
    <w:rsid w:val="00E636F5"/>
    <w:rsid w:val="00E636FD"/>
    <w:rsid w:val="00E6378B"/>
    <w:rsid w:val="00E63DFA"/>
    <w:rsid w:val="00E64617"/>
    <w:rsid w:val="00E65015"/>
    <w:rsid w:val="00E6542B"/>
    <w:rsid w:val="00E6548E"/>
    <w:rsid w:val="00E65D92"/>
    <w:rsid w:val="00E663CF"/>
    <w:rsid w:val="00E66418"/>
    <w:rsid w:val="00E669D9"/>
    <w:rsid w:val="00E66D16"/>
    <w:rsid w:val="00E66D5D"/>
    <w:rsid w:val="00E674F1"/>
    <w:rsid w:val="00E67541"/>
    <w:rsid w:val="00E6763F"/>
    <w:rsid w:val="00E6773F"/>
    <w:rsid w:val="00E70037"/>
    <w:rsid w:val="00E70737"/>
    <w:rsid w:val="00E70976"/>
    <w:rsid w:val="00E70A84"/>
    <w:rsid w:val="00E71356"/>
    <w:rsid w:val="00E7137F"/>
    <w:rsid w:val="00E7161D"/>
    <w:rsid w:val="00E72291"/>
    <w:rsid w:val="00E72897"/>
    <w:rsid w:val="00E72BEB"/>
    <w:rsid w:val="00E72E41"/>
    <w:rsid w:val="00E73712"/>
    <w:rsid w:val="00E73AA5"/>
    <w:rsid w:val="00E73D0D"/>
    <w:rsid w:val="00E73EAE"/>
    <w:rsid w:val="00E74254"/>
    <w:rsid w:val="00E7562E"/>
    <w:rsid w:val="00E75926"/>
    <w:rsid w:val="00E7629E"/>
    <w:rsid w:val="00E763A2"/>
    <w:rsid w:val="00E768D4"/>
    <w:rsid w:val="00E7696C"/>
    <w:rsid w:val="00E76DD1"/>
    <w:rsid w:val="00E7708D"/>
    <w:rsid w:val="00E77E05"/>
    <w:rsid w:val="00E80450"/>
    <w:rsid w:val="00E804FD"/>
    <w:rsid w:val="00E80540"/>
    <w:rsid w:val="00E805B8"/>
    <w:rsid w:val="00E80793"/>
    <w:rsid w:val="00E80AE7"/>
    <w:rsid w:val="00E80AF1"/>
    <w:rsid w:val="00E80B36"/>
    <w:rsid w:val="00E81025"/>
    <w:rsid w:val="00E8108A"/>
    <w:rsid w:val="00E810C1"/>
    <w:rsid w:val="00E81283"/>
    <w:rsid w:val="00E8130A"/>
    <w:rsid w:val="00E8144A"/>
    <w:rsid w:val="00E81915"/>
    <w:rsid w:val="00E81A0C"/>
    <w:rsid w:val="00E81B3F"/>
    <w:rsid w:val="00E8265E"/>
    <w:rsid w:val="00E82E8A"/>
    <w:rsid w:val="00E82FD3"/>
    <w:rsid w:val="00E83357"/>
    <w:rsid w:val="00E83405"/>
    <w:rsid w:val="00E838D1"/>
    <w:rsid w:val="00E83F01"/>
    <w:rsid w:val="00E842AF"/>
    <w:rsid w:val="00E847EA"/>
    <w:rsid w:val="00E84D86"/>
    <w:rsid w:val="00E851A8"/>
    <w:rsid w:val="00E85646"/>
    <w:rsid w:val="00E8576F"/>
    <w:rsid w:val="00E85937"/>
    <w:rsid w:val="00E86003"/>
    <w:rsid w:val="00E86773"/>
    <w:rsid w:val="00E86AC3"/>
    <w:rsid w:val="00E87076"/>
    <w:rsid w:val="00E874A6"/>
    <w:rsid w:val="00E9026D"/>
    <w:rsid w:val="00E905BB"/>
    <w:rsid w:val="00E90644"/>
    <w:rsid w:val="00E90D1A"/>
    <w:rsid w:val="00E916FE"/>
    <w:rsid w:val="00E91952"/>
    <w:rsid w:val="00E91EF9"/>
    <w:rsid w:val="00E921BF"/>
    <w:rsid w:val="00E92778"/>
    <w:rsid w:val="00E92FBF"/>
    <w:rsid w:val="00E938B3"/>
    <w:rsid w:val="00E938D5"/>
    <w:rsid w:val="00E93DC1"/>
    <w:rsid w:val="00E93F0E"/>
    <w:rsid w:val="00E947C4"/>
    <w:rsid w:val="00E948E7"/>
    <w:rsid w:val="00E94B85"/>
    <w:rsid w:val="00E94DFD"/>
    <w:rsid w:val="00E950A9"/>
    <w:rsid w:val="00E9638F"/>
    <w:rsid w:val="00E96458"/>
    <w:rsid w:val="00E964E6"/>
    <w:rsid w:val="00E96B61"/>
    <w:rsid w:val="00E96E04"/>
    <w:rsid w:val="00E96F6A"/>
    <w:rsid w:val="00E972E4"/>
    <w:rsid w:val="00E97CD2"/>
    <w:rsid w:val="00E97E3B"/>
    <w:rsid w:val="00EA02AB"/>
    <w:rsid w:val="00EA0C8B"/>
    <w:rsid w:val="00EA0E5D"/>
    <w:rsid w:val="00EA158E"/>
    <w:rsid w:val="00EA1C73"/>
    <w:rsid w:val="00EA24A7"/>
    <w:rsid w:val="00EA2794"/>
    <w:rsid w:val="00EA2B53"/>
    <w:rsid w:val="00EA2E48"/>
    <w:rsid w:val="00EA2FE8"/>
    <w:rsid w:val="00EA3D57"/>
    <w:rsid w:val="00EA412C"/>
    <w:rsid w:val="00EA4281"/>
    <w:rsid w:val="00EA451B"/>
    <w:rsid w:val="00EA4633"/>
    <w:rsid w:val="00EA46E3"/>
    <w:rsid w:val="00EA4C0A"/>
    <w:rsid w:val="00EA4D2E"/>
    <w:rsid w:val="00EA4E95"/>
    <w:rsid w:val="00EA5469"/>
    <w:rsid w:val="00EA6198"/>
    <w:rsid w:val="00EA650A"/>
    <w:rsid w:val="00EA6699"/>
    <w:rsid w:val="00EA6A00"/>
    <w:rsid w:val="00EA709E"/>
    <w:rsid w:val="00EA70C5"/>
    <w:rsid w:val="00EA7DEB"/>
    <w:rsid w:val="00EB03A7"/>
    <w:rsid w:val="00EB064F"/>
    <w:rsid w:val="00EB06A7"/>
    <w:rsid w:val="00EB089A"/>
    <w:rsid w:val="00EB0908"/>
    <w:rsid w:val="00EB0A0F"/>
    <w:rsid w:val="00EB0A3B"/>
    <w:rsid w:val="00EB0D8F"/>
    <w:rsid w:val="00EB0D90"/>
    <w:rsid w:val="00EB1DEF"/>
    <w:rsid w:val="00EB27D2"/>
    <w:rsid w:val="00EB286F"/>
    <w:rsid w:val="00EB37A2"/>
    <w:rsid w:val="00EB3B68"/>
    <w:rsid w:val="00EB55B9"/>
    <w:rsid w:val="00EB560C"/>
    <w:rsid w:val="00EB59B9"/>
    <w:rsid w:val="00EB5C9E"/>
    <w:rsid w:val="00EB6BC0"/>
    <w:rsid w:val="00EB6DF5"/>
    <w:rsid w:val="00EB748E"/>
    <w:rsid w:val="00EB7827"/>
    <w:rsid w:val="00EC04D1"/>
    <w:rsid w:val="00EC097A"/>
    <w:rsid w:val="00EC0A30"/>
    <w:rsid w:val="00EC139A"/>
    <w:rsid w:val="00EC191D"/>
    <w:rsid w:val="00EC1F55"/>
    <w:rsid w:val="00EC2A37"/>
    <w:rsid w:val="00EC3382"/>
    <w:rsid w:val="00EC3410"/>
    <w:rsid w:val="00EC39DA"/>
    <w:rsid w:val="00EC3BCE"/>
    <w:rsid w:val="00EC3E02"/>
    <w:rsid w:val="00EC3E9C"/>
    <w:rsid w:val="00EC3FD3"/>
    <w:rsid w:val="00EC4263"/>
    <w:rsid w:val="00EC489D"/>
    <w:rsid w:val="00EC5485"/>
    <w:rsid w:val="00EC55C4"/>
    <w:rsid w:val="00EC5AF4"/>
    <w:rsid w:val="00EC5B04"/>
    <w:rsid w:val="00EC6158"/>
    <w:rsid w:val="00EC619B"/>
    <w:rsid w:val="00EC7030"/>
    <w:rsid w:val="00EC7207"/>
    <w:rsid w:val="00EC73FF"/>
    <w:rsid w:val="00EC7C35"/>
    <w:rsid w:val="00ED021A"/>
    <w:rsid w:val="00ED0560"/>
    <w:rsid w:val="00ED0AE2"/>
    <w:rsid w:val="00ED0C5F"/>
    <w:rsid w:val="00ED1526"/>
    <w:rsid w:val="00ED1C29"/>
    <w:rsid w:val="00ED1F7B"/>
    <w:rsid w:val="00ED20F3"/>
    <w:rsid w:val="00ED2C72"/>
    <w:rsid w:val="00ED2E74"/>
    <w:rsid w:val="00ED306B"/>
    <w:rsid w:val="00ED3719"/>
    <w:rsid w:val="00ED39A7"/>
    <w:rsid w:val="00ED3A0A"/>
    <w:rsid w:val="00ED3D65"/>
    <w:rsid w:val="00ED3EE1"/>
    <w:rsid w:val="00ED3F20"/>
    <w:rsid w:val="00ED42ED"/>
    <w:rsid w:val="00ED4D52"/>
    <w:rsid w:val="00ED501C"/>
    <w:rsid w:val="00ED592C"/>
    <w:rsid w:val="00ED5DF5"/>
    <w:rsid w:val="00ED5F9B"/>
    <w:rsid w:val="00ED6062"/>
    <w:rsid w:val="00ED606A"/>
    <w:rsid w:val="00ED606E"/>
    <w:rsid w:val="00ED628E"/>
    <w:rsid w:val="00ED65AF"/>
    <w:rsid w:val="00ED6723"/>
    <w:rsid w:val="00ED7570"/>
    <w:rsid w:val="00ED7742"/>
    <w:rsid w:val="00ED7872"/>
    <w:rsid w:val="00ED7CA0"/>
    <w:rsid w:val="00ED7D10"/>
    <w:rsid w:val="00EE07DE"/>
    <w:rsid w:val="00EE1032"/>
    <w:rsid w:val="00EE104F"/>
    <w:rsid w:val="00EE1A64"/>
    <w:rsid w:val="00EE1D4B"/>
    <w:rsid w:val="00EE1FE6"/>
    <w:rsid w:val="00EE252F"/>
    <w:rsid w:val="00EE2D29"/>
    <w:rsid w:val="00EE2FAA"/>
    <w:rsid w:val="00EE3137"/>
    <w:rsid w:val="00EE34C5"/>
    <w:rsid w:val="00EE3FDC"/>
    <w:rsid w:val="00EE4651"/>
    <w:rsid w:val="00EE4807"/>
    <w:rsid w:val="00EE48EB"/>
    <w:rsid w:val="00EE498F"/>
    <w:rsid w:val="00EE4AD3"/>
    <w:rsid w:val="00EE4CC8"/>
    <w:rsid w:val="00EE4D77"/>
    <w:rsid w:val="00EE4FBD"/>
    <w:rsid w:val="00EE54D1"/>
    <w:rsid w:val="00EE581B"/>
    <w:rsid w:val="00EE58B3"/>
    <w:rsid w:val="00EE6586"/>
    <w:rsid w:val="00EE6ACF"/>
    <w:rsid w:val="00EE6F28"/>
    <w:rsid w:val="00EE72A7"/>
    <w:rsid w:val="00EE77A8"/>
    <w:rsid w:val="00EE77F5"/>
    <w:rsid w:val="00EE7871"/>
    <w:rsid w:val="00EE7B7B"/>
    <w:rsid w:val="00EE7D98"/>
    <w:rsid w:val="00EF057B"/>
    <w:rsid w:val="00EF0ECA"/>
    <w:rsid w:val="00EF127A"/>
    <w:rsid w:val="00EF134C"/>
    <w:rsid w:val="00EF15C9"/>
    <w:rsid w:val="00EF1EFA"/>
    <w:rsid w:val="00EF21D9"/>
    <w:rsid w:val="00EF2ABF"/>
    <w:rsid w:val="00EF347E"/>
    <w:rsid w:val="00EF372A"/>
    <w:rsid w:val="00EF3C06"/>
    <w:rsid w:val="00EF3C6C"/>
    <w:rsid w:val="00EF3F8F"/>
    <w:rsid w:val="00EF4134"/>
    <w:rsid w:val="00EF4296"/>
    <w:rsid w:val="00EF4297"/>
    <w:rsid w:val="00EF489B"/>
    <w:rsid w:val="00EF55D0"/>
    <w:rsid w:val="00EF581D"/>
    <w:rsid w:val="00EF5BAA"/>
    <w:rsid w:val="00EF5D53"/>
    <w:rsid w:val="00EF6275"/>
    <w:rsid w:val="00EF630B"/>
    <w:rsid w:val="00EF6525"/>
    <w:rsid w:val="00EF65F4"/>
    <w:rsid w:val="00EF6C84"/>
    <w:rsid w:val="00EF6E9C"/>
    <w:rsid w:val="00EF7142"/>
    <w:rsid w:val="00EF714B"/>
    <w:rsid w:val="00EF73C5"/>
    <w:rsid w:val="00EF7FD6"/>
    <w:rsid w:val="00F00E11"/>
    <w:rsid w:val="00F01094"/>
    <w:rsid w:val="00F010FA"/>
    <w:rsid w:val="00F01114"/>
    <w:rsid w:val="00F018D7"/>
    <w:rsid w:val="00F01AE3"/>
    <w:rsid w:val="00F01D04"/>
    <w:rsid w:val="00F01E1A"/>
    <w:rsid w:val="00F02921"/>
    <w:rsid w:val="00F02CF2"/>
    <w:rsid w:val="00F03202"/>
    <w:rsid w:val="00F03615"/>
    <w:rsid w:val="00F036EC"/>
    <w:rsid w:val="00F0482E"/>
    <w:rsid w:val="00F0547F"/>
    <w:rsid w:val="00F063FA"/>
    <w:rsid w:val="00F06414"/>
    <w:rsid w:val="00F06823"/>
    <w:rsid w:val="00F06E3F"/>
    <w:rsid w:val="00F06F0F"/>
    <w:rsid w:val="00F0793E"/>
    <w:rsid w:val="00F07E46"/>
    <w:rsid w:val="00F1055C"/>
    <w:rsid w:val="00F105E5"/>
    <w:rsid w:val="00F10CE4"/>
    <w:rsid w:val="00F10F99"/>
    <w:rsid w:val="00F1170E"/>
    <w:rsid w:val="00F119EB"/>
    <w:rsid w:val="00F12A0D"/>
    <w:rsid w:val="00F12CA2"/>
    <w:rsid w:val="00F136DA"/>
    <w:rsid w:val="00F13834"/>
    <w:rsid w:val="00F1395B"/>
    <w:rsid w:val="00F13F7C"/>
    <w:rsid w:val="00F142A3"/>
    <w:rsid w:val="00F142C6"/>
    <w:rsid w:val="00F14431"/>
    <w:rsid w:val="00F147B8"/>
    <w:rsid w:val="00F14813"/>
    <w:rsid w:val="00F14D21"/>
    <w:rsid w:val="00F15420"/>
    <w:rsid w:val="00F158A9"/>
    <w:rsid w:val="00F159ED"/>
    <w:rsid w:val="00F15F93"/>
    <w:rsid w:val="00F16B87"/>
    <w:rsid w:val="00F17588"/>
    <w:rsid w:val="00F17B28"/>
    <w:rsid w:val="00F17B51"/>
    <w:rsid w:val="00F200D4"/>
    <w:rsid w:val="00F20987"/>
    <w:rsid w:val="00F20A6C"/>
    <w:rsid w:val="00F21008"/>
    <w:rsid w:val="00F2132E"/>
    <w:rsid w:val="00F214E2"/>
    <w:rsid w:val="00F21533"/>
    <w:rsid w:val="00F21E1A"/>
    <w:rsid w:val="00F220D8"/>
    <w:rsid w:val="00F226DE"/>
    <w:rsid w:val="00F227C9"/>
    <w:rsid w:val="00F2289E"/>
    <w:rsid w:val="00F23AD2"/>
    <w:rsid w:val="00F23D49"/>
    <w:rsid w:val="00F2431B"/>
    <w:rsid w:val="00F24556"/>
    <w:rsid w:val="00F245A3"/>
    <w:rsid w:val="00F24DE3"/>
    <w:rsid w:val="00F2546D"/>
    <w:rsid w:val="00F260A5"/>
    <w:rsid w:val="00F26E4E"/>
    <w:rsid w:val="00F26F3A"/>
    <w:rsid w:val="00F27371"/>
    <w:rsid w:val="00F27C94"/>
    <w:rsid w:val="00F30150"/>
    <w:rsid w:val="00F30338"/>
    <w:rsid w:val="00F307CA"/>
    <w:rsid w:val="00F30B51"/>
    <w:rsid w:val="00F31A10"/>
    <w:rsid w:val="00F3239C"/>
    <w:rsid w:val="00F32B0F"/>
    <w:rsid w:val="00F32D2C"/>
    <w:rsid w:val="00F32F06"/>
    <w:rsid w:val="00F32F78"/>
    <w:rsid w:val="00F3335A"/>
    <w:rsid w:val="00F3349D"/>
    <w:rsid w:val="00F33AF7"/>
    <w:rsid w:val="00F344FE"/>
    <w:rsid w:val="00F3465B"/>
    <w:rsid w:val="00F3476B"/>
    <w:rsid w:val="00F35653"/>
    <w:rsid w:val="00F358EA"/>
    <w:rsid w:val="00F3650D"/>
    <w:rsid w:val="00F36DC7"/>
    <w:rsid w:val="00F36F3A"/>
    <w:rsid w:val="00F3701B"/>
    <w:rsid w:val="00F37ADB"/>
    <w:rsid w:val="00F4004A"/>
    <w:rsid w:val="00F400B8"/>
    <w:rsid w:val="00F400D2"/>
    <w:rsid w:val="00F40652"/>
    <w:rsid w:val="00F40803"/>
    <w:rsid w:val="00F40D17"/>
    <w:rsid w:val="00F40F3F"/>
    <w:rsid w:val="00F410E9"/>
    <w:rsid w:val="00F41F6F"/>
    <w:rsid w:val="00F426B7"/>
    <w:rsid w:val="00F427AA"/>
    <w:rsid w:val="00F4281F"/>
    <w:rsid w:val="00F42A4A"/>
    <w:rsid w:val="00F42AA7"/>
    <w:rsid w:val="00F42FF3"/>
    <w:rsid w:val="00F4341B"/>
    <w:rsid w:val="00F43604"/>
    <w:rsid w:val="00F43801"/>
    <w:rsid w:val="00F43D21"/>
    <w:rsid w:val="00F43D8F"/>
    <w:rsid w:val="00F44D28"/>
    <w:rsid w:val="00F44FA9"/>
    <w:rsid w:val="00F46437"/>
    <w:rsid w:val="00F46D83"/>
    <w:rsid w:val="00F46E8B"/>
    <w:rsid w:val="00F47A43"/>
    <w:rsid w:val="00F47D0D"/>
    <w:rsid w:val="00F47D2F"/>
    <w:rsid w:val="00F47EFA"/>
    <w:rsid w:val="00F509E4"/>
    <w:rsid w:val="00F50B85"/>
    <w:rsid w:val="00F517DB"/>
    <w:rsid w:val="00F520AA"/>
    <w:rsid w:val="00F52106"/>
    <w:rsid w:val="00F5216D"/>
    <w:rsid w:val="00F522DA"/>
    <w:rsid w:val="00F52A12"/>
    <w:rsid w:val="00F53514"/>
    <w:rsid w:val="00F53A7E"/>
    <w:rsid w:val="00F53ADE"/>
    <w:rsid w:val="00F53F7B"/>
    <w:rsid w:val="00F53FF0"/>
    <w:rsid w:val="00F544E7"/>
    <w:rsid w:val="00F54609"/>
    <w:rsid w:val="00F5481E"/>
    <w:rsid w:val="00F54BCE"/>
    <w:rsid w:val="00F559BE"/>
    <w:rsid w:val="00F55F9F"/>
    <w:rsid w:val="00F56066"/>
    <w:rsid w:val="00F56264"/>
    <w:rsid w:val="00F56772"/>
    <w:rsid w:val="00F6019C"/>
    <w:rsid w:val="00F60874"/>
    <w:rsid w:val="00F60C0B"/>
    <w:rsid w:val="00F60D84"/>
    <w:rsid w:val="00F6159C"/>
    <w:rsid w:val="00F61887"/>
    <w:rsid w:val="00F6199B"/>
    <w:rsid w:val="00F6274B"/>
    <w:rsid w:val="00F6357B"/>
    <w:rsid w:val="00F64768"/>
    <w:rsid w:val="00F64C89"/>
    <w:rsid w:val="00F64D2C"/>
    <w:rsid w:val="00F655E0"/>
    <w:rsid w:val="00F65930"/>
    <w:rsid w:val="00F65B6C"/>
    <w:rsid w:val="00F65E39"/>
    <w:rsid w:val="00F672E7"/>
    <w:rsid w:val="00F6745D"/>
    <w:rsid w:val="00F676A2"/>
    <w:rsid w:val="00F67746"/>
    <w:rsid w:val="00F6792E"/>
    <w:rsid w:val="00F701F9"/>
    <w:rsid w:val="00F70DCD"/>
    <w:rsid w:val="00F71156"/>
    <w:rsid w:val="00F71782"/>
    <w:rsid w:val="00F71A7B"/>
    <w:rsid w:val="00F71A93"/>
    <w:rsid w:val="00F71FDC"/>
    <w:rsid w:val="00F7219E"/>
    <w:rsid w:val="00F72874"/>
    <w:rsid w:val="00F729BB"/>
    <w:rsid w:val="00F72F07"/>
    <w:rsid w:val="00F72FAE"/>
    <w:rsid w:val="00F73F43"/>
    <w:rsid w:val="00F740B8"/>
    <w:rsid w:val="00F747F1"/>
    <w:rsid w:val="00F74A1F"/>
    <w:rsid w:val="00F74BE0"/>
    <w:rsid w:val="00F74C3A"/>
    <w:rsid w:val="00F75482"/>
    <w:rsid w:val="00F75A9F"/>
    <w:rsid w:val="00F75C90"/>
    <w:rsid w:val="00F7634B"/>
    <w:rsid w:val="00F76DDD"/>
    <w:rsid w:val="00F7707D"/>
    <w:rsid w:val="00F771D6"/>
    <w:rsid w:val="00F77505"/>
    <w:rsid w:val="00F77D11"/>
    <w:rsid w:val="00F77E8B"/>
    <w:rsid w:val="00F77ED2"/>
    <w:rsid w:val="00F80AA3"/>
    <w:rsid w:val="00F80BA7"/>
    <w:rsid w:val="00F81543"/>
    <w:rsid w:val="00F81848"/>
    <w:rsid w:val="00F818DC"/>
    <w:rsid w:val="00F81B41"/>
    <w:rsid w:val="00F8203F"/>
    <w:rsid w:val="00F82340"/>
    <w:rsid w:val="00F82AA2"/>
    <w:rsid w:val="00F8368A"/>
    <w:rsid w:val="00F83ABA"/>
    <w:rsid w:val="00F83CE5"/>
    <w:rsid w:val="00F840EB"/>
    <w:rsid w:val="00F84144"/>
    <w:rsid w:val="00F848E0"/>
    <w:rsid w:val="00F86017"/>
    <w:rsid w:val="00F86FCD"/>
    <w:rsid w:val="00F873AA"/>
    <w:rsid w:val="00F879E1"/>
    <w:rsid w:val="00F903D4"/>
    <w:rsid w:val="00F9072E"/>
    <w:rsid w:val="00F90966"/>
    <w:rsid w:val="00F9113B"/>
    <w:rsid w:val="00F913A5"/>
    <w:rsid w:val="00F923C8"/>
    <w:rsid w:val="00F924CC"/>
    <w:rsid w:val="00F92AFA"/>
    <w:rsid w:val="00F93A86"/>
    <w:rsid w:val="00F93DBB"/>
    <w:rsid w:val="00F94488"/>
    <w:rsid w:val="00F94CBD"/>
    <w:rsid w:val="00F94FC6"/>
    <w:rsid w:val="00F94FF2"/>
    <w:rsid w:val="00F957DF"/>
    <w:rsid w:val="00F968C2"/>
    <w:rsid w:val="00F96C9D"/>
    <w:rsid w:val="00F96CA9"/>
    <w:rsid w:val="00F96D0A"/>
    <w:rsid w:val="00F96D9E"/>
    <w:rsid w:val="00F96E0D"/>
    <w:rsid w:val="00F96E1C"/>
    <w:rsid w:val="00F96E43"/>
    <w:rsid w:val="00F97179"/>
    <w:rsid w:val="00F97642"/>
    <w:rsid w:val="00F97717"/>
    <w:rsid w:val="00FA0506"/>
    <w:rsid w:val="00FA062C"/>
    <w:rsid w:val="00FA0D9B"/>
    <w:rsid w:val="00FA0F2F"/>
    <w:rsid w:val="00FA124F"/>
    <w:rsid w:val="00FA125F"/>
    <w:rsid w:val="00FA1288"/>
    <w:rsid w:val="00FA146A"/>
    <w:rsid w:val="00FA1DF2"/>
    <w:rsid w:val="00FA3D8B"/>
    <w:rsid w:val="00FA3DF6"/>
    <w:rsid w:val="00FA48FB"/>
    <w:rsid w:val="00FA4BC8"/>
    <w:rsid w:val="00FA5148"/>
    <w:rsid w:val="00FA5394"/>
    <w:rsid w:val="00FA55FC"/>
    <w:rsid w:val="00FA5CEA"/>
    <w:rsid w:val="00FA5F80"/>
    <w:rsid w:val="00FA6278"/>
    <w:rsid w:val="00FA6535"/>
    <w:rsid w:val="00FA6817"/>
    <w:rsid w:val="00FA6A16"/>
    <w:rsid w:val="00FA7079"/>
    <w:rsid w:val="00FA71DB"/>
    <w:rsid w:val="00FA7FA3"/>
    <w:rsid w:val="00FB0122"/>
    <w:rsid w:val="00FB067A"/>
    <w:rsid w:val="00FB0BD4"/>
    <w:rsid w:val="00FB0D46"/>
    <w:rsid w:val="00FB0DB2"/>
    <w:rsid w:val="00FB1451"/>
    <w:rsid w:val="00FB158F"/>
    <w:rsid w:val="00FB1A2A"/>
    <w:rsid w:val="00FB2085"/>
    <w:rsid w:val="00FB27A6"/>
    <w:rsid w:val="00FB2FCC"/>
    <w:rsid w:val="00FB40B6"/>
    <w:rsid w:val="00FB5035"/>
    <w:rsid w:val="00FB5126"/>
    <w:rsid w:val="00FB547D"/>
    <w:rsid w:val="00FB58DD"/>
    <w:rsid w:val="00FB5C82"/>
    <w:rsid w:val="00FB5DC5"/>
    <w:rsid w:val="00FB6622"/>
    <w:rsid w:val="00FB6EC8"/>
    <w:rsid w:val="00FB76AB"/>
    <w:rsid w:val="00FB7D57"/>
    <w:rsid w:val="00FC01BD"/>
    <w:rsid w:val="00FC02D9"/>
    <w:rsid w:val="00FC0458"/>
    <w:rsid w:val="00FC05B4"/>
    <w:rsid w:val="00FC0FE9"/>
    <w:rsid w:val="00FC17EC"/>
    <w:rsid w:val="00FC195B"/>
    <w:rsid w:val="00FC1DE4"/>
    <w:rsid w:val="00FC1E89"/>
    <w:rsid w:val="00FC1F80"/>
    <w:rsid w:val="00FC21D8"/>
    <w:rsid w:val="00FC2C90"/>
    <w:rsid w:val="00FC31B1"/>
    <w:rsid w:val="00FC340A"/>
    <w:rsid w:val="00FC3BA7"/>
    <w:rsid w:val="00FC4575"/>
    <w:rsid w:val="00FC461E"/>
    <w:rsid w:val="00FC4D25"/>
    <w:rsid w:val="00FC5BBA"/>
    <w:rsid w:val="00FC5C92"/>
    <w:rsid w:val="00FC6195"/>
    <w:rsid w:val="00FC62D6"/>
    <w:rsid w:val="00FC6AE8"/>
    <w:rsid w:val="00FC6EE1"/>
    <w:rsid w:val="00FD0091"/>
    <w:rsid w:val="00FD0348"/>
    <w:rsid w:val="00FD0A94"/>
    <w:rsid w:val="00FD1198"/>
    <w:rsid w:val="00FD1890"/>
    <w:rsid w:val="00FD1A8C"/>
    <w:rsid w:val="00FD1F50"/>
    <w:rsid w:val="00FD2A40"/>
    <w:rsid w:val="00FD36BC"/>
    <w:rsid w:val="00FD3A8F"/>
    <w:rsid w:val="00FD4879"/>
    <w:rsid w:val="00FD49F6"/>
    <w:rsid w:val="00FD4F78"/>
    <w:rsid w:val="00FD50CC"/>
    <w:rsid w:val="00FD52DD"/>
    <w:rsid w:val="00FD551A"/>
    <w:rsid w:val="00FD612C"/>
    <w:rsid w:val="00FD6155"/>
    <w:rsid w:val="00FD616E"/>
    <w:rsid w:val="00FD6216"/>
    <w:rsid w:val="00FD6EA7"/>
    <w:rsid w:val="00FD6F9D"/>
    <w:rsid w:val="00FD6FE0"/>
    <w:rsid w:val="00FD7475"/>
    <w:rsid w:val="00FD7D1F"/>
    <w:rsid w:val="00FD7FC7"/>
    <w:rsid w:val="00FE0335"/>
    <w:rsid w:val="00FE08E6"/>
    <w:rsid w:val="00FE0C26"/>
    <w:rsid w:val="00FE19F5"/>
    <w:rsid w:val="00FE1B6D"/>
    <w:rsid w:val="00FE1C92"/>
    <w:rsid w:val="00FE2710"/>
    <w:rsid w:val="00FE281F"/>
    <w:rsid w:val="00FE2FA4"/>
    <w:rsid w:val="00FE3991"/>
    <w:rsid w:val="00FE3B5D"/>
    <w:rsid w:val="00FE4820"/>
    <w:rsid w:val="00FE4886"/>
    <w:rsid w:val="00FE4AAB"/>
    <w:rsid w:val="00FE5517"/>
    <w:rsid w:val="00FE5A09"/>
    <w:rsid w:val="00FE69D4"/>
    <w:rsid w:val="00FE746E"/>
    <w:rsid w:val="00FE764B"/>
    <w:rsid w:val="00FE79FE"/>
    <w:rsid w:val="00FF0236"/>
    <w:rsid w:val="00FF0691"/>
    <w:rsid w:val="00FF09F6"/>
    <w:rsid w:val="00FF18D7"/>
    <w:rsid w:val="00FF1998"/>
    <w:rsid w:val="00FF1D7C"/>
    <w:rsid w:val="00FF25E1"/>
    <w:rsid w:val="00FF3551"/>
    <w:rsid w:val="00FF3D3D"/>
    <w:rsid w:val="00FF4000"/>
    <w:rsid w:val="00FF4253"/>
    <w:rsid w:val="00FF5596"/>
    <w:rsid w:val="00FF55E3"/>
    <w:rsid w:val="00FF5A7E"/>
    <w:rsid w:val="00FF5F15"/>
    <w:rsid w:val="00FF65DE"/>
    <w:rsid w:val="00FF6D9C"/>
    <w:rsid w:val="00FF7027"/>
    <w:rsid w:val="00FF7F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46FC54C0"/>
  <w15:docId w15:val="{6ECDC64C-63C5-44E1-8ADD-F20CD7D11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C9656A"/>
    <w:rPr>
      <w:sz w:val="22"/>
    </w:rPr>
  </w:style>
  <w:style w:type="paragraph" w:styleId="1">
    <w:name w:val="heading 1"/>
    <w:basedOn w:val="a"/>
    <w:next w:val="a"/>
    <w:link w:val="10"/>
    <w:qFormat/>
    <w:rsid w:val="008F1069"/>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2">
    <w:name w:val="heading 2"/>
    <w:basedOn w:val="a"/>
    <w:next w:val="a"/>
    <w:link w:val="20"/>
    <w:uiPriority w:val="9"/>
    <w:qFormat/>
    <w:rsid w:val="000D3FBD"/>
    <w:pPr>
      <w:keepNext/>
      <w:numPr>
        <w:ilvl w:val="1"/>
        <w:numId w:val="39"/>
      </w:numPr>
      <w:outlineLvl w:val="1"/>
    </w:pPr>
    <w:rPr>
      <w:rFonts w:ascii="Arial Narrow" w:hAnsi="Arial Narrow"/>
      <w:b/>
      <w:iCs/>
    </w:rPr>
  </w:style>
  <w:style w:type="paragraph" w:styleId="3">
    <w:name w:val="heading 3"/>
    <w:basedOn w:val="a"/>
    <w:next w:val="a"/>
    <w:link w:val="30"/>
    <w:qFormat/>
    <w:rsid w:val="00E93DC1"/>
    <w:pPr>
      <w:keepNext/>
      <w:widowControl w:val="0"/>
      <w:numPr>
        <w:ilvl w:val="2"/>
        <w:numId w:val="39"/>
      </w:numPr>
      <w:tabs>
        <w:tab w:val="left" w:pos="2160"/>
        <w:tab w:val="left" w:pos="9360"/>
      </w:tabs>
      <w:outlineLvl w:val="2"/>
    </w:pPr>
    <w:rPr>
      <w:rFonts w:ascii="Courier" w:hAnsi="Courier"/>
      <w:b/>
      <w:sz w:val="28"/>
      <w:szCs w:val="20"/>
    </w:rPr>
  </w:style>
  <w:style w:type="paragraph" w:styleId="4">
    <w:name w:val="heading 4"/>
    <w:basedOn w:val="a"/>
    <w:next w:val="a"/>
    <w:link w:val="40"/>
    <w:qFormat/>
    <w:rsid w:val="00E93DC1"/>
    <w:pPr>
      <w:keepNext/>
      <w:widowControl w:val="0"/>
      <w:numPr>
        <w:ilvl w:val="3"/>
        <w:numId w:val="39"/>
      </w:numPr>
      <w:spacing w:after="540"/>
      <w:outlineLvl w:val="3"/>
    </w:pPr>
    <w:rPr>
      <w:b/>
      <w:spacing w:val="15"/>
      <w:sz w:val="28"/>
    </w:rPr>
  </w:style>
  <w:style w:type="paragraph" w:styleId="5">
    <w:name w:val="heading 5"/>
    <w:basedOn w:val="a"/>
    <w:next w:val="a"/>
    <w:link w:val="50"/>
    <w:qFormat/>
    <w:rsid w:val="00525831"/>
    <w:pPr>
      <w:keepNext/>
      <w:numPr>
        <w:ilvl w:val="4"/>
        <w:numId w:val="39"/>
      </w:numPr>
      <w:pBdr>
        <w:top w:val="single" w:sz="4" w:space="1" w:color="auto"/>
        <w:left w:val="single" w:sz="4" w:space="4" w:color="auto"/>
        <w:bottom w:val="single" w:sz="4" w:space="1" w:color="auto"/>
        <w:right w:val="single" w:sz="4" w:space="4" w:color="auto"/>
      </w:pBdr>
      <w:spacing w:before="120" w:after="120"/>
      <w:jc w:val="center"/>
      <w:outlineLvl w:val="4"/>
    </w:pPr>
    <w:rPr>
      <w:b/>
      <w:bCs/>
    </w:rPr>
  </w:style>
  <w:style w:type="paragraph" w:styleId="6">
    <w:name w:val="heading 6"/>
    <w:basedOn w:val="a"/>
    <w:next w:val="a"/>
    <w:link w:val="60"/>
    <w:semiHidden/>
    <w:unhideWhenUsed/>
    <w:qFormat/>
    <w:rsid w:val="00C56DCC"/>
    <w:pPr>
      <w:keepNext/>
      <w:keepLines/>
      <w:numPr>
        <w:ilvl w:val="5"/>
        <w:numId w:val="39"/>
      </w:numPr>
      <w:spacing w:before="20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semiHidden/>
    <w:unhideWhenUsed/>
    <w:qFormat/>
    <w:rsid w:val="000923DC"/>
    <w:pPr>
      <w:numPr>
        <w:ilvl w:val="7"/>
        <w:numId w:val="39"/>
      </w:numPr>
      <w:spacing w:before="24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D260B0"/>
    <w:rPr>
      <w:rFonts w:ascii="Tahoma" w:hAnsi="Tahoma" w:cs="Tahoma"/>
      <w:sz w:val="16"/>
      <w:szCs w:val="16"/>
    </w:rPr>
  </w:style>
  <w:style w:type="character" w:customStyle="1" w:styleId="10">
    <w:name w:val="Заголовок 1 Знак"/>
    <w:link w:val="1"/>
    <w:locked/>
    <w:rsid w:val="00CB0802"/>
    <w:rPr>
      <w:rFonts w:ascii="Century Gothic" w:hAnsi="Century Gothic"/>
      <w:b/>
      <w:smallCaps/>
      <w:spacing w:val="-2"/>
      <w:sz w:val="28"/>
      <w:szCs w:val="20"/>
    </w:rPr>
  </w:style>
  <w:style w:type="character" w:customStyle="1" w:styleId="20">
    <w:name w:val="Заголовок 2 Знак"/>
    <w:link w:val="2"/>
    <w:uiPriority w:val="9"/>
    <w:locked/>
    <w:rsid w:val="000D3FBD"/>
    <w:rPr>
      <w:rFonts w:ascii="Arial Narrow" w:hAnsi="Arial Narrow"/>
      <w:b/>
      <w:iCs/>
      <w:sz w:val="22"/>
    </w:rPr>
  </w:style>
  <w:style w:type="character" w:customStyle="1" w:styleId="30">
    <w:name w:val="Заголовок 3 Знак"/>
    <w:link w:val="3"/>
    <w:locked/>
    <w:rsid w:val="00CB0802"/>
    <w:rPr>
      <w:rFonts w:ascii="Courier" w:hAnsi="Courier"/>
      <w:b/>
      <w:sz w:val="28"/>
      <w:szCs w:val="20"/>
    </w:rPr>
  </w:style>
  <w:style w:type="character" w:customStyle="1" w:styleId="40">
    <w:name w:val="Заголовок 4 Знак"/>
    <w:link w:val="4"/>
    <w:locked/>
    <w:rsid w:val="00CB0802"/>
    <w:rPr>
      <w:b/>
      <w:spacing w:val="15"/>
      <w:sz w:val="28"/>
    </w:rPr>
  </w:style>
  <w:style w:type="character" w:customStyle="1" w:styleId="50">
    <w:name w:val="Заголовок 5 Знак"/>
    <w:link w:val="5"/>
    <w:locked/>
    <w:rsid w:val="00CB0802"/>
    <w:rPr>
      <w:b/>
      <w:bCs/>
      <w:sz w:val="22"/>
    </w:rPr>
  </w:style>
  <w:style w:type="paragraph" w:styleId="a5">
    <w:name w:val="header"/>
    <w:basedOn w:val="a"/>
    <w:link w:val="a6"/>
    <w:rsid w:val="00E93DC1"/>
    <w:pPr>
      <w:tabs>
        <w:tab w:val="center" w:pos="4153"/>
        <w:tab w:val="right" w:pos="8306"/>
      </w:tabs>
    </w:pPr>
  </w:style>
  <w:style w:type="character" w:customStyle="1" w:styleId="a6">
    <w:name w:val="Верхний колонтитул Знак"/>
    <w:link w:val="a5"/>
    <w:locked/>
    <w:rsid w:val="00CB0802"/>
    <w:rPr>
      <w:rFonts w:ascii="Arial" w:hAnsi="Arial" w:cs="Times New Roman"/>
      <w:sz w:val="24"/>
      <w:szCs w:val="24"/>
      <w:lang w:val="en-GB"/>
    </w:rPr>
  </w:style>
  <w:style w:type="paragraph" w:styleId="a7">
    <w:name w:val="footer"/>
    <w:basedOn w:val="a"/>
    <w:link w:val="a8"/>
    <w:uiPriority w:val="99"/>
    <w:rsid w:val="00C9656A"/>
    <w:pPr>
      <w:tabs>
        <w:tab w:val="center" w:pos="4153"/>
        <w:tab w:val="right" w:pos="8306"/>
      </w:tabs>
      <w:jc w:val="both"/>
    </w:pPr>
  </w:style>
  <w:style w:type="character" w:customStyle="1" w:styleId="a8">
    <w:name w:val="Нижний колонтитул Знак"/>
    <w:link w:val="a7"/>
    <w:uiPriority w:val="99"/>
    <w:locked/>
    <w:rsid w:val="00C9656A"/>
    <w:rPr>
      <w:sz w:val="22"/>
    </w:rPr>
  </w:style>
  <w:style w:type="character" w:styleId="a9">
    <w:name w:val="page number"/>
    <w:rsid w:val="00E93DC1"/>
    <w:rPr>
      <w:rFonts w:cs="Times New Roman"/>
    </w:rPr>
  </w:style>
  <w:style w:type="paragraph" w:styleId="aa">
    <w:name w:val="footnote text"/>
    <w:aliases w:val="Geneva 9,Font: Geneva 9,Boston 10,f,single space,footnote text,Footnote,otnote Text,ft,Char Char Char Char,Fußnote,ADB Char Char,ADB Char Char Char,ADB Char Char Char Char Char Char Char,ADB Char Char Char Char Char,FOOTNOTES,fn,DNV-FT,ADB"/>
    <w:basedOn w:val="a"/>
    <w:link w:val="ab"/>
    <w:uiPriority w:val="99"/>
    <w:qFormat/>
    <w:rsid w:val="00E93DC1"/>
    <w:pPr>
      <w:widowControl w:val="0"/>
    </w:pPr>
    <w:rPr>
      <w:rFonts w:ascii="Courier" w:hAnsi="Courier"/>
      <w:szCs w:val="20"/>
    </w:rPr>
  </w:style>
  <w:style w:type="character" w:customStyle="1" w:styleId="ab">
    <w:name w:val="Текст сноски Знак"/>
    <w:aliases w:val="Geneva 9 Знак,Font: Geneva 9 Знак,Boston 10 Знак,f Знак,single space Знак,footnote text Знак,Footnote Знак,otnote Text Знак,ft Знак,Char Char Char Char Знак,Fußnote Знак,ADB Char Char Знак,ADB Char Char Char Знак,FOOTNOTES Знак,fn Знак"/>
    <w:link w:val="aa"/>
    <w:uiPriority w:val="99"/>
    <w:locked/>
    <w:rsid w:val="00CB0802"/>
    <w:rPr>
      <w:rFonts w:ascii="Arial" w:hAnsi="Arial" w:cs="Times New Roman"/>
      <w:lang w:val="en-GB"/>
    </w:rPr>
  </w:style>
  <w:style w:type="paragraph" w:styleId="31">
    <w:name w:val="Body Text 3"/>
    <w:basedOn w:val="a"/>
    <w:link w:val="32"/>
    <w:rsid w:val="00E93DC1"/>
    <w:rPr>
      <w:szCs w:val="20"/>
    </w:rPr>
  </w:style>
  <w:style w:type="character" w:customStyle="1" w:styleId="32">
    <w:name w:val="Основной текст 3 Знак"/>
    <w:link w:val="31"/>
    <w:locked/>
    <w:rsid w:val="00CB0802"/>
    <w:rPr>
      <w:rFonts w:ascii="Arial" w:hAnsi="Arial" w:cs="Times New Roman"/>
      <w:sz w:val="16"/>
      <w:szCs w:val="16"/>
      <w:lang w:val="en-GB"/>
    </w:rPr>
  </w:style>
  <w:style w:type="paragraph" w:styleId="ac">
    <w:name w:val="Body Text Indent"/>
    <w:basedOn w:val="a"/>
    <w:link w:val="ad"/>
    <w:rsid w:val="00E93DC1"/>
    <w:pPr>
      <w:tabs>
        <w:tab w:val="left" w:pos="360"/>
      </w:tabs>
    </w:pPr>
    <w:rPr>
      <w:b/>
      <w:i/>
      <w:sz w:val="28"/>
      <w:szCs w:val="20"/>
    </w:rPr>
  </w:style>
  <w:style w:type="character" w:customStyle="1" w:styleId="ad">
    <w:name w:val="Основной текст с отступом Знак"/>
    <w:link w:val="ac"/>
    <w:locked/>
    <w:rsid w:val="00CB0802"/>
    <w:rPr>
      <w:rFonts w:ascii="Arial" w:hAnsi="Arial" w:cs="Times New Roman"/>
      <w:sz w:val="24"/>
      <w:szCs w:val="24"/>
      <w:lang w:val="en-GB"/>
    </w:rPr>
  </w:style>
  <w:style w:type="character" w:styleId="ae">
    <w:name w:val="Hyperlink"/>
    <w:uiPriority w:val="99"/>
    <w:rsid w:val="00E93DC1"/>
    <w:rPr>
      <w:rFonts w:cs="Times New Roman"/>
      <w:color w:val="0000FF"/>
      <w:u w:val="single"/>
    </w:rPr>
  </w:style>
  <w:style w:type="character" w:styleId="af">
    <w:name w:val="FollowedHyperlink"/>
    <w:rsid w:val="00E93DC1"/>
    <w:rPr>
      <w:rFonts w:cs="Times New Roman"/>
      <w:color w:val="800080"/>
      <w:u w:val="single"/>
    </w:rPr>
  </w:style>
  <w:style w:type="paragraph" w:styleId="af0">
    <w:name w:val="Body Text"/>
    <w:basedOn w:val="a"/>
    <w:link w:val="af1"/>
    <w:rsid w:val="00E93DC1"/>
    <w:pPr>
      <w:pBdr>
        <w:bottom w:val="single" w:sz="4" w:space="1" w:color="auto"/>
      </w:pBdr>
    </w:pPr>
    <w:rPr>
      <w:rFonts w:ascii="Arial Narrow" w:hAnsi="Arial Narrow"/>
      <w:i/>
      <w:iCs/>
    </w:rPr>
  </w:style>
  <w:style w:type="character" w:customStyle="1" w:styleId="af1">
    <w:name w:val="Основной текст Знак"/>
    <w:link w:val="af0"/>
    <w:locked/>
    <w:rsid w:val="00CB0802"/>
    <w:rPr>
      <w:rFonts w:ascii="Arial" w:hAnsi="Arial" w:cs="Times New Roman"/>
      <w:sz w:val="24"/>
      <w:szCs w:val="24"/>
      <w:lang w:val="en-GB"/>
    </w:rPr>
  </w:style>
  <w:style w:type="paragraph" w:styleId="21">
    <w:name w:val="Body Text 2"/>
    <w:basedOn w:val="a"/>
    <w:link w:val="22"/>
    <w:rsid w:val="00E93DC1"/>
    <w:pPr>
      <w:spacing w:before="120" w:after="120"/>
    </w:pPr>
    <w:rPr>
      <w:rFonts w:ascii="Arial Narrow" w:hAnsi="Arial Narrow"/>
    </w:rPr>
  </w:style>
  <w:style w:type="character" w:customStyle="1" w:styleId="22">
    <w:name w:val="Основной текст 2 Знак"/>
    <w:link w:val="21"/>
    <w:locked/>
    <w:rsid w:val="00CB0802"/>
    <w:rPr>
      <w:rFonts w:ascii="Arial" w:hAnsi="Arial" w:cs="Times New Roman"/>
      <w:sz w:val="24"/>
      <w:szCs w:val="24"/>
      <w:lang w:val="en-GB"/>
    </w:rPr>
  </w:style>
  <w:style w:type="character" w:customStyle="1" w:styleId="a4">
    <w:name w:val="Текст выноски Знак"/>
    <w:link w:val="a3"/>
    <w:uiPriority w:val="99"/>
    <w:semiHidden/>
    <w:locked/>
    <w:rsid w:val="00CB0802"/>
    <w:rPr>
      <w:rFonts w:cs="Times New Roman"/>
      <w:sz w:val="2"/>
      <w:lang w:val="en-GB"/>
    </w:rPr>
  </w:style>
  <w:style w:type="character" w:styleId="af2">
    <w:name w:val="annotation reference"/>
    <w:rsid w:val="00EF6275"/>
    <w:rPr>
      <w:rFonts w:cs="Times New Roman"/>
      <w:sz w:val="16"/>
      <w:szCs w:val="16"/>
    </w:rPr>
  </w:style>
  <w:style w:type="paragraph" w:styleId="af3">
    <w:name w:val="annotation text"/>
    <w:basedOn w:val="a"/>
    <w:link w:val="af4"/>
    <w:rsid w:val="00EF6275"/>
    <w:rPr>
      <w:szCs w:val="20"/>
    </w:rPr>
  </w:style>
  <w:style w:type="character" w:customStyle="1" w:styleId="af4">
    <w:name w:val="Текст примечания Знак"/>
    <w:link w:val="af3"/>
    <w:locked/>
    <w:rsid w:val="00CB0802"/>
    <w:rPr>
      <w:rFonts w:ascii="Arial" w:hAnsi="Arial" w:cs="Times New Roman"/>
      <w:lang w:val="en-GB"/>
    </w:rPr>
  </w:style>
  <w:style w:type="paragraph" w:styleId="af5">
    <w:name w:val="annotation subject"/>
    <w:basedOn w:val="af3"/>
    <w:next w:val="af3"/>
    <w:link w:val="af6"/>
    <w:uiPriority w:val="99"/>
    <w:semiHidden/>
    <w:rsid w:val="00EF6275"/>
    <w:rPr>
      <w:b/>
      <w:bCs/>
    </w:rPr>
  </w:style>
  <w:style w:type="character" w:customStyle="1" w:styleId="af6">
    <w:name w:val="Тема примечания Знак"/>
    <w:link w:val="af5"/>
    <w:uiPriority w:val="99"/>
    <w:semiHidden/>
    <w:locked/>
    <w:rsid w:val="00CB0802"/>
    <w:rPr>
      <w:rFonts w:ascii="Arial" w:hAnsi="Arial" w:cs="Times New Roman"/>
      <w:b/>
      <w:bCs/>
      <w:lang w:val="en-GB"/>
    </w:rPr>
  </w:style>
  <w:style w:type="table" w:styleId="af7">
    <w:name w:val="Table Grid"/>
    <w:basedOn w:val="a1"/>
    <w:uiPriority w:val="5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Web)"/>
    <w:aliases w:val=" webb,webb"/>
    <w:basedOn w:val="a"/>
    <w:uiPriority w:val="99"/>
    <w:rsid w:val="00E663CF"/>
    <w:pPr>
      <w:spacing w:before="100" w:beforeAutospacing="1" w:after="100" w:afterAutospacing="1"/>
    </w:pPr>
    <w:rPr>
      <w:rFonts w:ascii="Times New Roman" w:hAnsi="Times New Roman"/>
    </w:rPr>
  </w:style>
  <w:style w:type="character" w:styleId="af9">
    <w:name w:val="Emphasis"/>
    <w:uiPriority w:val="20"/>
    <w:qFormat/>
    <w:rsid w:val="00F30150"/>
    <w:rPr>
      <w:rFonts w:cs="Times New Roman"/>
      <w:i/>
      <w:iCs/>
    </w:rPr>
  </w:style>
  <w:style w:type="character" w:styleId="afa">
    <w:name w:val="footnote reference"/>
    <w:aliases w:val="16 Point,Superscript 6 Point,Superscript 6 Point + 11 pt,ftref,BVI fnr,BVI fnr Car Car,BVI fnr Car,BVI fnr Car Car Car Car,Footnote text,Footnotes refss,Footnote Reference1,Footnote Reference Number,Footnote Reference_LVL6,fr, BVI fnr"/>
    <w:link w:val="Char2"/>
    <w:uiPriority w:val="99"/>
    <w:qFormat/>
    <w:rsid w:val="00BF50E7"/>
    <w:rPr>
      <w:rFonts w:ascii="Arial" w:hAnsi="Arial" w:cs="Times New Roman"/>
      <w:sz w:val="18"/>
      <w:vertAlign w:val="superscript"/>
    </w:rPr>
  </w:style>
  <w:style w:type="paragraph" w:customStyle="1" w:styleId="Char">
    <w:name w:val="Char"/>
    <w:basedOn w:val="2"/>
    <w:rsid w:val="00912142"/>
    <w:pPr>
      <w:pageBreakBefore/>
      <w:tabs>
        <w:tab w:val="left" w:pos="850"/>
        <w:tab w:val="left" w:pos="1191"/>
        <w:tab w:val="left" w:pos="1531"/>
      </w:tabs>
      <w:jc w:val="center"/>
    </w:pPr>
    <w:rPr>
      <w:rFonts w:ascii="Tahoma" w:hAnsi="Tahoma" w:cs="Tahoma"/>
      <w:bCs/>
      <w:color w:val="FFFFFF"/>
      <w:spacing w:val="20"/>
      <w:szCs w:val="22"/>
      <w:lang w:eastAsia="zh-CN"/>
    </w:rPr>
  </w:style>
  <w:style w:type="paragraph" w:styleId="afb">
    <w:name w:val="List Paragraph"/>
    <w:aliases w:val="List Paragraph1,Indent Paragraph,Table/Figure Heading,En tête 1,Heading,Medium List 2 - Accent 41,List Paragraph (numbered (a)),ANNEX,List Paragraph2,References,Liste 1"/>
    <w:basedOn w:val="a"/>
    <w:link w:val="afc"/>
    <w:uiPriority w:val="34"/>
    <w:qFormat/>
    <w:rsid w:val="00DB520F"/>
    <w:pPr>
      <w:ind w:left="720"/>
    </w:pPr>
    <w:rPr>
      <w:rFonts w:ascii="Times New Roman" w:hAnsi="Times New Roman"/>
    </w:rPr>
  </w:style>
  <w:style w:type="paragraph" w:styleId="afd">
    <w:name w:val="Title"/>
    <w:basedOn w:val="a"/>
    <w:link w:val="afe"/>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afe">
    <w:name w:val="Заголовок Знак"/>
    <w:link w:val="afd"/>
    <w:locked/>
    <w:rsid w:val="00CB0802"/>
    <w:rPr>
      <w:rFonts w:ascii="Cambria" w:hAnsi="Cambria" w:cs="Times New Roman"/>
      <w:b/>
      <w:bCs/>
      <w:kern w:val="28"/>
      <w:sz w:val="32"/>
      <w:szCs w:val="32"/>
      <w:lang w:val="en-GB"/>
    </w:rPr>
  </w:style>
  <w:style w:type="paragraph" w:customStyle="1" w:styleId="CharCharChar1">
    <w:name w:val="Char Char Char1"/>
    <w:basedOn w:val="a"/>
    <w:rsid w:val="00340E23"/>
    <w:pPr>
      <w:spacing w:after="160" w:line="240" w:lineRule="exact"/>
    </w:pPr>
    <w:rPr>
      <w:rFonts w:cs="Arial"/>
      <w:szCs w:val="20"/>
    </w:rPr>
  </w:style>
  <w:style w:type="paragraph" w:customStyle="1" w:styleId="JFHeading3">
    <w:name w:val="JF Heading 3"/>
    <w:basedOn w:val="3"/>
    <w:rsid w:val="0015737E"/>
    <w:pPr>
      <w:keepNext w:val="0"/>
      <w:widowControl/>
      <w:pBdr>
        <w:bottom w:val="dotted" w:sz="4" w:space="2" w:color="666666"/>
      </w:pBdr>
      <w:tabs>
        <w:tab w:val="clear" w:pos="2160"/>
        <w:tab w:val="clear" w:pos="9360"/>
      </w:tabs>
    </w:pPr>
    <w:rPr>
      <w:rFonts w:ascii="Times New Roman" w:eastAsia="MS Mincho" w:hAnsi="Times New Roman"/>
      <w:b w:val="0"/>
      <w:i/>
      <w:sz w:val="22"/>
      <w:szCs w:val="22"/>
      <w:lang w:eastAsia="ja-JP"/>
    </w:rPr>
  </w:style>
  <w:style w:type="character" w:styleId="aff">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lang w:eastAsia="ja-JP"/>
    </w:rPr>
  </w:style>
  <w:style w:type="paragraph" w:customStyle="1" w:styleId="bodyfont">
    <w:name w:val="bodyfont"/>
    <w:basedOn w:val="a"/>
    <w:rsid w:val="00724288"/>
    <w:pPr>
      <w:spacing w:before="100" w:beforeAutospacing="1" w:after="100" w:afterAutospacing="1"/>
    </w:pPr>
    <w:rPr>
      <w:rFonts w:eastAsia="MS Mincho" w:cs="Arial"/>
      <w:sz w:val="12"/>
      <w:szCs w:val="12"/>
      <w:lang w:eastAsia="ja-JP"/>
    </w:rPr>
  </w:style>
  <w:style w:type="paragraph" w:customStyle="1" w:styleId="JFHeading1">
    <w:name w:val="JF Heading 1"/>
    <w:basedOn w:val="1"/>
    <w:rsid w:val="00724288"/>
    <w:pPr>
      <w:pBdr>
        <w:top w:val="none" w:sz="0" w:space="0" w:color="auto"/>
      </w:pBdr>
      <w:suppressAutoHyphens w:val="0"/>
      <w:spacing w:before="240" w:after="60"/>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aff0">
    <w:name w:val="endnote text"/>
    <w:aliases w:val=" Char"/>
    <w:basedOn w:val="a"/>
    <w:link w:val="aff1"/>
    <w:semiHidden/>
    <w:rsid w:val="00D37FAF"/>
    <w:rPr>
      <w:rFonts w:eastAsia="MS Mincho"/>
      <w:szCs w:val="20"/>
      <w:lang w:eastAsia="ja-JP"/>
    </w:rPr>
  </w:style>
  <w:style w:type="character" w:customStyle="1" w:styleId="aff1">
    <w:name w:val="Текст концевой сноски Знак"/>
    <w:aliases w:val=" Char Знак"/>
    <w:link w:val="aff0"/>
    <w:semiHidden/>
    <w:locked/>
    <w:rsid w:val="00CB0802"/>
    <w:rPr>
      <w:rFonts w:ascii="Arial" w:hAnsi="Arial" w:cs="Times New Roman"/>
      <w:lang w:val="en-GB"/>
    </w:rPr>
  </w:style>
  <w:style w:type="character" w:styleId="aff2">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2"/>
    <w:rsid w:val="00BC22BB"/>
    <w:pPr>
      <w:pageBreakBefore/>
      <w:tabs>
        <w:tab w:val="left" w:pos="850"/>
        <w:tab w:val="left" w:pos="1191"/>
        <w:tab w:val="left" w:pos="1531"/>
      </w:tabs>
      <w:spacing w:before="120" w:after="120"/>
      <w:jc w:val="center"/>
    </w:pPr>
    <w:rPr>
      <w:rFonts w:ascii="Tahoma" w:eastAsia="MS Mincho" w:hAnsi="Tahoma" w:cs="Tahoma"/>
      <w:bCs/>
      <w:color w:val="FFFFFF"/>
      <w:spacing w:val="20"/>
      <w:szCs w:val="22"/>
      <w:lang w:eastAsia="zh-CN"/>
    </w:rPr>
  </w:style>
  <w:style w:type="paragraph" w:customStyle="1" w:styleId="CarCar">
    <w:name w:val="Car Car"/>
    <w:basedOn w:val="2"/>
    <w:rsid w:val="00AE562C"/>
    <w:pPr>
      <w:pageBreakBefore/>
      <w:tabs>
        <w:tab w:val="left" w:pos="850"/>
        <w:tab w:val="left" w:pos="1191"/>
        <w:tab w:val="left" w:pos="1531"/>
      </w:tabs>
      <w:spacing w:before="120" w:after="120"/>
      <w:jc w:val="center"/>
    </w:pPr>
    <w:rPr>
      <w:rFonts w:ascii="Tahoma" w:eastAsia="MS Mincho" w:hAnsi="Tahoma" w:cs="Tahoma"/>
      <w:bCs/>
      <w:color w:val="FFFFFF"/>
      <w:spacing w:val="20"/>
      <w:szCs w:val="22"/>
      <w:lang w:eastAsia="zh-CN"/>
    </w:rPr>
  </w:style>
  <w:style w:type="paragraph" w:customStyle="1" w:styleId="Arial">
    <w:name w:val="Arial"/>
    <w:basedOn w:val="a"/>
    <w:rsid w:val="00544099"/>
    <w:rPr>
      <w:rFonts w:ascii="Arial Narrow" w:hAnsi="Arial Narrow" w:cs="Arial"/>
      <w:szCs w:val="20"/>
    </w:rPr>
  </w:style>
  <w:style w:type="paragraph" w:customStyle="1" w:styleId="Paragraph">
    <w:name w:val="Paragraph"/>
    <w:basedOn w:val="a"/>
    <w:link w:val="ParagraphChar"/>
    <w:qFormat/>
    <w:rsid w:val="000D00F9"/>
    <w:pPr>
      <w:numPr>
        <w:numId w:val="2"/>
      </w:numPr>
      <w:spacing w:after="240"/>
    </w:pPr>
    <w:rPr>
      <w:rFonts w:ascii="Times New Roman" w:hAnsi="Times New Roman" w:cs="Angsana New"/>
      <w:noProof/>
      <w:szCs w:val="22"/>
    </w:rPr>
  </w:style>
  <w:style w:type="character" w:customStyle="1" w:styleId="ParagraphChar">
    <w:name w:val="Paragraph Char"/>
    <w:link w:val="Paragraph"/>
    <w:rsid w:val="000D00F9"/>
    <w:rPr>
      <w:rFonts w:ascii="Times New Roman" w:hAnsi="Times New Roman" w:cs="Angsana New"/>
      <w:noProof/>
      <w:sz w:val="22"/>
      <w:szCs w:val="22"/>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link w:val="Bullets"/>
    <w:rsid w:val="000D00F9"/>
    <w:rPr>
      <w:rFonts w:ascii="Times New Roman" w:hAnsi="Times New Roman" w:cs="Angsana New"/>
      <w:noProof/>
      <w:sz w:val="22"/>
      <w:szCs w:val="22"/>
    </w:rPr>
  </w:style>
  <w:style w:type="paragraph" w:styleId="23">
    <w:name w:val="toc 2"/>
    <w:basedOn w:val="a"/>
    <w:next w:val="a"/>
    <w:autoRedefine/>
    <w:uiPriority w:val="39"/>
    <w:locked/>
    <w:rsid w:val="0082267F"/>
    <w:pPr>
      <w:ind w:left="220"/>
    </w:pPr>
  </w:style>
  <w:style w:type="paragraph" w:styleId="11">
    <w:name w:val="toc 1"/>
    <w:basedOn w:val="a"/>
    <w:next w:val="a"/>
    <w:autoRedefine/>
    <w:uiPriority w:val="39"/>
    <w:locked/>
    <w:rsid w:val="00005667"/>
    <w:pPr>
      <w:tabs>
        <w:tab w:val="left" w:pos="540"/>
        <w:tab w:val="right" w:leader="dot" w:pos="10206"/>
      </w:tabs>
    </w:pPr>
    <w:rPr>
      <w:noProof/>
    </w:rPr>
  </w:style>
  <w:style w:type="character" w:customStyle="1" w:styleId="Heading2Char">
    <w:name w:val="Heading 2 Char"/>
    <w:semiHidden/>
    <w:locked/>
    <w:rsid w:val="00720790"/>
    <w:rPr>
      <w:rFonts w:ascii="Cambria" w:hAnsi="Cambria" w:cs="Times New Roman"/>
      <w:b/>
      <w:bCs/>
      <w:i/>
      <w:iCs/>
      <w:sz w:val="28"/>
      <w:szCs w:val="28"/>
      <w:lang w:val="en-GB"/>
    </w:rPr>
  </w:style>
  <w:style w:type="character" w:customStyle="1" w:styleId="FootnoteTextChar">
    <w:name w:val="Footnote Text Char"/>
    <w:aliases w:val="ft Char,Char Char Char Char Char,Fußnote Char,ADB Char Char Char1,ADB Char Char Char Char,FOOTNOTES Char,Testo nota a piè di pagina Carattere Carattere Char,Testo nota a piè di pagina Carattere Char,Footnote Text Char Char Char Char"/>
    <w:uiPriority w:val="99"/>
    <w:locked/>
    <w:rsid w:val="00720790"/>
    <w:rPr>
      <w:rFonts w:ascii="Arial" w:hAnsi="Arial" w:cs="Times New Roman"/>
      <w:lang w:val="en-GB"/>
    </w:rPr>
  </w:style>
  <w:style w:type="paragraph" w:customStyle="1" w:styleId="Normalbullets">
    <w:name w:val="Normal bullets"/>
    <w:basedOn w:val="a"/>
    <w:rsid w:val="003847E4"/>
    <w:pPr>
      <w:numPr>
        <w:numId w:val="4"/>
      </w:numPr>
      <w:spacing w:after="60"/>
      <w:jc w:val="both"/>
    </w:pPr>
  </w:style>
  <w:style w:type="paragraph" w:customStyle="1" w:styleId="Text">
    <w:name w:val="Text"/>
    <w:basedOn w:val="a"/>
    <w:rsid w:val="00C26FEC"/>
    <w:pPr>
      <w:spacing w:before="240" w:line="252" w:lineRule="auto"/>
    </w:pPr>
    <w:rPr>
      <w:rFonts w:ascii="Times New Roman" w:hAnsi="Times New Roman"/>
      <w:szCs w:val="20"/>
    </w:rPr>
  </w:style>
  <w:style w:type="paragraph" w:customStyle="1" w:styleId="CharCharChar11">
    <w:name w:val="Char Char Char11"/>
    <w:basedOn w:val="a"/>
    <w:rsid w:val="00B27E19"/>
    <w:pPr>
      <w:spacing w:after="160" w:line="240" w:lineRule="exact"/>
    </w:pPr>
    <w:rPr>
      <w:rFonts w:cs="Arial"/>
      <w:szCs w:val="20"/>
    </w:rPr>
  </w:style>
  <w:style w:type="paragraph" w:customStyle="1" w:styleId="BodyText23">
    <w:name w:val="Body Text 23"/>
    <w:basedOn w:val="a"/>
    <w:rsid w:val="00B27E19"/>
    <w:pPr>
      <w:widowControl w:val="0"/>
      <w:tabs>
        <w:tab w:val="left" w:pos="547"/>
      </w:tabs>
    </w:pPr>
    <w:rPr>
      <w:rFonts w:ascii="Times New Roman" w:hAnsi="Times New Roman"/>
      <w:snapToGrid w:val="0"/>
      <w:szCs w:val="20"/>
    </w:rPr>
  </w:style>
  <w:style w:type="paragraph" w:styleId="aff3">
    <w:name w:val="caption"/>
    <w:aliases w:val="Beschriftung Char,Beschriftung Char Char Char Char Char,Beschriftung Char Char Char"/>
    <w:basedOn w:val="a"/>
    <w:next w:val="a"/>
    <w:autoRedefine/>
    <w:qFormat/>
    <w:rsid w:val="00863DD5"/>
    <w:pPr>
      <w:keepNext/>
      <w:keepLines/>
      <w:widowControl w:val="0"/>
      <w:spacing w:before="120"/>
      <w:ind w:left="360"/>
    </w:pPr>
    <w:rPr>
      <w:rFonts w:asciiTheme="majorHAnsi" w:eastAsiaTheme="minorEastAsia" w:hAnsiTheme="majorHAnsi" w:cstheme="minorBidi"/>
      <w:b/>
      <w:bCs/>
      <w:szCs w:val="20"/>
      <w:lang w:eastAsia="ja-JP"/>
    </w:rPr>
  </w:style>
  <w:style w:type="paragraph" w:customStyle="1" w:styleId="TableT">
    <w:name w:val="TableT"/>
    <w:basedOn w:val="a"/>
    <w:autoRedefine/>
    <w:rsid w:val="00550BAE"/>
    <w:rPr>
      <w:rFonts w:ascii="Times New Roman" w:hAnsi="Times New Roman"/>
      <w:noProof/>
      <w:szCs w:val="20"/>
    </w:rPr>
  </w:style>
  <w:style w:type="paragraph" w:customStyle="1" w:styleId="ParaCharChar">
    <w:name w:val="Para Char Char"/>
    <w:basedOn w:val="a"/>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a"/>
    <w:link w:val="TableHCharCharCharChar"/>
    <w:autoRedefine/>
    <w:rsid w:val="00E43E88"/>
    <w:pPr>
      <w:spacing w:before="240"/>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80">
    <w:name w:val="Заголовок 8 Знак"/>
    <w:link w:val="8"/>
    <w:semiHidden/>
    <w:rsid w:val="000923DC"/>
    <w:rPr>
      <w:i/>
      <w:iCs/>
      <w:sz w:val="22"/>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a"/>
    <w:rsid w:val="00CA725C"/>
    <w:rPr>
      <w:rFonts w:ascii="Times New Roman" w:hAnsi="Times New Roman"/>
    </w:rPr>
  </w:style>
  <w:style w:type="paragraph" w:customStyle="1" w:styleId="NumberedList2">
    <w:name w:val="Numbered List 2"/>
    <w:aliases w:val="nl2"/>
    <w:basedOn w:val="a"/>
    <w:rsid w:val="00CA725C"/>
    <w:pPr>
      <w:spacing w:line="240" w:lineRule="atLeast"/>
      <w:ind w:hanging="360"/>
    </w:pPr>
    <w:rPr>
      <w:rFonts w:ascii="Arial Unicode MS" w:hAnsi="Arial Unicode MS"/>
      <w:szCs w:val="22"/>
    </w:rPr>
  </w:style>
  <w:style w:type="paragraph" w:customStyle="1" w:styleId="CharChar">
    <w:name w:val="Char Char Знак Знак"/>
    <w:basedOn w:val="a"/>
    <w:rsid w:val="00E61BB0"/>
    <w:pPr>
      <w:spacing w:after="160" w:line="240" w:lineRule="exact"/>
    </w:pPr>
    <w:rPr>
      <w:rFonts w:ascii="Times New Roman" w:hAnsi="Times New Roman" w:cs="Arial"/>
      <w:szCs w:val="20"/>
      <w:lang w:val="de-CH" w:eastAsia="de-CH"/>
    </w:rPr>
  </w:style>
  <w:style w:type="paragraph" w:styleId="aff4">
    <w:name w:val="Plain Text"/>
    <w:basedOn w:val="a"/>
    <w:link w:val="aff5"/>
    <w:uiPriority w:val="99"/>
    <w:unhideWhenUsed/>
    <w:rsid w:val="00FC1F80"/>
    <w:rPr>
      <w:rFonts w:ascii="Consolas" w:eastAsia="Calibri" w:hAnsi="Consolas"/>
      <w:sz w:val="21"/>
      <w:szCs w:val="21"/>
    </w:rPr>
  </w:style>
  <w:style w:type="character" w:customStyle="1" w:styleId="aff5">
    <w:name w:val="Текст Знак"/>
    <w:link w:val="aff4"/>
    <w:uiPriority w:val="99"/>
    <w:rsid w:val="00FC1F80"/>
    <w:rPr>
      <w:rFonts w:ascii="Consolas" w:eastAsia="Calibri" w:hAnsi="Consolas"/>
      <w:sz w:val="21"/>
      <w:szCs w:val="21"/>
    </w:rPr>
  </w:style>
  <w:style w:type="paragraph" w:styleId="aff6">
    <w:name w:val="TOC Heading"/>
    <w:basedOn w:val="1"/>
    <w:next w:val="a"/>
    <w:uiPriority w:val="39"/>
    <w:unhideWhenUsed/>
    <w:qFormat/>
    <w:rsid w:val="006B67FA"/>
    <w:pPr>
      <w:keepLines/>
      <w:numPr>
        <w:numId w:val="0"/>
      </w:numPr>
      <w:pBdr>
        <w:top w:val="none" w:sz="0" w:space="0" w:color="auto"/>
      </w:pBdr>
      <w:suppressAutoHyphens w:val="0"/>
      <w:spacing w:before="480" w:after="0" w:line="276" w:lineRule="auto"/>
      <w:outlineLvl w:val="9"/>
    </w:pPr>
    <w:rPr>
      <w:rFonts w:ascii="Cambria" w:hAnsi="Cambria"/>
      <w:bCs/>
      <w:smallCaps w:val="0"/>
      <w:color w:val="365F91"/>
      <w:spacing w:val="0"/>
      <w:szCs w:val="28"/>
    </w:rPr>
  </w:style>
  <w:style w:type="paragraph" w:styleId="aff7">
    <w:name w:val="No Spacing"/>
    <w:link w:val="aff8"/>
    <w:uiPriority w:val="1"/>
    <w:qFormat/>
    <w:rsid w:val="004C454A"/>
    <w:rPr>
      <w:rFonts w:ascii="Times" w:eastAsia="Times" w:hAnsi="Times"/>
    </w:rPr>
  </w:style>
  <w:style w:type="character" w:customStyle="1" w:styleId="aff8">
    <w:name w:val="Без интервала Знак"/>
    <w:link w:val="aff7"/>
    <w:uiPriority w:val="1"/>
    <w:rsid w:val="004C454A"/>
    <w:rPr>
      <w:rFonts w:ascii="Times" w:eastAsia="Times" w:hAnsi="Times"/>
      <w:sz w:val="24"/>
    </w:rPr>
  </w:style>
  <w:style w:type="character" w:customStyle="1" w:styleId="afc">
    <w:name w:val="Абзац списка Знак"/>
    <w:aliases w:val="List Paragraph1 Знак,Indent Paragraph Знак,Table/Figure Heading Знак,En tête 1 Знак,Heading Знак,Medium List 2 - Accent 41 Знак,List Paragraph (numbered (a)) Знак,ANNEX Знак,List Paragraph2 Знак,References Знак,Liste 1 Знак"/>
    <w:link w:val="afb"/>
    <w:uiPriority w:val="34"/>
    <w:rsid w:val="00881F0F"/>
    <w:rPr>
      <w:sz w:val="24"/>
      <w:szCs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aff9">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a0"/>
    <w:rsid w:val="00655B9D"/>
  </w:style>
  <w:style w:type="paragraph" w:customStyle="1" w:styleId="Char2">
    <w:name w:val="Char2"/>
    <w:basedOn w:val="a"/>
    <w:link w:val="afa"/>
    <w:uiPriority w:val="99"/>
    <w:rsid w:val="004E30B5"/>
    <w:pPr>
      <w:spacing w:after="160" w:line="240" w:lineRule="exact"/>
    </w:pPr>
    <w:rPr>
      <w:rFonts w:ascii="Arial" w:hAnsi="Arial"/>
      <w:sz w:val="18"/>
      <w:szCs w:val="20"/>
      <w:vertAlign w:val="superscript"/>
    </w:rPr>
  </w:style>
  <w:style w:type="paragraph" w:customStyle="1" w:styleId="ColorfulList-Accent11">
    <w:name w:val="Colorful List - Accent 11"/>
    <w:basedOn w:val="a"/>
    <w:autoRedefine/>
    <w:uiPriority w:val="34"/>
    <w:qFormat/>
    <w:rsid w:val="00F84144"/>
    <w:pPr>
      <w:numPr>
        <w:numId w:val="6"/>
      </w:numPr>
      <w:snapToGrid w:val="0"/>
    </w:pPr>
    <w:rPr>
      <w:rFonts w:ascii="Times New Roman" w:eastAsia="Times New Roman" w:hAnsi="Times New Roman"/>
    </w:rPr>
  </w:style>
  <w:style w:type="table" w:styleId="-1">
    <w:name w:val="Light List Accent 1"/>
    <w:basedOn w:val="a1"/>
    <w:uiPriority w:val="61"/>
    <w:rsid w:val="00410D59"/>
    <w:rPr>
      <w:rFonts w:ascii="Cambria" w:eastAsia="MS Mincho" w:hAnsi="Cambria"/>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fa">
    <w:name w:val="Revision"/>
    <w:hidden/>
    <w:uiPriority w:val="99"/>
    <w:unhideWhenUsed/>
    <w:rsid w:val="000D0ED2"/>
  </w:style>
  <w:style w:type="character" w:customStyle="1" w:styleId="factsheet">
    <w:name w:val="factsheet"/>
    <w:rsid w:val="00762BAE"/>
  </w:style>
  <w:style w:type="paragraph" w:styleId="affb">
    <w:name w:val="Subtitle"/>
    <w:basedOn w:val="a"/>
    <w:next w:val="a"/>
    <w:link w:val="affc"/>
    <w:qFormat/>
    <w:rsid w:val="00F879E1"/>
    <w:pPr>
      <w:spacing w:after="60"/>
      <w:outlineLvl w:val="1"/>
    </w:pPr>
    <w:rPr>
      <w:rFonts w:eastAsia="MS Gothic"/>
      <w:sz w:val="20"/>
    </w:rPr>
  </w:style>
  <w:style w:type="character" w:customStyle="1" w:styleId="affc">
    <w:name w:val="Подзаголовок Знак"/>
    <w:link w:val="affb"/>
    <w:rsid w:val="00F879E1"/>
    <w:rPr>
      <w:rFonts w:eastAsia="MS Gothic"/>
      <w:sz w:val="20"/>
    </w:rPr>
  </w:style>
  <w:style w:type="paragraph" w:styleId="z-">
    <w:name w:val="HTML Top of Form"/>
    <w:basedOn w:val="a"/>
    <w:next w:val="a"/>
    <w:link w:val="z-0"/>
    <w:hidden/>
    <w:uiPriority w:val="99"/>
    <w:semiHidden/>
    <w:unhideWhenUsed/>
    <w:rsid w:val="0055159E"/>
    <w:pPr>
      <w:pBdr>
        <w:bottom w:val="single" w:sz="6" w:space="1" w:color="auto"/>
      </w:pBdr>
      <w:jc w:val="center"/>
    </w:pPr>
    <w:rPr>
      <w:rFonts w:ascii="Arial" w:hAnsi="Arial" w:cs="Arial"/>
      <w:vanish/>
      <w:sz w:val="16"/>
      <w:szCs w:val="16"/>
    </w:rPr>
  </w:style>
  <w:style w:type="character" w:customStyle="1" w:styleId="z-0">
    <w:name w:val="z-Начало формы Знак"/>
    <w:link w:val="z-"/>
    <w:uiPriority w:val="99"/>
    <w:semiHidden/>
    <w:rsid w:val="0055159E"/>
    <w:rPr>
      <w:rFonts w:ascii="Arial" w:hAnsi="Arial" w:cs="Arial"/>
      <w:vanish/>
      <w:sz w:val="16"/>
      <w:szCs w:val="16"/>
    </w:rPr>
  </w:style>
  <w:style w:type="paragraph" w:styleId="z-1">
    <w:name w:val="HTML Bottom of Form"/>
    <w:basedOn w:val="a"/>
    <w:next w:val="a"/>
    <w:link w:val="z-2"/>
    <w:hidden/>
    <w:uiPriority w:val="99"/>
    <w:semiHidden/>
    <w:unhideWhenUsed/>
    <w:rsid w:val="0055159E"/>
    <w:pPr>
      <w:pBdr>
        <w:top w:val="single" w:sz="6" w:space="1" w:color="auto"/>
      </w:pBdr>
      <w:jc w:val="center"/>
    </w:pPr>
    <w:rPr>
      <w:rFonts w:ascii="Arial" w:hAnsi="Arial" w:cs="Arial"/>
      <w:vanish/>
      <w:sz w:val="16"/>
      <w:szCs w:val="16"/>
    </w:rPr>
  </w:style>
  <w:style w:type="character" w:customStyle="1" w:styleId="z-2">
    <w:name w:val="z-Конец формы Знак"/>
    <w:link w:val="z-1"/>
    <w:uiPriority w:val="99"/>
    <w:semiHidden/>
    <w:rsid w:val="0055159E"/>
    <w:rPr>
      <w:rFonts w:ascii="Arial" w:hAnsi="Arial" w:cs="Arial"/>
      <w:vanish/>
      <w:sz w:val="16"/>
      <w:szCs w:val="16"/>
    </w:rPr>
  </w:style>
  <w:style w:type="table" w:customStyle="1" w:styleId="TableGrid4">
    <w:name w:val="Table Grid4"/>
    <w:basedOn w:val="a1"/>
    <w:next w:val="af7"/>
    <w:uiPriority w:val="59"/>
    <w:rsid w:val="00380413"/>
    <w:rPr>
      <w:rFonts w:ascii="Times New Roman" w:eastAsia="Times New Roman" w:hAnsi="Times New Roman"/>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a1"/>
    <w:next w:val="af7"/>
    <w:uiPriority w:val="59"/>
    <w:rsid w:val="00380413"/>
    <w:rPr>
      <w:rFonts w:ascii="Times New Roman" w:eastAsia="Times New Roman" w:hAnsi="Times New Roman"/>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a"/>
    <w:next w:val="a"/>
    <w:uiPriority w:val="99"/>
    <w:rsid w:val="0032298E"/>
    <w:pPr>
      <w:spacing w:after="160" w:line="240" w:lineRule="exact"/>
    </w:pPr>
    <w:rPr>
      <w:rFonts w:asciiTheme="minorHAnsi" w:eastAsiaTheme="minorEastAsia" w:hAnsiTheme="minorHAnsi" w:cstheme="minorBidi"/>
      <w:vertAlign w:val="superscript"/>
      <w:lang w:val="en-CA"/>
    </w:rPr>
  </w:style>
  <w:style w:type="character" w:customStyle="1" w:styleId="60">
    <w:name w:val="Заголовок 6 Знак"/>
    <w:basedOn w:val="a0"/>
    <w:link w:val="6"/>
    <w:semiHidden/>
    <w:rsid w:val="00C56DCC"/>
    <w:rPr>
      <w:rFonts w:asciiTheme="majorHAnsi" w:eastAsiaTheme="majorEastAsia" w:hAnsiTheme="majorHAnsi" w:cstheme="majorBidi"/>
      <w:i/>
      <w:iCs/>
      <w:color w:val="243F60" w:themeColor="accent1" w:themeShade="7F"/>
      <w:sz w:val="22"/>
    </w:rPr>
  </w:style>
  <w:style w:type="character" w:customStyle="1" w:styleId="st">
    <w:name w:val="st"/>
    <w:basedOn w:val="a0"/>
    <w:rsid w:val="00DE641A"/>
  </w:style>
  <w:style w:type="paragraph" w:customStyle="1" w:styleId="Bodynumbered">
    <w:name w:val="Body (numbered)"/>
    <w:basedOn w:val="afb"/>
    <w:link w:val="BodynumberedChar"/>
    <w:qFormat/>
    <w:rsid w:val="00D3714D"/>
    <w:pPr>
      <w:numPr>
        <w:numId w:val="19"/>
      </w:numPr>
      <w:spacing w:before="120" w:after="120" w:line="276" w:lineRule="auto"/>
    </w:pPr>
    <w:rPr>
      <w:rFonts w:ascii="Arial" w:eastAsiaTheme="minorHAnsi" w:hAnsi="Arial" w:cstheme="minorBidi"/>
      <w:szCs w:val="22"/>
      <w:lang w:val="en-GB"/>
    </w:rPr>
  </w:style>
  <w:style w:type="character" w:customStyle="1" w:styleId="BodynumberedChar">
    <w:name w:val="Body (numbered) Char"/>
    <w:basedOn w:val="afc"/>
    <w:link w:val="Bodynumbered"/>
    <w:rsid w:val="00D3714D"/>
    <w:rPr>
      <w:rFonts w:ascii="Arial" w:eastAsiaTheme="minorHAnsi" w:hAnsi="Arial" w:cstheme="minorBidi"/>
      <w:sz w:val="22"/>
      <w:szCs w:val="22"/>
      <w:lang w:val="en-GB"/>
    </w:rPr>
  </w:style>
  <w:style w:type="paragraph" w:customStyle="1" w:styleId="SESPbodynumbered">
    <w:name w:val="SESP body numbered"/>
    <w:basedOn w:val="a"/>
    <w:qFormat/>
    <w:rsid w:val="008A2E95"/>
    <w:pPr>
      <w:numPr>
        <w:numId w:val="20"/>
      </w:numPr>
      <w:tabs>
        <w:tab w:val="left" w:pos="360"/>
      </w:tabs>
      <w:spacing w:before="120" w:after="120" w:line="264" w:lineRule="auto"/>
    </w:pPr>
    <w:rPr>
      <w:rFonts w:eastAsia="MS Mincho"/>
      <w:szCs w:val="20"/>
      <w:lang w:eastAsia="ja-JP"/>
    </w:rPr>
  </w:style>
  <w:style w:type="paragraph" w:customStyle="1" w:styleId="BulletText">
    <w:name w:val="Bullet Text"/>
    <w:basedOn w:val="a"/>
    <w:rsid w:val="00AA11DE"/>
    <w:pPr>
      <w:numPr>
        <w:numId w:val="22"/>
      </w:numPr>
      <w:spacing w:before="240" w:line="312" w:lineRule="auto"/>
    </w:pPr>
    <w:rPr>
      <w:rFonts w:ascii="Arial" w:eastAsia="MS Mincho" w:hAnsi="Arial"/>
      <w:spacing w:val="10"/>
      <w:szCs w:val="22"/>
      <w:lang w:val="en-GB"/>
    </w:rPr>
  </w:style>
  <w:style w:type="paragraph" w:customStyle="1" w:styleId="Para">
    <w:name w:val="Para"/>
    <w:basedOn w:val="a"/>
    <w:autoRedefine/>
    <w:uiPriority w:val="99"/>
    <w:rsid w:val="00AA11DE"/>
    <w:pPr>
      <w:spacing w:after="120"/>
    </w:pPr>
    <w:rPr>
      <w:rFonts w:ascii="Times New Roman" w:eastAsia="Arial Unicode MS" w:hAnsi="Times New Roman"/>
      <w:szCs w:val="22"/>
    </w:rPr>
  </w:style>
  <w:style w:type="paragraph" w:customStyle="1" w:styleId="FRR-regulation">
    <w:name w:val="FRR-regulation"/>
    <w:basedOn w:val="1"/>
    <w:rsid w:val="000C4641"/>
    <w:pPr>
      <w:keepNext w:val="0"/>
      <w:numPr>
        <w:numId w:val="0"/>
      </w:numPr>
      <w:pBdr>
        <w:top w:val="none" w:sz="0" w:space="0" w:color="auto"/>
      </w:pBdr>
      <w:suppressAutoHyphens w:val="0"/>
      <w:spacing w:before="0" w:after="0"/>
    </w:pPr>
    <w:rPr>
      <w:rFonts w:ascii="Arial" w:eastAsia="Times New Roman" w:hAnsi="Arial"/>
      <w:bCs/>
      <w:smallCaps w:val="0"/>
      <w:color w:val="003399"/>
      <w:spacing w:val="0"/>
      <w:sz w:val="22"/>
      <w:szCs w:val="22"/>
      <w:lang w:val="ru-RU" w:eastAsia="ru-RU"/>
    </w:rPr>
  </w:style>
  <w:style w:type="paragraph" w:customStyle="1" w:styleId="Annexheading">
    <w:name w:val="Annex heading"/>
    <w:basedOn w:val="a"/>
    <w:autoRedefine/>
    <w:rsid w:val="003C1081"/>
    <w:rPr>
      <w:rFonts w:ascii="Arial Narrow" w:eastAsia="Times New Roman" w:hAnsi="Arial Narrow"/>
      <w:b/>
      <w:szCs w:val="20"/>
    </w:rPr>
  </w:style>
  <w:style w:type="paragraph" w:styleId="33">
    <w:name w:val="toc 3"/>
    <w:basedOn w:val="a"/>
    <w:next w:val="a"/>
    <w:autoRedefine/>
    <w:uiPriority w:val="39"/>
    <w:unhideWhenUsed/>
    <w:rsid w:val="0001078D"/>
    <w:pPr>
      <w:spacing w:after="100"/>
      <w:ind w:left="400"/>
    </w:pPr>
  </w:style>
  <w:style w:type="paragraph" w:styleId="affd">
    <w:name w:val="table of figures"/>
    <w:basedOn w:val="a"/>
    <w:next w:val="a"/>
    <w:uiPriority w:val="99"/>
    <w:unhideWhenUsed/>
    <w:rsid w:val="00847A69"/>
    <w:pPr>
      <w:ind w:left="400" w:hanging="400"/>
    </w:pPr>
  </w:style>
  <w:style w:type="paragraph" w:customStyle="1" w:styleId="MediumGrid1-Accent21">
    <w:name w:val="Medium Grid 1 - Accent 21"/>
    <w:basedOn w:val="a"/>
    <w:uiPriority w:val="34"/>
    <w:qFormat/>
    <w:rsid w:val="008D13CD"/>
    <w:pPr>
      <w:ind w:left="720"/>
    </w:pPr>
    <w:rPr>
      <w:rFonts w:ascii="Times New Roman" w:eastAsia="Times New Roman" w:hAnsi="Times New Roman"/>
    </w:rPr>
  </w:style>
  <w:style w:type="table" w:customStyle="1" w:styleId="MediumShading1-Accent11">
    <w:name w:val="Medium Shading 1 - Accent 11"/>
    <w:basedOn w:val="a1"/>
    <w:uiPriority w:val="63"/>
    <w:rsid w:val="000944AD"/>
    <w:rPr>
      <w:rFonts w:eastAsia="Calibri"/>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m6828253252847863559msofootnotetext">
    <w:name w:val="m_6828253252847863559msofootnotetext"/>
    <w:basedOn w:val="a"/>
    <w:rsid w:val="0075018D"/>
    <w:pPr>
      <w:spacing w:before="100" w:beforeAutospacing="1" w:after="100" w:afterAutospacing="1"/>
    </w:pPr>
    <w:rPr>
      <w:rFonts w:ascii="Times" w:hAnsi="Times"/>
      <w:sz w:val="20"/>
      <w:szCs w:val="20"/>
    </w:rPr>
  </w:style>
  <w:style w:type="character" w:customStyle="1" w:styleId="s1">
    <w:name w:val="s1"/>
    <w:basedOn w:val="a0"/>
    <w:rsid w:val="00F70DCD"/>
  </w:style>
  <w:style w:type="paragraph" w:styleId="affe">
    <w:name w:val="Document Map"/>
    <w:basedOn w:val="a"/>
    <w:link w:val="afff"/>
    <w:semiHidden/>
    <w:unhideWhenUsed/>
    <w:rsid w:val="00710528"/>
    <w:rPr>
      <w:rFonts w:ascii="Times New Roman" w:hAnsi="Times New Roman"/>
      <w:sz w:val="24"/>
    </w:rPr>
  </w:style>
  <w:style w:type="character" w:customStyle="1" w:styleId="afff">
    <w:name w:val="Схема документа Знак"/>
    <w:basedOn w:val="a0"/>
    <w:link w:val="affe"/>
    <w:semiHidden/>
    <w:rsid w:val="00710528"/>
    <w:rPr>
      <w:rFonts w:ascii="Times New Roman" w:hAnsi="Times New Roman"/>
    </w:rPr>
  </w:style>
  <w:style w:type="paragraph" w:customStyle="1" w:styleId="p1">
    <w:name w:val="p1"/>
    <w:basedOn w:val="a"/>
    <w:rsid w:val="001750CF"/>
    <w:rPr>
      <w:sz w:val="17"/>
      <w:szCs w:val="17"/>
    </w:rPr>
  </w:style>
  <w:style w:type="character" w:customStyle="1" w:styleId="Hyperlink0">
    <w:name w:val="Hyperlink.0"/>
    <w:rsid w:val="00585A78"/>
    <w:rPr>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24134686">
      <w:bodyDiv w:val="1"/>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8330305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2380480">
      <w:bodyDiv w:val="1"/>
      <w:marLeft w:val="0"/>
      <w:marRight w:val="0"/>
      <w:marTop w:val="0"/>
      <w:marBottom w:val="0"/>
      <w:divBdr>
        <w:top w:val="none" w:sz="0" w:space="0" w:color="auto"/>
        <w:left w:val="none" w:sz="0" w:space="0" w:color="auto"/>
        <w:bottom w:val="none" w:sz="0" w:space="0" w:color="auto"/>
        <w:right w:val="none" w:sz="0" w:space="0" w:color="auto"/>
      </w:divBdr>
      <w:divsChild>
        <w:div w:id="23949143">
          <w:marLeft w:val="0"/>
          <w:marRight w:val="0"/>
          <w:marTop w:val="0"/>
          <w:marBottom w:val="0"/>
          <w:divBdr>
            <w:top w:val="none" w:sz="0" w:space="0" w:color="auto"/>
            <w:left w:val="none" w:sz="0" w:space="0" w:color="auto"/>
            <w:bottom w:val="none" w:sz="0" w:space="0" w:color="auto"/>
            <w:right w:val="none" w:sz="0" w:space="0" w:color="auto"/>
          </w:divBdr>
        </w:div>
        <w:div w:id="175048698">
          <w:marLeft w:val="0"/>
          <w:marRight w:val="0"/>
          <w:marTop w:val="0"/>
          <w:marBottom w:val="0"/>
          <w:divBdr>
            <w:top w:val="none" w:sz="0" w:space="0" w:color="auto"/>
            <w:left w:val="none" w:sz="0" w:space="0" w:color="auto"/>
            <w:bottom w:val="none" w:sz="0" w:space="0" w:color="auto"/>
            <w:right w:val="none" w:sz="0" w:space="0" w:color="auto"/>
          </w:divBdr>
        </w:div>
        <w:div w:id="224879276">
          <w:marLeft w:val="0"/>
          <w:marRight w:val="0"/>
          <w:marTop w:val="0"/>
          <w:marBottom w:val="0"/>
          <w:divBdr>
            <w:top w:val="none" w:sz="0" w:space="0" w:color="auto"/>
            <w:left w:val="none" w:sz="0" w:space="0" w:color="auto"/>
            <w:bottom w:val="none" w:sz="0" w:space="0" w:color="auto"/>
            <w:right w:val="none" w:sz="0" w:space="0" w:color="auto"/>
          </w:divBdr>
        </w:div>
        <w:div w:id="286015145">
          <w:marLeft w:val="0"/>
          <w:marRight w:val="0"/>
          <w:marTop w:val="0"/>
          <w:marBottom w:val="0"/>
          <w:divBdr>
            <w:top w:val="none" w:sz="0" w:space="0" w:color="auto"/>
            <w:left w:val="none" w:sz="0" w:space="0" w:color="auto"/>
            <w:bottom w:val="none" w:sz="0" w:space="0" w:color="auto"/>
            <w:right w:val="none" w:sz="0" w:space="0" w:color="auto"/>
          </w:divBdr>
        </w:div>
      </w:divsChild>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1707">
      <w:bodyDiv w:val="1"/>
      <w:marLeft w:val="0"/>
      <w:marRight w:val="0"/>
      <w:marTop w:val="0"/>
      <w:marBottom w:val="0"/>
      <w:divBdr>
        <w:top w:val="none" w:sz="0" w:space="0" w:color="auto"/>
        <w:left w:val="none" w:sz="0" w:space="0" w:color="auto"/>
        <w:bottom w:val="none" w:sz="0" w:space="0" w:color="auto"/>
        <w:right w:val="none" w:sz="0" w:space="0" w:color="auto"/>
      </w:divBdr>
      <w:divsChild>
        <w:div w:id="14771971">
          <w:marLeft w:val="0"/>
          <w:marRight w:val="0"/>
          <w:marTop w:val="0"/>
          <w:marBottom w:val="0"/>
          <w:divBdr>
            <w:top w:val="none" w:sz="0" w:space="0" w:color="auto"/>
            <w:left w:val="none" w:sz="0" w:space="0" w:color="auto"/>
            <w:bottom w:val="none" w:sz="0" w:space="0" w:color="auto"/>
            <w:right w:val="none" w:sz="0" w:space="0" w:color="auto"/>
          </w:divBdr>
        </w:div>
        <w:div w:id="146744703">
          <w:marLeft w:val="0"/>
          <w:marRight w:val="0"/>
          <w:marTop w:val="0"/>
          <w:marBottom w:val="0"/>
          <w:divBdr>
            <w:top w:val="none" w:sz="0" w:space="0" w:color="auto"/>
            <w:left w:val="none" w:sz="0" w:space="0" w:color="auto"/>
            <w:bottom w:val="none" w:sz="0" w:space="0" w:color="auto"/>
            <w:right w:val="none" w:sz="0" w:space="0" w:color="auto"/>
          </w:divBdr>
        </w:div>
        <w:div w:id="157041309">
          <w:marLeft w:val="0"/>
          <w:marRight w:val="0"/>
          <w:marTop w:val="0"/>
          <w:marBottom w:val="0"/>
          <w:divBdr>
            <w:top w:val="none" w:sz="0" w:space="0" w:color="auto"/>
            <w:left w:val="none" w:sz="0" w:space="0" w:color="auto"/>
            <w:bottom w:val="none" w:sz="0" w:space="0" w:color="auto"/>
            <w:right w:val="none" w:sz="0" w:space="0" w:color="auto"/>
          </w:divBdr>
        </w:div>
        <w:div w:id="515581975">
          <w:marLeft w:val="0"/>
          <w:marRight w:val="0"/>
          <w:marTop w:val="0"/>
          <w:marBottom w:val="0"/>
          <w:divBdr>
            <w:top w:val="none" w:sz="0" w:space="0" w:color="auto"/>
            <w:left w:val="none" w:sz="0" w:space="0" w:color="auto"/>
            <w:bottom w:val="none" w:sz="0" w:space="0" w:color="auto"/>
            <w:right w:val="none" w:sz="0" w:space="0" w:color="auto"/>
          </w:divBdr>
        </w:div>
        <w:div w:id="1437214399">
          <w:marLeft w:val="0"/>
          <w:marRight w:val="0"/>
          <w:marTop w:val="0"/>
          <w:marBottom w:val="0"/>
          <w:divBdr>
            <w:top w:val="none" w:sz="0" w:space="0" w:color="auto"/>
            <w:left w:val="none" w:sz="0" w:space="0" w:color="auto"/>
            <w:bottom w:val="none" w:sz="0" w:space="0" w:color="auto"/>
            <w:right w:val="none" w:sz="0" w:space="0" w:color="auto"/>
          </w:divBdr>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4752469">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6289741">
      <w:bodyDiv w:val="1"/>
      <w:marLeft w:val="0"/>
      <w:marRight w:val="0"/>
      <w:marTop w:val="0"/>
      <w:marBottom w:val="0"/>
      <w:divBdr>
        <w:top w:val="none" w:sz="0" w:space="0" w:color="auto"/>
        <w:left w:val="none" w:sz="0" w:space="0" w:color="auto"/>
        <w:bottom w:val="none" w:sz="0" w:space="0" w:color="auto"/>
        <w:right w:val="none" w:sz="0" w:space="0" w:color="auto"/>
      </w:divBdr>
      <w:divsChild>
        <w:div w:id="1614243420">
          <w:marLeft w:val="0"/>
          <w:marRight w:val="0"/>
          <w:marTop w:val="0"/>
          <w:marBottom w:val="0"/>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42224945">
      <w:bodyDiv w:val="1"/>
      <w:marLeft w:val="0"/>
      <w:marRight w:val="0"/>
      <w:marTop w:val="0"/>
      <w:marBottom w:val="0"/>
      <w:divBdr>
        <w:top w:val="none" w:sz="0" w:space="0" w:color="auto"/>
        <w:left w:val="none" w:sz="0" w:space="0" w:color="auto"/>
        <w:bottom w:val="none" w:sz="0" w:space="0" w:color="auto"/>
        <w:right w:val="none" w:sz="0" w:space="0" w:color="auto"/>
      </w:divBdr>
      <w:divsChild>
        <w:div w:id="1336570521">
          <w:marLeft w:val="0"/>
          <w:marRight w:val="0"/>
          <w:marTop w:val="0"/>
          <w:marBottom w:val="0"/>
          <w:divBdr>
            <w:top w:val="none" w:sz="0" w:space="0" w:color="auto"/>
            <w:left w:val="none" w:sz="0" w:space="0" w:color="auto"/>
            <w:bottom w:val="none" w:sz="0" w:space="0" w:color="auto"/>
            <w:right w:val="none" w:sz="0" w:space="0" w:color="auto"/>
          </w:divBdr>
          <w:divsChild>
            <w:div w:id="20667486">
              <w:marLeft w:val="0"/>
              <w:marRight w:val="0"/>
              <w:marTop w:val="0"/>
              <w:marBottom w:val="0"/>
              <w:divBdr>
                <w:top w:val="none" w:sz="0" w:space="0" w:color="auto"/>
                <w:left w:val="none" w:sz="0" w:space="0" w:color="auto"/>
                <w:bottom w:val="none" w:sz="0" w:space="0" w:color="auto"/>
                <w:right w:val="none" w:sz="0" w:space="0" w:color="auto"/>
              </w:divBdr>
            </w:div>
            <w:div w:id="53742403">
              <w:marLeft w:val="0"/>
              <w:marRight w:val="0"/>
              <w:marTop w:val="0"/>
              <w:marBottom w:val="0"/>
              <w:divBdr>
                <w:top w:val="none" w:sz="0" w:space="0" w:color="auto"/>
                <w:left w:val="none" w:sz="0" w:space="0" w:color="auto"/>
                <w:bottom w:val="none" w:sz="0" w:space="0" w:color="auto"/>
                <w:right w:val="none" w:sz="0" w:space="0" w:color="auto"/>
              </w:divBdr>
            </w:div>
            <w:div w:id="66654436">
              <w:marLeft w:val="0"/>
              <w:marRight w:val="0"/>
              <w:marTop w:val="0"/>
              <w:marBottom w:val="0"/>
              <w:divBdr>
                <w:top w:val="none" w:sz="0" w:space="0" w:color="auto"/>
                <w:left w:val="none" w:sz="0" w:space="0" w:color="auto"/>
                <w:bottom w:val="none" w:sz="0" w:space="0" w:color="auto"/>
                <w:right w:val="none" w:sz="0" w:space="0" w:color="auto"/>
              </w:divBdr>
            </w:div>
            <w:div w:id="77294905">
              <w:marLeft w:val="0"/>
              <w:marRight w:val="0"/>
              <w:marTop w:val="0"/>
              <w:marBottom w:val="0"/>
              <w:divBdr>
                <w:top w:val="none" w:sz="0" w:space="0" w:color="auto"/>
                <w:left w:val="none" w:sz="0" w:space="0" w:color="auto"/>
                <w:bottom w:val="none" w:sz="0" w:space="0" w:color="auto"/>
                <w:right w:val="none" w:sz="0" w:space="0" w:color="auto"/>
              </w:divBdr>
            </w:div>
            <w:div w:id="132336801">
              <w:marLeft w:val="0"/>
              <w:marRight w:val="0"/>
              <w:marTop w:val="0"/>
              <w:marBottom w:val="0"/>
              <w:divBdr>
                <w:top w:val="none" w:sz="0" w:space="0" w:color="auto"/>
                <w:left w:val="none" w:sz="0" w:space="0" w:color="auto"/>
                <w:bottom w:val="none" w:sz="0" w:space="0" w:color="auto"/>
                <w:right w:val="none" w:sz="0" w:space="0" w:color="auto"/>
              </w:divBdr>
            </w:div>
            <w:div w:id="147747179">
              <w:marLeft w:val="0"/>
              <w:marRight w:val="0"/>
              <w:marTop w:val="0"/>
              <w:marBottom w:val="0"/>
              <w:divBdr>
                <w:top w:val="none" w:sz="0" w:space="0" w:color="auto"/>
                <w:left w:val="none" w:sz="0" w:space="0" w:color="auto"/>
                <w:bottom w:val="none" w:sz="0" w:space="0" w:color="auto"/>
                <w:right w:val="none" w:sz="0" w:space="0" w:color="auto"/>
              </w:divBdr>
            </w:div>
            <w:div w:id="150416209">
              <w:marLeft w:val="0"/>
              <w:marRight w:val="0"/>
              <w:marTop w:val="0"/>
              <w:marBottom w:val="0"/>
              <w:divBdr>
                <w:top w:val="none" w:sz="0" w:space="0" w:color="auto"/>
                <w:left w:val="none" w:sz="0" w:space="0" w:color="auto"/>
                <w:bottom w:val="none" w:sz="0" w:space="0" w:color="auto"/>
                <w:right w:val="none" w:sz="0" w:space="0" w:color="auto"/>
              </w:divBdr>
            </w:div>
            <w:div w:id="198396590">
              <w:marLeft w:val="0"/>
              <w:marRight w:val="0"/>
              <w:marTop w:val="0"/>
              <w:marBottom w:val="0"/>
              <w:divBdr>
                <w:top w:val="none" w:sz="0" w:space="0" w:color="auto"/>
                <w:left w:val="none" w:sz="0" w:space="0" w:color="auto"/>
                <w:bottom w:val="none" w:sz="0" w:space="0" w:color="auto"/>
                <w:right w:val="none" w:sz="0" w:space="0" w:color="auto"/>
              </w:divBdr>
            </w:div>
            <w:div w:id="210583195">
              <w:marLeft w:val="0"/>
              <w:marRight w:val="0"/>
              <w:marTop w:val="0"/>
              <w:marBottom w:val="0"/>
              <w:divBdr>
                <w:top w:val="none" w:sz="0" w:space="0" w:color="auto"/>
                <w:left w:val="none" w:sz="0" w:space="0" w:color="auto"/>
                <w:bottom w:val="none" w:sz="0" w:space="0" w:color="auto"/>
                <w:right w:val="none" w:sz="0" w:space="0" w:color="auto"/>
              </w:divBdr>
            </w:div>
            <w:div w:id="218781790">
              <w:marLeft w:val="0"/>
              <w:marRight w:val="0"/>
              <w:marTop w:val="0"/>
              <w:marBottom w:val="0"/>
              <w:divBdr>
                <w:top w:val="none" w:sz="0" w:space="0" w:color="auto"/>
                <w:left w:val="none" w:sz="0" w:space="0" w:color="auto"/>
                <w:bottom w:val="none" w:sz="0" w:space="0" w:color="auto"/>
                <w:right w:val="none" w:sz="0" w:space="0" w:color="auto"/>
              </w:divBdr>
            </w:div>
            <w:div w:id="240482596">
              <w:marLeft w:val="0"/>
              <w:marRight w:val="0"/>
              <w:marTop w:val="0"/>
              <w:marBottom w:val="0"/>
              <w:divBdr>
                <w:top w:val="none" w:sz="0" w:space="0" w:color="auto"/>
                <w:left w:val="none" w:sz="0" w:space="0" w:color="auto"/>
                <w:bottom w:val="none" w:sz="0" w:space="0" w:color="auto"/>
                <w:right w:val="none" w:sz="0" w:space="0" w:color="auto"/>
              </w:divBdr>
            </w:div>
            <w:div w:id="242183817">
              <w:marLeft w:val="0"/>
              <w:marRight w:val="0"/>
              <w:marTop w:val="0"/>
              <w:marBottom w:val="0"/>
              <w:divBdr>
                <w:top w:val="none" w:sz="0" w:space="0" w:color="auto"/>
                <w:left w:val="none" w:sz="0" w:space="0" w:color="auto"/>
                <w:bottom w:val="none" w:sz="0" w:space="0" w:color="auto"/>
                <w:right w:val="none" w:sz="0" w:space="0" w:color="auto"/>
              </w:divBdr>
            </w:div>
            <w:div w:id="288822503">
              <w:marLeft w:val="0"/>
              <w:marRight w:val="0"/>
              <w:marTop w:val="0"/>
              <w:marBottom w:val="0"/>
              <w:divBdr>
                <w:top w:val="none" w:sz="0" w:space="0" w:color="auto"/>
                <w:left w:val="none" w:sz="0" w:space="0" w:color="auto"/>
                <w:bottom w:val="none" w:sz="0" w:space="0" w:color="auto"/>
                <w:right w:val="none" w:sz="0" w:space="0" w:color="auto"/>
              </w:divBdr>
            </w:div>
            <w:div w:id="332688523">
              <w:marLeft w:val="0"/>
              <w:marRight w:val="0"/>
              <w:marTop w:val="0"/>
              <w:marBottom w:val="0"/>
              <w:divBdr>
                <w:top w:val="none" w:sz="0" w:space="0" w:color="auto"/>
                <w:left w:val="none" w:sz="0" w:space="0" w:color="auto"/>
                <w:bottom w:val="none" w:sz="0" w:space="0" w:color="auto"/>
                <w:right w:val="none" w:sz="0" w:space="0" w:color="auto"/>
              </w:divBdr>
            </w:div>
            <w:div w:id="364327642">
              <w:marLeft w:val="0"/>
              <w:marRight w:val="0"/>
              <w:marTop w:val="0"/>
              <w:marBottom w:val="0"/>
              <w:divBdr>
                <w:top w:val="none" w:sz="0" w:space="0" w:color="auto"/>
                <w:left w:val="none" w:sz="0" w:space="0" w:color="auto"/>
                <w:bottom w:val="none" w:sz="0" w:space="0" w:color="auto"/>
                <w:right w:val="none" w:sz="0" w:space="0" w:color="auto"/>
              </w:divBdr>
            </w:div>
            <w:div w:id="364988610">
              <w:marLeft w:val="0"/>
              <w:marRight w:val="0"/>
              <w:marTop w:val="0"/>
              <w:marBottom w:val="0"/>
              <w:divBdr>
                <w:top w:val="none" w:sz="0" w:space="0" w:color="auto"/>
                <w:left w:val="none" w:sz="0" w:space="0" w:color="auto"/>
                <w:bottom w:val="none" w:sz="0" w:space="0" w:color="auto"/>
                <w:right w:val="none" w:sz="0" w:space="0" w:color="auto"/>
              </w:divBdr>
            </w:div>
            <w:div w:id="417675400">
              <w:marLeft w:val="0"/>
              <w:marRight w:val="0"/>
              <w:marTop w:val="0"/>
              <w:marBottom w:val="0"/>
              <w:divBdr>
                <w:top w:val="none" w:sz="0" w:space="0" w:color="auto"/>
                <w:left w:val="none" w:sz="0" w:space="0" w:color="auto"/>
                <w:bottom w:val="none" w:sz="0" w:space="0" w:color="auto"/>
                <w:right w:val="none" w:sz="0" w:space="0" w:color="auto"/>
              </w:divBdr>
            </w:div>
            <w:div w:id="474445970">
              <w:marLeft w:val="0"/>
              <w:marRight w:val="0"/>
              <w:marTop w:val="0"/>
              <w:marBottom w:val="0"/>
              <w:divBdr>
                <w:top w:val="none" w:sz="0" w:space="0" w:color="auto"/>
                <w:left w:val="none" w:sz="0" w:space="0" w:color="auto"/>
                <w:bottom w:val="none" w:sz="0" w:space="0" w:color="auto"/>
                <w:right w:val="none" w:sz="0" w:space="0" w:color="auto"/>
              </w:divBdr>
            </w:div>
            <w:div w:id="494108580">
              <w:marLeft w:val="0"/>
              <w:marRight w:val="0"/>
              <w:marTop w:val="0"/>
              <w:marBottom w:val="0"/>
              <w:divBdr>
                <w:top w:val="none" w:sz="0" w:space="0" w:color="auto"/>
                <w:left w:val="none" w:sz="0" w:space="0" w:color="auto"/>
                <w:bottom w:val="none" w:sz="0" w:space="0" w:color="auto"/>
                <w:right w:val="none" w:sz="0" w:space="0" w:color="auto"/>
              </w:divBdr>
            </w:div>
            <w:div w:id="505175937">
              <w:marLeft w:val="0"/>
              <w:marRight w:val="0"/>
              <w:marTop w:val="0"/>
              <w:marBottom w:val="0"/>
              <w:divBdr>
                <w:top w:val="none" w:sz="0" w:space="0" w:color="auto"/>
                <w:left w:val="none" w:sz="0" w:space="0" w:color="auto"/>
                <w:bottom w:val="none" w:sz="0" w:space="0" w:color="auto"/>
                <w:right w:val="none" w:sz="0" w:space="0" w:color="auto"/>
              </w:divBdr>
            </w:div>
            <w:div w:id="530382871">
              <w:marLeft w:val="0"/>
              <w:marRight w:val="0"/>
              <w:marTop w:val="0"/>
              <w:marBottom w:val="0"/>
              <w:divBdr>
                <w:top w:val="none" w:sz="0" w:space="0" w:color="auto"/>
                <w:left w:val="none" w:sz="0" w:space="0" w:color="auto"/>
                <w:bottom w:val="none" w:sz="0" w:space="0" w:color="auto"/>
                <w:right w:val="none" w:sz="0" w:space="0" w:color="auto"/>
              </w:divBdr>
            </w:div>
            <w:div w:id="576985480">
              <w:marLeft w:val="0"/>
              <w:marRight w:val="0"/>
              <w:marTop w:val="0"/>
              <w:marBottom w:val="0"/>
              <w:divBdr>
                <w:top w:val="none" w:sz="0" w:space="0" w:color="auto"/>
                <w:left w:val="none" w:sz="0" w:space="0" w:color="auto"/>
                <w:bottom w:val="none" w:sz="0" w:space="0" w:color="auto"/>
                <w:right w:val="none" w:sz="0" w:space="0" w:color="auto"/>
              </w:divBdr>
            </w:div>
            <w:div w:id="577328441">
              <w:marLeft w:val="0"/>
              <w:marRight w:val="0"/>
              <w:marTop w:val="0"/>
              <w:marBottom w:val="0"/>
              <w:divBdr>
                <w:top w:val="none" w:sz="0" w:space="0" w:color="auto"/>
                <w:left w:val="none" w:sz="0" w:space="0" w:color="auto"/>
                <w:bottom w:val="none" w:sz="0" w:space="0" w:color="auto"/>
                <w:right w:val="none" w:sz="0" w:space="0" w:color="auto"/>
              </w:divBdr>
            </w:div>
            <w:div w:id="579601547">
              <w:marLeft w:val="0"/>
              <w:marRight w:val="0"/>
              <w:marTop w:val="0"/>
              <w:marBottom w:val="0"/>
              <w:divBdr>
                <w:top w:val="none" w:sz="0" w:space="0" w:color="auto"/>
                <w:left w:val="none" w:sz="0" w:space="0" w:color="auto"/>
                <w:bottom w:val="none" w:sz="0" w:space="0" w:color="auto"/>
                <w:right w:val="none" w:sz="0" w:space="0" w:color="auto"/>
              </w:divBdr>
            </w:div>
            <w:div w:id="638459233">
              <w:marLeft w:val="0"/>
              <w:marRight w:val="0"/>
              <w:marTop w:val="0"/>
              <w:marBottom w:val="0"/>
              <w:divBdr>
                <w:top w:val="none" w:sz="0" w:space="0" w:color="auto"/>
                <w:left w:val="none" w:sz="0" w:space="0" w:color="auto"/>
                <w:bottom w:val="none" w:sz="0" w:space="0" w:color="auto"/>
                <w:right w:val="none" w:sz="0" w:space="0" w:color="auto"/>
              </w:divBdr>
            </w:div>
            <w:div w:id="655838397">
              <w:marLeft w:val="0"/>
              <w:marRight w:val="0"/>
              <w:marTop w:val="0"/>
              <w:marBottom w:val="0"/>
              <w:divBdr>
                <w:top w:val="none" w:sz="0" w:space="0" w:color="auto"/>
                <w:left w:val="none" w:sz="0" w:space="0" w:color="auto"/>
                <w:bottom w:val="none" w:sz="0" w:space="0" w:color="auto"/>
                <w:right w:val="none" w:sz="0" w:space="0" w:color="auto"/>
              </w:divBdr>
            </w:div>
            <w:div w:id="702052066">
              <w:marLeft w:val="0"/>
              <w:marRight w:val="0"/>
              <w:marTop w:val="0"/>
              <w:marBottom w:val="0"/>
              <w:divBdr>
                <w:top w:val="none" w:sz="0" w:space="0" w:color="auto"/>
                <w:left w:val="none" w:sz="0" w:space="0" w:color="auto"/>
                <w:bottom w:val="none" w:sz="0" w:space="0" w:color="auto"/>
                <w:right w:val="none" w:sz="0" w:space="0" w:color="auto"/>
              </w:divBdr>
            </w:div>
            <w:div w:id="727536267">
              <w:marLeft w:val="0"/>
              <w:marRight w:val="0"/>
              <w:marTop w:val="0"/>
              <w:marBottom w:val="0"/>
              <w:divBdr>
                <w:top w:val="none" w:sz="0" w:space="0" w:color="auto"/>
                <w:left w:val="none" w:sz="0" w:space="0" w:color="auto"/>
                <w:bottom w:val="none" w:sz="0" w:space="0" w:color="auto"/>
                <w:right w:val="none" w:sz="0" w:space="0" w:color="auto"/>
              </w:divBdr>
            </w:div>
            <w:div w:id="767235563">
              <w:marLeft w:val="0"/>
              <w:marRight w:val="0"/>
              <w:marTop w:val="0"/>
              <w:marBottom w:val="0"/>
              <w:divBdr>
                <w:top w:val="none" w:sz="0" w:space="0" w:color="auto"/>
                <w:left w:val="none" w:sz="0" w:space="0" w:color="auto"/>
                <w:bottom w:val="none" w:sz="0" w:space="0" w:color="auto"/>
                <w:right w:val="none" w:sz="0" w:space="0" w:color="auto"/>
              </w:divBdr>
            </w:div>
            <w:div w:id="813713860">
              <w:marLeft w:val="0"/>
              <w:marRight w:val="0"/>
              <w:marTop w:val="0"/>
              <w:marBottom w:val="0"/>
              <w:divBdr>
                <w:top w:val="none" w:sz="0" w:space="0" w:color="auto"/>
                <w:left w:val="none" w:sz="0" w:space="0" w:color="auto"/>
                <w:bottom w:val="none" w:sz="0" w:space="0" w:color="auto"/>
                <w:right w:val="none" w:sz="0" w:space="0" w:color="auto"/>
              </w:divBdr>
            </w:div>
            <w:div w:id="826868977">
              <w:marLeft w:val="0"/>
              <w:marRight w:val="0"/>
              <w:marTop w:val="0"/>
              <w:marBottom w:val="0"/>
              <w:divBdr>
                <w:top w:val="none" w:sz="0" w:space="0" w:color="auto"/>
                <w:left w:val="none" w:sz="0" w:space="0" w:color="auto"/>
                <w:bottom w:val="none" w:sz="0" w:space="0" w:color="auto"/>
                <w:right w:val="none" w:sz="0" w:space="0" w:color="auto"/>
              </w:divBdr>
            </w:div>
            <w:div w:id="977420515">
              <w:marLeft w:val="0"/>
              <w:marRight w:val="0"/>
              <w:marTop w:val="0"/>
              <w:marBottom w:val="0"/>
              <w:divBdr>
                <w:top w:val="none" w:sz="0" w:space="0" w:color="auto"/>
                <w:left w:val="none" w:sz="0" w:space="0" w:color="auto"/>
                <w:bottom w:val="none" w:sz="0" w:space="0" w:color="auto"/>
                <w:right w:val="none" w:sz="0" w:space="0" w:color="auto"/>
              </w:divBdr>
            </w:div>
            <w:div w:id="979310419">
              <w:marLeft w:val="0"/>
              <w:marRight w:val="0"/>
              <w:marTop w:val="0"/>
              <w:marBottom w:val="0"/>
              <w:divBdr>
                <w:top w:val="none" w:sz="0" w:space="0" w:color="auto"/>
                <w:left w:val="none" w:sz="0" w:space="0" w:color="auto"/>
                <w:bottom w:val="none" w:sz="0" w:space="0" w:color="auto"/>
                <w:right w:val="none" w:sz="0" w:space="0" w:color="auto"/>
              </w:divBdr>
            </w:div>
            <w:div w:id="1020090272">
              <w:marLeft w:val="0"/>
              <w:marRight w:val="0"/>
              <w:marTop w:val="0"/>
              <w:marBottom w:val="0"/>
              <w:divBdr>
                <w:top w:val="none" w:sz="0" w:space="0" w:color="auto"/>
                <w:left w:val="none" w:sz="0" w:space="0" w:color="auto"/>
                <w:bottom w:val="none" w:sz="0" w:space="0" w:color="auto"/>
                <w:right w:val="none" w:sz="0" w:space="0" w:color="auto"/>
              </w:divBdr>
            </w:div>
            <w:div w:id="1039008265">
              <w:marLeft w:val="0"/>
              <w:marRight w:val="0"/>
              <w:marTop w:val="0"/>
              <w:marBottom w:val="0"/>
              <w:divBdr>
                <w:top w:val="none" w:sz="0" w:space="0" w:color="auto"/>
                <w:left w:val="none" w:sz="0" w:space="0" w:color="auto"/>
                <w:bottom w:val="none" w:sz="0" w:space="0" w:color="auto"/>
                <w:right w:val="none" w:sz="0" w:space="0" w:color="auto"/>
              </w:divBdr>
            </w:div>
            <w:div w:id="1047148914">
              <w:marLeft w:val="0"/>
              <w:marRight w:val="0"/>
              <w:marTop w:val="0"/>
              <w:marBottom w:val="0"/>
              <w:divBdr>
                <w:top w:val="none" w:sz="0" w:space="0" w:color="auto"/>
                <w:left w:val="none" w:sz="0" w:space="0" w:color="auto"/>
                <w:bottom w:val="none" w:sz="0" w:space="0" w:color="auto"/>
                <w:right w:val="none" w:sz="0" w:space="0" w:color="auto"/>
              </w:divBdr>
            </w:div>
            <w:div w:id="1048411134">
              <w:marLeft w:val="0"/>
              <w:marRight w:val="0"/>
              <w:marTop w:val="0"/>
              <w:marBottom w:val="0"/>
              <w:divBdr>
                <w:top w:val="none" w:sz="0" w:space="0" w:color="auto"/>
                <w:left w:val="none" w:sz="0" w:space="0" w:color="auto"/>
                <w:bottom w:val="none" w:sz="0" w:space="0" w:color="auto"/>
                <w:right w:val="none" w:sz="0" w:space="0" w:color="auto"/>
              </w:divBdr>
            </w:div>
            <w:div w:id="1109739436">
              <w:marLeft w:val="0"/>
              <w:marRight w:val="0"/>
              <w:marTop w:val="0"/>
              <w:marBottom w:val="0"/>
              <w:divBdr>
                <w:top w:val="none" w:sz="0" w:space="0" w:color="auto"/>
                <w:left w:val="none" w:sz="0" w:space="0" w:color="auto"/>
                <w:bottom w:val="none" w:sz="0" w:space="0" w:color="auto"/>
                <w:right w:val="none" w:sz="0" w:space="0" w:color="auto"/>
              </w:divBdr>
            </w:div>
            <w:div w:id="1177158391">
              <w:marLeft w:val="0"/>
              <w:marRight w:val="0"/>
              <w:marTop w:val="0"/>
              <w:marBottom w:val="0"/>
              <w:divBdr>
                <w:top w:val="none" w:sz="0" w:space="0" w:color="auto"/>
                <w:left w:val="none" w:sz="0" w:space="0" w:color="auto"/>
                <w:bottom w:val="none" w:sz="0" w:space="0" w:color="auto"/>
                <w:right w:val="none" w:sz="0" w:space="0" w:color="auto"/>
              </w:divBdr>
            </w:div>
            <w:div w:id="1229725457">
              <w:marLeft w:val="0"/>
              <w:marRight w:val="0"/>
              <w:marTop w:val="0"/>
              <w:marBottom w:val="0"/>
              <w:divBdr>
                <w:top w:val="none" w:sz="0" w:space="0" w:color="auto"/>
                <w:left w:val="none" w:sz="0" w:space="0" w:color="auto"/>
                <w:bottom w:val="none" w:sz="0" w:space="0" w:color="auto"/>
                <w:right w:val="none" w:sz="0" w:space="0" w:color="auto"/>
              </w:divBdr>
            </w:div>
            <w:div w:id="1253276305">
              <w:marLeft w:val="0"/>
              <w:marRight w:val="0"/>
              <w:marTop w:val="0"/>
              <w:marBottom w:val="0"/>
              <w:divBdr>
                <w:top w:val="none" w:sz="0" w:space="0" w:color="auto"/>
                <w:left w:val="none" w:sz="0" w:space="0" w:color="auto"/>
                <w:bottom w:val="none" w:sz="0" w:space="0" w:color="auto"/>
                <w:right w:val="none" w:sz="0" w:space="0" w:color="auto"/>
              </w:divBdr>
            </w:div>
            <w:div w:id="1282105825">
              <w:marLeft w:val="0"/>
              <w:marRight w:val="0"/>
              <w:marTop w:val="0"/>
              <w:marBottom w:val="0"/>
              <w:divBdr>
                <w:top w:val="none" w:sz="0" w:space="0" w:color="auto"/>
                <w:left w:val="none" w:sz="0" w:space="0" w:color="auto"/>
                <w:bottom w:val="none" w:sz="0" w:space="0" w:color="auto"/>
                <w:right w:val="none" w:sz="0" w:space="0" w:color="auto"/>
              </w:divBdr>
            </w:div>
            <w:div w:id="1284459864">
              <w:marLeft w:val="0"/>
              <w:marRight w:val="0"/>
              <w:marTop w:val="0"/>
              <w:marBottom w:val="0"/>
              <w:divBdr>
                <w:top w:val="none" w:sz="0" w:space="0" w:color="auto"/>
                <w:left w:val="none" w:sz="0" w:space="0" w:color="auto"/>
                <w:bottom w:val="none" w:sz="0" w:space="0" w:color="auto"/>
                <w:right w:val="none" w:sz="0" w:space="0" w:color="auto"/>
              </w:divBdr>
            </w:div>
            <w:div w:id="1303190361">
              <w:marLeft w:val="0"/>
              <w:marRight w:val="0"/>
              <w:marTop w:val="0"/>
              <w:marBottom w:val="0"/>
              <w:divBdr>
                <w:top w:val="none" w:sz="0" w:space="0" w:color="auto"/>
                <w:left w:val="none" w:sz="0" w:space="0" w:color="auto"/>
                <w:bottom w:val="none" w:sz="0" w:space="0" w:color="auto"/>
                <w:right w:val="none" w:sz="0" w:space="0" w:color="auto"/>
              </w:divBdr>
            </w:div>
            <w:div w:id="1311834639">
              <w:marLeft w:val="0"/>
              <w:marRight w:val="0"/>
              <w:marTop w:val="0"/>
              <w:marBottom w:val="0"/>
              <w:divBdr>
                <w:top w:val="none" w:sz="0" w:space="0" w:color="auto"/>
                <w:left w:val="none" w:sz="0" w:space="0" w:color="auto"/>
                <w:bottom w:val="none" w:sz="0" w:space="0" w:color="auto"/>
                <w:right w:val="none" w:sz="0" w:space="0" w:color="auto"/>
              </w:divBdr>
            </w:div>
            <w:div w:id="1419668725">
              <w:marLeft w:val="0"/>
              <w:marRight w:val="0"/>
              <w:marTop w:val="0"/>
              <w:marBottom w:val="0"/>
              <w:divBdr>
                <w:top w:val="none" w:sz="0" w:space="0" w:color="auto"/>
                <w:left w:val="none" w:sz="0" w:space="0" w:color="auto"/>
                <w:bottom w:val="none" w:sz="0" w:space="0" w:color="auto"/>
                <w:right w:val="none" w:sz="0" w:space="0" w:color="auto"/>
              </w:divBdr>
            </w:div>
            <w:div w:id="1424298631">
              <w:marLeft w:val="0"/>
              <w:marRight w:val="0"/>
              <w:marTop w:val="0"/>
              <w:marBottom w:val="0"/>
              <w:divBdr>
                <w:top w:val="none" w:sz="0" w:space="0" w:color="auto"/>
                <w:left w:val="none" w:sz="0" w:space="0" w:color="auto"/>
                <w:bottom w:val="none" w:sz="0" w:space="0" w:color="auto"/>
                <w:right w:val="none" w:sz="0" w:space="0" w:color="auto"/>
              </w:divBdr>
            </w:div>
            <w:div w:id="1425421680">
              <w:marLeft w:val="0"/>
              <w:marRight w:val="0"/>
              <w:marTop w:val="0"/>
              <w:marBottom w:val="0"/>
              <w:divBdr>
                <w:top w:val="none" w:sz="0" w:space="0" w:color="auto"/>
                <w:left w:val="none" w:sz="0" w:space="0" w:color="auto"/>
                <w:bottom w:val="none" w:sz="0" w:space="0" w:color="auto"/>
                <w:right w:val="none" w:sz="0" w:space="0" w:color="auto"/>
              </w:divBdr>
            </w:div>
            <w:div w:id="1426724389">
              <w:marLeft w:val="0"/>
              <w:marRight w:val="0"/>
              <w:marTop w:val="0"/>
              <w:marBottom w:val="0"/>
              <w:divBdr>
                <w:top w:val="none" w:sz="0" w:space="0" w:color="auto"/>
                <w:left w:val="none" w:sz="0" w:space="0" w:color="auto"/>
                <w:bottom w:val="none" w:sz="0" w:space="0" w:color="auto"/>
                <w:right w:val="none" w:sz="0" w:space="0" w:color="auto"/>
              </w:divBdr>
            </w:div>
            <w:div w:id="1431395075">
              <w:marLeft w:val="0"/>
              <w:marRight w:val="0"/>
              <w:marTop w:val="0"/>
              <w:marBottom w:val="0"/>
              <w:divBdr>
                <w:top w:val="none" w:sz="0" w:space="0" w:color="auto"/>
                <w:left w:val="none" w:sz="0" w:space="0" w:color="auto"/>
                <w:bottom w:val="none" w:sz="0" w:space="0" w:color="auto"/>
                <w:right w:val="none" w:sz="0" w:space="0" w:color="auto"/>
              </w:divBdr>
            </w:div>
            <w:div w:id="1513912554">
              <w:marLeft w:val="0"/>
              <w:marRight w:val="0"/>
              <w:marTop w:val="0"/>
              <w:marBottom w:val="0"/>
              <w:divBdr>
                <w:top w:val="none" w:sz="0" w:space="0" w:color="auto"/>
                <w:left w:val="none" w:sz="0" w:space="0" w:color="auto"/>
                <w:bottom w:val="none" w:sz="0" w:space="0" w:color="auto"/>
                <w:right w:val="none" w:sz="0" w:space="0" w:color="auto"/>
              </w:divBdr>
            </w:div>
            <w:div w:id="1514802359">
              <w:marLeft w:val="0"/>
              <w:marRight w:val="0"/>
              <w:marTop w:val="0"/>
              <w:marBottom w:val="0"/>
              <w:divBdr>
                <w:top w:val="none" w:sz="0" w:space="0" w:color="auto"/>
                <w:left w:val="none" w:sz="0" w:space="0" w:color="auto"/>
                <w:bottom w:val="none" w:sz="0" w:space="0" w:color="auto"/>
                <w:right w:val="none" w:sz="0" w:space="0" w:color="auto"/>
              </w:divBdr>
            </w:div>
            <w:div w:id="1521894194">
              <w:marLeft w:val="0"/>
              <w:marRight w:val="0"/>
              <w:marTop w:val="0"/>
              <w:marBottom w:val="0"/>
              <w:divBdr>
                <w:top w:val="none" w:sz="0" w:space="0" w:color="auto"/>
                <w:left w:val="none" w:sz="0" w:space="0" w:color="auto"/>
                <w:bottom w:val="none" w:sz="0" w:space="0" w:color="auto"/>
                <w:right w:val="none" w:sz="0" w:space="0" w:color="auto"/>
              </w:divBdr>
            </w:div>
            <w:div w:id="1531526114">
              <w:marLeft w:val="0"/>
              <w:marRight w:val="0"/>
              <w:marTop w:val="0"/>
              <w:marBottom w:val="0"/>
              <w:divBdr>
                <w:top w:val="none" w:sz="0" w:space="0" w:color="auto"/>
                <w:left w:val="none" w:sz="0" w:space="0" w:color="auto"/>
                <w:bottom w:val="none" w:sz="0" w:space="0" w:color="auto"/>
                <w:right w:val="none" w:sz="0" w:space="0" w:color="auto"/>
              </w:divBdr>
            </w:div>
            <w:div w:id="1534071464">
              <w:marLeft w:val="0"/>
              <w:marRight w:val="0"/>
              <w:marTop w:val="0"/>
              <w:marBottom w:val="0"/>
              <w:divBdr>
                <w:top w:val="none" w:sz="0" w:space="0" w:color="auto"/>
                <w:left w:val="none" w:sz="0" w:space="0" w:color="auto"/>
                <w:bottom w:val="none" w:sz="0" w:space="0" w:color="auto"/>
                <w:right w:val="none" w:sz="0" w:space="0" w:color="auto"/>
              </w:divBdr>
            </w:div>
            <w:div w:id="1542477253">
              <w:marLeft w:val="0"/>
              <w:marRight w:val="0"/>
              <w:marTop w:val="0"/>
              <w:marBottom w:val="0"/>
              <w:divBdr>
                <w:top w:val="none" w:sz="0" w:space="0" w:color="auto"/>
                <w:left w:val="none" w:sz="0" w:space="0" w:color="auto"/>
                <w:bottom w:val="none" w:sz="0" w:space="0" w:color="auto"/>
                <w:right w:val="none" w:sz="0" w:space="0" w:color="auto"/>
              </w:divBdr>
            </w:div>
            <w:div w:id="1562983033">
              <w:marLeft w:val="0"/>
              <w:marRight w:val="0"/>
              <w:marTop w:val="0"/>
              <w:marBottom w:val="0"/>
              <w:divBdr>
                <w:top w:val="none" w:sz="0" w:space="0" w:color="auto"/>
                <w:left w:val="none" w:sz="0" w:space="0" w:color="auto"/>
                <w:bottom w:val="none" w:sz="0" w:space="0" w:color="auto"/>
                <w:right w:val="none" w:sz="0" w:space="0" w:color="auto"/>
              </w:divBdr>
            </w:div>
            <w:div w:id="1588613972">
              <w:marLeft w:val="0"/>
              <w:marRight w:val="0"/>
              <w:marTop w:val="0"/>
              <w:marBottom w:val="0"/>
              <w:divBdr>
                <w:top w:val="none" w:sz="0" w:space="0" w:color="auto"/>
                <w:left w:val="none" w:sz="0" w:space="0" w:color="auto"/>
                <w:bottom w:val="none" w:sz="0" w:space="0" w:color="auto"/>
                <w:right w:val="none" w:sz="0" w:space="0" w:color="auto"/>
              </w:divBdr>
            </w:div>
            <w:div w:id="1590192011">
              <w:marLeft w:val="0"/>
              <w:marRight w:val="0"/>
              <w:marTop w:val="0"/>
              <w:marBottom w:val="0"/>
              <w:divBdr>
                <w:top w:val="none" w:sz="0" w:space="0" w:color="auto"/>
                <w:left w:val="none" w:sz="0" w:space="0" w:color="auto"/>
                <w:bottom w:val="none" w:sz="0" w:space="0" w:color="auto"/>
                <w:right w:val="none" w:sz="0" w:space="0" w:color="auto"/>
              </w:divBdr>
            </w:div>
            <w:div w:id="1594969651">
              <w:marLeft w:val="0"/>
              <w:marRight w:val="0"/>
              <w:marTop w:val="0"/>
              <w:marBottom w:val="0"/>
              <w:divBdr>
                <w:top w:val="none" w:sz="0" w:space="0" w:color="auto"/>
                <w:left w:val="none" w:sz="0" w:space="0" w:color="auto"/>
                <w:bottom w:val="none" w:sz="0" w:space="0" w:color="auto"/>
                <w:right w:val="none" w:sz="0" w:space="0" w:color="auto"/>
              </w:divBdr>
            </w:div>
            <w:div w:id="1611011113">
              <w:marLeft w:val="0"/>
              <w:marRight w:val="0"/>
              <w:marTop w:val="0"/>
              <w:marBottom w:val="0"/>
              <w:divBdr>
                <w:top w:val="none" w:sz="0" w:space="0" w:color="auto"/>
                <w:left w:val="none" w:sz="0" w:space="0" w:color="auto"/>
                <w:bottom w:val="none" w:sz="0" w:space="0" w:color="auto"/>
                <w:right w:val="none" w:sz="0" w:space="0" w:color="auto"/>
              </w:divBdr>
            </w:div>
            <w:div w:id="1656060979">
              <w:marLeft w:val="0"/>
              <w:marRight w:val="0"/>
              <w:marTop w:val="0"/>
              <w:marBottom w:val="0"/>
              <w:divBdr>
                <w:top w:val="none" w:sz="0" w:space="0" w:color="auto"/>
                <w:left w:val="none" w:sz="0" w:space="0" w:color="auto"/>
                <w:bottom w:val="none" w:sz="0" w:space="0" w:color="auto"/>
                <w:right w:val="none" w:sz="0" w:space="0" w:color="auto"/>
              </w:divBdr>
            </w:div>
            <w:div w:id="1674062985">
              <w:marLeft w:val="0"/>
              <w:marRight w:val="0"/>
              <w:marTop w:val="0"/>
              <w:marBottom w:val="0"/>
              <w:divBdr>
                <w:top w:val="none" w:sz="0" w:space="0" w:color="auto"/>
                <w:left w:val="none" w:sz="0" w:space="0" w:color="auto"/>
                <w:bottom w:val="none" w:sz="0" w:space="0" w:color="auto"/>
                <w:right w:val="none" w:sz="0" w:space="0" w:color="auto"/>
              </w:divBdr>
            </w:div>
            <w:div w:id="1751854777">
              <w:marLeft w:val="0"/>
              <w:marRight w:val="0"/>
              <w:marTop w:val="0"/>
              <w:marBottom w:val="0"/>
              <w:divBdr>
                <w:top w:val="none" w:sz="0" w:space="0" w:color="auto"/>
                <w:left w:val="none" w:sz="0" w:space="0" w:color="auto"/>
                <w:bottom w:val="none" w:sz="0" w:space="0" w:color="auto"/>
                <w:right w:val="none" w:sz="0" w:space="0" w:color="auto"/>
              </w:divBdr>
            </w:div>
            <w:div w:id="1766920230">
              <w:marLeft w:val="0"/>
              <w:marRight w:val="0"/>
              <w:marTop w:val="0"/>
              <w:marBottom w:val="0"/>
              <w:divBdr>
                <w:top w:val="none" w:sz="0" w:space="0" w:color="auto"/>
                <w:left w:val="none" w:sz="0" w:space="0" w:color="auto"/>
                <w:bottom w:val="none" w:sz="0" w:space="0" w:color="auto"/>
                <w:right w:val="none" w:sz="0" w:space="0" w:color="auto"/>
              </w:divBdr>
            </w:div>
            <w:div w:id="1818451395">
              <w:marLeft w:val="0"/>
              <w:marRight w:val="0"/>
              <w:marTop w:val="0"/>
              <w:marBottom w:val="0"/>
              <w:divBdr>
                <w:top w:val="none" w:sz="0" w:space="0" w:color="auto"/>
                <w:left w:val="none" w:sz="0" w:space="0" w:color="auto"/>
                <w:bottom w:val="none" w:sz="0" w:space="0" w:color="auto"/>
                <w:right w:val="none" w:sz="0" w:space="0" w:color="auto"/>
              </w:divBdr>
            </w:div>
            <w:div w:id="1827939888">
              <w:marLeft w:val="0"/>
              <w:marRight w:val="0"/>
              <w:marTop w:val="0"/>
              <w:marBottom w:val="0"/>
              <w:divBdr>
                <w:top w:val="none" w:sz="0" w:space="0" w:color="auto"/>
                <w:left w:val="none" w:sz="0" w:space="0" w:color="auto"/>
                <w:bottom w:val="none" w:sz="0" w:space="0" w:color="auto"/>
                <w:right w:val="none" w:sz="0" w:space="0" w:color="auto"/>
              </w:divBdr>
            </w:div>
            <w:div w:id="1978876552">
              <w:marLeft w:val="0"/>
              <w:marRight w:val="0"/>
              <w:marTop w:val="0"/>
              <w:marBottom w:val="0"/>
              <w:divBdr>
                <w:top w:val="none" w:sz="0" w:space="0" w:color="auto"/>
                <w:left w:val="none" w:sz="0" w:space="0" w:color="auto"/>
                <w:bottom w:val="none" w:sz="0" w:space="0" w:color="auto"/>
                <w:right w:val="none" w:sz="0" w:space="0" w:color="auto"/>
              </w:divBdr>
            </w:div>
            <w:div w:id="2036540140">
              <w:marLeft w:val="0"/>
              <w:marRight w:val="0"/>
              <w:marTop w:val="0"/>
              <w:marBottom w:val="0"/>
              <w:divBdr>
                <w:top w:val="none" w:sz="0" w:space="0" w:color="auto"/>
                <w:left w:val="none" w:sz="0" w:space="0" w:color="auto"/>
                <w:bottom w:val="none" w:sz="0" w:space="0" w:color="auto"/>
                <w:right w:val="none" w:sz="0" w:space="0" w:color="auto"/>
              </w:divBdr>
            </w:div>
            <w:div w:id="2079210910">
              <w:marLeft w:val="0"/>
              <w:marRight w:val="0"/>
              <w:marTop w:val="0"/>
              <w:marBottom w:val="0"/>
              <w:divBdr>
                <w:top w:val="none" w:sz="0" w:space="0" w:color="auto"/>
                <w:left w:val="none" w:sz="0" w:space="0" w:color="auto"/>
                <w:bottom w:val="none" w:sz="0" w:space="0" w:color="auto"/>
                <w:right w:val="none" w:sz="0" w:space="0" w:color="auto"/>
              </w:divBdr>
            </w:div>
            <w:div w:id="209115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45252654">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65376020">
      <w:bodyDiv w:val="1"/>
      <w:marLeft w:val="0"/>
      <w:marRight w:val="0"/>
      <w:marTop w:val="0"/>
      <w:marBottom w:val="0"/>
      <w:divBdr>
        <w:top w:val="none" w:sz="0" w:space="0" w:color="auto"/>
        <w:left w:val="none" w:sz="0" w:space="0" w:color="auto"/>
        <w:bottom w:val="none" w:sz="0" w:space="0" w:color="auto"/>
        <w:right w:val="none" w:sz="0" w:space="0" w:color="auto"/>
      </w:divBdr>
      <w:divsChild>
        <w:div w:id="141509856">
          <w:marLeft w:val="0"/>
          <w:marRight w:val="0"/>
          <w:marTop w:val="0"/>
          <w:marBottom w:val="0"/>
          <w:divBdr>
            <w:top w:val="none" w:sz="0" w:space="0" w:color="auto"/>
            <w:left w:val="none" w:sz="0" w:space="0" w:color="auto"/>
            <w:bottom w:val="none" w:sz="0" w:space="0" w:color="auto"/>
            <w:right w:val="none" w:sz="0" w:space="0" w:color="auto"/>
          </w:divBdr>
        </w:div>
        <w:div w:id="217981635">
          <w:marLeft w:val="0"/>
          <w:marRight w:val="0"/>
          <w:marTop w:val="0"/>
          <w:marBottom w:val="0"/>
          <w:divBdr>
            <w:top w:val="none" w:sz="0" w:space="0" w:color="auto"/>
            <w:left w:val="none" w:sz="0" w:space="0" w:color="auto"/>
            <w:bottom w:val="none" w:sz="0" w:space="0" w:color="auto"/>
            <w:right w:val="none" w:sz="0" w:space="0" w:color="auto"/>
          </w:divBdr>
        </w:div>
        <w:div w:id="267197826">
          <w:marLeft w:val="0"/>
          <w:marRight w:val="0"/>
          <w:marTop w:val="0"/>
          <w:marBottom w:val="0"/>
          <w:divBdr>
            <w:top w:val="none" w:sz="0" w:space="0" w:color="auto"/>
            <w:left w:val="none" w:sz="0" w:space="0" w:color="auto"/>
            <w:bottom w:val="none" w:sz="0" w:space="0" w:color="auto"/>
            <w:right w:val="none" w:sz="0" w:space="0" w:color="auto"/>
          </w:divBdr>
        </w:div>
        <w:div w:id="1821195268">
          <w:marLeft w:val="0"/>
          <w:marRight w:val="0"/>
          <w:marTop w:val="0"/>
          <w:marBottom w:val="0"/>
          <w:divBdr>
            <w:top w:val="none" w:sz="0" w:space="0" w:color="auto"/>
            <w:left w:val="none" w:sz="0" w:space="0" w:color="auto"/>
            <w:bottom w:val="none" w:sz="0" w:space="0" w:color="auto"/>
            <w:right w:val="none" w:sz="0" w:space="0" w:color="auto"/>
          </w:divBdr>
        </w:div>
      </w:divsChild>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421337158">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76578792">
      <w:bodyDiv w:val="1"/>
      <w:marLeft w:val="0"/>
      <w:marRight w:val="0"/>
      <w:marTop w:val="0"/>
      <w:marBottom w:val="0"/>
      <w:divBdr>
        <w:top w:val="none" w:sz="0" w:space="0" w:color="auto"/>
        <w:left w:val="none" w:sz="0" w:space="0" w:color="auto"/>
        <w:bottom w:val="none" w:sz="0" w:space="0" w:color="auto"/>
        <w:right w:val="none" w:sz="0" w:space="0" w:color="auto"/>
      </w:divBdr>
    </w:div>
    <w:div w:id="481117804">
      <w:bodyDiv w:val="1"/>
      <w:marLeft w:val="0"/>
      <w:marRight w:val="0"/>
      <w:marTop w:val="0"/>
      <w:marBottom w:val="0"/>
      <w:divBdr>
        <w:top w:val="none" w:sz="0" w:space="0" w:color="auto"/>
        <w:left w:val="none" w:sz="0" w:space="0" w:color="auto"/>
        <w:bottom w:val="none" w:sz="0" w:space="0" w:color="auto"/>
        <w:right w:val="none" w:sz="0" w:space="0" w:color="auto"/>
      </w:divBdr>
      <w:divsChild>
        <w:div w:id="165173173">
          <w:marLeft w:val="0"/>
          <w:marRight w:val="0"/>
          <w:marTop w:val="0"/>
          <w:marBottom w:val="0"/>
          <w:divBdr>
            <w:top w:val="none" w:sz="0" w:space="0" w:color="auto"/>
            <w:left w:val="none" w:sz="0" w:space="0" w:color="auto"/>
            <w:bottom w:val="none" w:sz="0" w:space="0" w:color="auto"/>
            <w:right w:val="none" w:sz="0" w:space="0" w:color="auto"/>
          </w:divBdr>
        </w:div>
        <w:div w:id="313535218">
          <w:marLeft w:val="0"/>
          <w:marRight w:val="0"/>
          <w:marTop w:val="0"/>
          <w:marBottom w:val="0"/>
          <w:divBdr>
            <w:top w:val="none" w:sz="0" w:space="0" w:color="auto"/>
            <w:left w:val="none" w:sz="0" w:space="0" w:color="auto"/>
            <w:bottom w:val="none" w:sz="0" w:space="0" w:color="auto"/>
            <w:right w:val="none" w:sz="0" w:space="0" w:color="auto"/>
          </w:divBdr>
        </w:div>
        <w:div w:id="383875841">
          <w:marLeft w:val="0"/>
          <w:marRight w:val="0"/>
          <w:marTop w:val="0"/>
          <w:marBottom w:val="0"/>
          <w:divBdr>
            <w:top w:val="none" w:sz="0" w:space="0" w:color="auto"/>
            <w:left w:val="none" w:sz="0" w:space="0" w:color="auto"/>
            <w:bottom w:val="none" w:sz="0" w:space="0" w:color="auto"/>
            <w:right w:val="none" w:sz="0" w:space="0" w:color="auto"/>
          </w:divBdr>
        </w:div>
        <w:div w:id="697123438">
          <w:marLeft w:val="0"/>
          <w:marRight w:val="0"/>
          <w:marTop w:val="0"/>
          <w:marBottom w:val="0"/>
          <w:divBdr>
            <w:top w:val="none" w:sz="0" w:space="0" w:color="auto"/>
            <w:left w:val="none" w:sz="0" w:space="0" w:color="auto"/>
            <w:bottom w:val="none" w:sz="0" w:space="0" w:color="auto"/>
            <w:right w:val="none" w:sz="0" w:space="0" w:color="auto"/>
          </w:divBdr>
        </w:div>
        <w:div w:id="753550105">
          <w:marLeft w:val="0"/>
          <w:marRight w:val="0"/>
          <w:marTop w:val="0"/>
          <w:marBottom w:val="0"/>
          <w:divBdr>
            <w:top w:val="none" w:sz="0" w:space="0" w:color="auto"/>
            <w:left w:val="none" w:sz="0" w:space="0" w:color="auto"/>
            <w:bottom w:val="none" w:sz="0" w:space="0" w:color="auto"/>
            <w:right w:val="none" w:sz="0" w:space="0" w:color="auto"/>
          </w:divBdr>
        </w:div>
        <w:div w:id="1292129642">
          <w:marLeft w:val="0"/>
          <w:marRight w:val="0"/>
          <w:marTop w:val="0"/>
          <w:marBottom w:val="0"/>
          <w:divBdr>
            <w:top w:val="none" w:sz="0" w:space="0" w:color="auto"/>
            <w:left w:val="none" w:sz="0" w:space="0" w:color="auto"/>
            <w:bottom w:val="none" w:sz="0" w:space="0" w:color="auto"/>
            <w:right w:val="none" w:sz="0" w:space="0" w:color="auto"/>
          </w:divBdr>
        </w:div>
        <w:div w:id="1703355899">
          <w:marLeft w:val="0"/>
          <w:marRight w:val="0"/>
          <w:marTop w:val="0"/>
          <w:marBottom w:val="0"/>
          <w:divBdr>
            <w:top w:val="none" w:sz="0" w:space="0" w:color="auto"/>
            <w:left w:val="none" w:sz="0" w:space="0" w:color="auto"/>
            <w:bottom w:val="none" w:sz="0" w:space="0" w:color="auto"/>
            <w:right w:val="none" w:sz="0" w:space="0" w:color="auto"/>
          </w:divBdr>
        </w:div>
      </w:divsChild>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498081221">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53929271">
      <w:bodyDiv w:val="1"/>
      <w:marLeft w:val="0"/>
      <w:marRight w:val="0"/>
      <w:marTop w:val="0"/>
      <w:marBottom w:val="0"/>
      <w:divBdr>
        <w:top w:val="none" w:sz="0" w:space="0" w:color="auto"/>
        <w:left w:val="none" w:sz="0" w:space="0" w:color="auto"/>
        <w:bottom w:val="none" w:sz="0" w:space="0" w:color="auto"/>
        <w:right w:val="none" w:sz="0" w:space="0" w:color="auto"/>
      </w:divBdr>
      <w:divsChild>
        <w:div w:id="290984278">
          <w:marLeft w:val="0"/>
          <w:marRight w:val="0"/>
          <w:marTop w:val="0"/>
          <w:marBottom w:val="0"/>
          <w:divBdr>
            <w:top w:val="none" w:sz="0" w:space="0" w:color="auto"/>
            <w:left w:val="none" w:sz="0" w:space="0" w:color="auto"/>
            <w:bottom w:val="none" w:sz="0" w:space="0" w:color="auto"/>
            <w:right w:val="none" w:sz="0" w:space="0" w:color="auto"/>
          </w:divBdr>
        </w:div>
        <w:div w:id="399602412">
          <w:marLeft w:val="0"/>
          <w:marRight w:val="0"/>
          <w:marTop w:val="0"/>
          <w:marBottom w:val="0"/>
          <w:divBdr>
            <w:top w:val="none" w:sz="0" w:space="0" w:color="auto"/>
            <w:left w:val="none" w:sz="0" w:space="0" w:color="auto"/>
            <w:bottom w:val="none" w:sz="0" w:space="0" w:color="auto"/>
            <w:right w:val="none" w:sz="0" w:space="0" w:color="auto"/>
          </w:divBdr>
        </w:div>
        <w:div w:id="1753548744">
          <w:marLeft w:val="0"/>
          <w:marRight w:val="0"/>
          <w:marTop w:val="0"/>
          <w:marBottom w:val="0"/>
          <w:divBdr>
            <w:top w:val="none" w:sz="0" w:space="0" w:color="auto"/>
            <w:left w:val="none" w:sz="0" w:space="0" w:color="auto"/>
            <w:bottom w:val="none" w:sz="0" w:space="0" w:color="auto"/>
            <w:right w:val="none" w:sz="0" w:space="0" w:color="auto"/>
          </w:divBdr>
        </w:div>
      </w:divsChild>
    </w:div>
    <w:div w:id="611324725">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05252496">
      <w:bodyDiv w:val="1"/>
      <w:marLeft w:val="0"/>
      <w:marRight w:val="0"/>
      <w:marTop w:val="0"/>
      <w:marBottom w:val="0"/>
      <w:divBdr>
        <w:top w:val="none" w:sz="0" w:space="0" w:color="auto"/>
        <w:left w:val="none" w:sz="0" w:space="0" w:color="auto"/>
        <w:bottom w:val="none" w:sz="0" w:space="0" w:color="auto"/>
        <w:right w:val="none" w:sz="0" w:space="0" w:color="auto"/>
      </w:divBdr>
      <w:divsChild>
        <w:div w:id="353922759">
          <w:marLeft w:val="0"/>
          <w:marRight w:val="0"/>
          <w:marTop w:val="0"/>
          <w:marBottom w:val="0"/>
          <w:divBdr>
            <w:top w:val="none" w:sz="0" w:space="0" w:color="auto"/>
            <w:left w:val="none" w:sz="0" w:space="0" w:color="auto"/>
            <w:bottom w:val="none" w:sz="0" w:space="0" w:color="auto"/>
            <w:right w:val="none" w:sz="0" w:space="0" w:color="auto"/>
          </w:divBdr>
        </w:div>
        <w:div w:id="632634701">
          <w:marLeft w:val="0"/>
          <w:marRight w:val="0"/>
          <w:marTop w:val="0"/>
          <w:marBottom w:val="0"/>
          <w:divBdr>
            <w:top w:val="none" w:sz="0" w:space="0" w:color="auto"/>
            <w:left w:val="none" w:sz="0" w:space="0" w:color="auto"/>
            <w:bottom w:val="none" w:sz="0" w:space="0" w:color="auto"/>
            <w:right w:val="none" w:sz="0" w:space="0" w:color="auto"/>
          </w:divBdr>
        </w:div>
        <w:div w:id="985818427">
          <w:marLeft w:val="0"/>
          <w:marRight w:val="0"/>
          <w:marTop w:val="0"/>
          <w:marBottom w:val="0"/>
          <w:divBdr>
            <w:top w:val="none" w:sz="0" w:space="0" w:color="auto"/>
            <w:left w:val="none" w:sz="0" w:space="0" w:color="auto"/>
            <w:bottom w:val="none" w:sz="0" w:space="0" w:color="auto"/>
            <w:right w:val="none" w:sz="0" w:space="0" w:color="auto"/>
          </w:divBdr>
        </w:div>
        <w:div w:id="1057624816">
          <w:marLeft w:val="0"/>
          <w:marRight w:val="0"/>
          <w:marTop w:val="0"/>
          <w:marBottom w:val="0"/>
          <w:divBdr>
            <w:top w:val="none" w:sz="0" w:space="0" w:color="auto"/>
            <w:left w:val="none" w:sz="0" w:space="0" w:color="auto"/>
            <w:bottom w:val="none" w:sz="0" w:space="0" w:color="auto"/>
            <w:right w:val="none" w:sz="0" w:space="0" w:color="auto"/>
          </w:divBdr>
        </w:div>
        <w:div w:id="1667324631">
          <w:marLeft w:val="0"/>
          <w:marRight w:val="0"/>
          <w:marTop w:val="0"/>
          <w:marBottom w:val="0"/>
          <w:divBdr>
            <w:top w:val="none" w:sz="0" w:space="0" w:color="auto"/>
            <w:left w:val="none" w:sz="0" w:space="0" w:color="auto"/>
            <w:bottom w:val="none" w:sz="0" w:space="0" w:color="auto"/>
            <w:right w:val="none" w:sz="0" w:space="0" w:color="auto"/>
          </w:divBdr>
        </w:div>
        <w:div w:id="1671063097">
          <w:marLeft w:val="0"/>
          <w:marRight w:val="0"/>
          <w:marTop w:val="0"/>
          <w:marBottom w:val="0"/>
          <w:divBdr>
            <w:top w:val="none" w:sz="0" w:space="0" w:color="auto"/>
            <w:left w:val="none" w:sz="0" w:space="0" w:color="auto"/>
            <w:bottom w:val="none" w:sz="0" w:space="0" w:color="auto"/>
            <w:right w:val="none" w:sz="0" w:space="0" w:color="auto"/>
          </w:divBdr>
        </w:div>
        <w:div w:id="1698198725">
          <w:marLeft w:val="0"/>
          <w:marRight w:val="0"/>
          <w:marTop w:val="0"/>
          <w:marBottom w:val="0"/>
          <w:divBdr>
            <w:top w:val="none" w:sz="0" w:space="0" w:color="auto"/>
            <w:left w:val="none" w:sz="0" w:space="0" w:color="auto"/>
            <w:bottom w:val="none" w:sz="0" w:space="0" w:color="auto"/>
            <w:right w:val="none" w:sz="0" w:space="0" w:color="auto"/>
          </w:divBdr>
        </w:div>
        <w:div w:id="1908874727">
          <w:marLeft w:val="0"/>
          <w:marRight w:val="0"/>
          <w:marTop w:val="0"/>
          <w:marBottom w:val="0"/>
          <w:divBdr>
            <w:top w:val="none" w:sz="0" w:space="0" w:color="auto"/>
            <w:left w:val="none" w:sz="0" w:space="0" w:color="auto"/>
            <w:bottom w:val="none" w:sz="0" w:space="0" w:color="auto"/>
            <w:right w:val="none" w:sz="0" w:space="0" w:color="auto"/>
          </w:divBdr>
        </w:div>
        <w:div w:id="2106149205">
          <w:marLeft w:val="0"/>
          <w:marRight w:val="0"/>
          <w:marTop w:val="0"/>
          <w:marBottom w:val="0"/>
          <w:divBdr>
            <w:top w:val="none" w:sz="0" w:space="0" w:color="auto"/>
            <w:left w:val="none" w:sz="0" w:space="0" w:color="auto"/>
            <w:bottom w:val="none" w:sz="0" w:space="0" w:color="auto"/>
            <w:right w:val="none" w:sz="0" w:space="0" w:color="auto"/>
          </w:divBdr>
        </w:div>
      </w:divsChild>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32237407">
      <w:bodyDiv w:val="1"/>
      <w:marLeft w:val="0"/>
      <w:marRight w:val="0"/>
      <w:marTop w:val="0"/>
      <w:marBottom w:val="0"/>
      <w:divBdr>
        <w:top w:val="none" w:sz="0" w:space="0" w:color="auto"/>
        <w:left w:val="none" w:sz="0" w:space="0" w:color="auto"/>
        <w:bottom w:val="none" w:sz="0" w:space="0" w:color="auto"/>
        <w:right w:val="none" w:sz="0" w:space="0" w:color="auto"/>
      </w:divBdr>
      <w:divsChild>
        <w:div w:id="1490556932">
          <w:marLeft w:val="0"/>
          <w:marRight w:val="0"/>
          <w:marTop w:val="0"/>
          <w:marBottom w:val="0"/>
          <w:divBdr>
            <w:top w:val="none" w:sz="0" w:space="0" w:color="auto"/>
            <w:left w:val="none" w:sz="0" w:space="0" w:color="auto"/>
            <w:bottom w:val="none" w:sz="0" w:space="0" w:color="auto"/>
            <w:right w:val="none" w:sz="0" w:space="0" w:color="auto"/>
          </w:divBdr>
        </w:div>
        <w:div w:id="1881237709">
          <w:marLeft w:val="0"/>
          <w:marRight w:val="0"/>
          <w:marTop w:val="0"/>
          <w:marBottom w:val="0"/>
          <w:divBdr>
            <w:top w:val="none" w:sz="0" w:space="0" w:color="auto"/>
            <w:left w:val="none" w:sz="0" w:space="0" w:color="auto"/>
            <w:bottom w:val="none" w:sz="0" w:space="0" w:color="auto"/>
            <w:right w:val="none" w:sz="0" w:space="0" w:color="auto"/>
          </w:divBdr>
        </w:div>
      </w:divsChild>
    </w:div>
    <w:div w:id="753740018">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62068268">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48980105">
      <w:bodyDiv w:val="1"/>
      <w:marLeft w:val="0"/>
      <w:marRight w:val="0"/>
      <w:marTop w:val="0"/>
      <w:marBottom w:val="0"/>
      <w:divBdr>
        <w:top w:val="none" w:sz="0" w:space="0" w:color="auto"/>
        <w:left w:val="none" w:sz="0" w:space="0" w:color="auto"/>
        <w:bottom w:val="none" w:sz="0" w:space="0" w:color="auto"/>
        <w:right w:val="none" w:sz="0" w:space="0" w:color="auto"/>
      </w:divBdr>
    </w:div>
    <w:div w:id="850801499">
      <w:bodyDiv w:val="1"/>
      <w:marLeft w:val="0"/>
      <w:marRight w:val="0"/>
      <w:marTop w:val="0"/>
      <w:marBottom w:val="0"/>
      <w:divBdr>
        <w:top w:val="none" w:sz="0" w:space="0" w:color="auto"/>
        <w:left w:val="none" w:sz="0" w:space="0" w:color="auto"/>
        <w:bottom w:val="none" w:sz="0" w:space="0" w:color="auto"/>
        <w:right w:val="none" w:sz="0" w:space="0" w:color="auto"/>
      </w:divBdr>
      <w:divsChild>
        <w:div w:id="1114061140">
          <w:marLeft w:val="0"/>
          <w:marRight w:val="0"/>
          <w:marTop w:val="0"/>
          <w:marBottom w:val="0"/>
          <w:divBdr>
            <w:top w:val="none" w:sz="0" w:space="0" w:color="auto"/>
            <w:left w:val="none" w:sz="0" w:space="0" w:color="auto"/>
            <w:bottom w:val="none" w:sz="0" w:space="0" w:color="auto"/>
            <w:right w:val="none" w:sz="0" w:space="0" w:color="auto"/>
          </w:divBdr>
        </w:div>
        <w:div w:id="1155804932">
          <w:marLeft w:val="0"/>
          <w:marRight w:val="0"/>
          <w:marTop w:val="0"/>
          <w:marBottom w:val="0"/>
          <w:divBdr>
            <w:top w:val="none" w:sz="0" w:space="0" w:color="auto"/>
            <w:left w:val="none" w:sz="0" w:space="0" w:color="auto"/>
            <w:bottom w:val="none" w:sz="0" w:space="0" w:color="auto"/>
            <w:right w:val="none" w:sz="0" w:space="0" w:color="auto"/>
          </w:divBdr>
        </w:div>
        <w:div w:id="1887788950">
          <w:marLeft w:val="0"/>
          <w:marRight w:val="0"/>
          <w:marTop w:val="0"/>
          <w:marBottom w:val="0"/>
          <w:divBdr>
            <w:top w:val="none" w:sz="0" w:space="0" w:color="auto"/>
            <w:left w:val="none" w:sz="0" w:space="0" w:color="auto"/>
            <w:bottom w:val="none" w:sz="0" w:space="0" w:color="auto"/>
            <w:right w:val="none" w:sz="0" w:space="0" w:color="auto"/>
          </w:divBdr>
        </w:div>
      </w:divsChild>
    </w:div>
    <w:div w:id="850802396">
      <w:bodyDiv w:val="1"/>
      <w:marLeft w:val="0"/>
      <w:marRight w:val="0"/>
      <w:marTop w:val="0"/>
      <w:marBottom w:val="0"/>
      <w:divBdr>
        <w:top w:val="none" w:sz="0" w:space="0" w:color="auto"/>
        <w:left w:val="none" w:sz="0" w:space="0" w:color="auto"/>
        <w:bottom w:val="none" w:sz="0" w:space="0" w:color="auto"/>
        <w:right w:val="none" w:sz="0" w:space="0" w:color="auto"/>
      </w:divBdr>
      <w:divsChild>
        <w:div w:id="575940703">
          <w:marLeft w:val="0"/>
          <w:marRight w:val="0"/>
          <w:marTop w:val="0"/>
          <w:marBottom w:val="0"/>
          <w:divBdr>
            <w:top w:val="none" w:sz="0" w:space="0" w:color="auto"/>
            <w:left w:val="none" w:sz="0" w:space="0" w:color="auto"/>
            <w:bottom w:val="none" w:sz="0" w:space="0" w:color="auto"/>
            <w:right w:val="none" w:sz="0" w:space="0" w:color="auto"/>
          </w:divBdr>
        </w:div>
        <w:div w:id="677775172">
          <w:marLeft w:val="0"/>
          <w:marRight w:val="0"/>
          <w:marTop w:val="0"/>
          <w:marBottom w:val="0"/>
          <w:divBdr>
            <w:top w:val="none" w:sz="0" w:space="0" w:color="auto"/>
            <w:left w:val="none" w:sz="0" w:space="0" w:color="auto"/>
            <w:bottom w:val="none" w:sz="0" w:space="0" w:color="auto"/>
            <w:right w:val="none" w:sz="0" w:space="0" w:color="auto"/>
          </w:divBdr>
        </w:div>
        <w:div w:id="717506896">
          <w:marLeft w:val="0"/>
          <w:marRight w:val="0"/>
          <w:marTop w:val="0"/>
          <w:marBottom w:val="0"/>
          <w:divBdr>
            <w:top w:val="none" w:sz="0" w:space="0" w:color="auto"/>
            <w:left w:val="none" w:sz="0" w:space="0" w:color="auto"/>
            <w:bottom w:val="none" w:sz="0" w:space="0" w:color="auto"/>
            <w:right w:val="none" w:sz="0" w:space="0" w:color="auto"/>
          </w:divBdr>
        </w:div>
        <w:div w:id="1312950070">
          <w:marLeft w:val="0"/>
          <w:marRight w:val="0"/>
          <w:marTop w:val="0"/>
          <w:marBottom w:val="0"/>
          <w:divBdr>
            <w:top w:val="none" w:sz="0" w:space="0" w:color="auto"/>
            <w:left w:val="none" w:sz="0" w:space="0" w:color="auto"/>
            <w:bottom w:val="none" w:sz="0" w:space="0" w:color="auto"/>
            <w:right w:val="none" w:sz="0" w:space="0" w:color="auto"/>
          </w:divBdr>
        </w:div>
        <w:div w:id="1354303334">
          <w:marLeft w:val="0"/>
          <w:marRight w:val="0"/>
          <w:marTop w:val="0"/>
          <w:marBottom w:val="0"/>
          <w:divBdr>
            <w:top w:val="none" w:sz="0" w:space="0" w:color="auto"/>
            <w:left w:val="none" w:sz="0" w:space="0" w:color="auto"/>
            <w:bottom w:val="none" w:sz="0" w:space="0" w:color="auto"/>
            <w:right w:val="none" w:sz="0" w:space="0" w:color="auto"/>
          </w:divBdr>
        </w:div>
        <w:div w:id="1438023331">
          <w:marLeft w:val="0"/>
          <w:marRight w:val="0"/>
          <w:marTop w:val="0"/>
          <w:marBottom w:val="0"/>
          <w:divBdr>
            <w:top w:val="none" w:sz="0" w:space="0" w:color="auto"/>
            <w:left w:val="none" w:sz="0" w:space="0" w:color="auto"/>
            <w:bottom w:val="none" w:sz="0" w:space="0" w:color="auto"/>
            <w:right w:val="none" w:sz="0" w:space="0" w:color="auto"/>
          </w:divBdr>
        </w:div>
        <w:div w:id="1691367914">
          <w:marLeft w:val="0"/>
          <w:marRight w:val="0"/>
          <w:marTop w:val="0"/>
          <w:marBottom w:val="0"/>
          <w:divBdr>
            <w:top w:val="none" w:sz="0" w:space="0" w:color="auto"/>
            <w:left w:val="none" w:sz="0" w:space="0" w:color="auto"/>
            <w:bottom w:val="none" w:sz="0" w:space="0" w:color="auto"/>
            <w:right w:val="none" w:sz="0" w:space="0" w:color="auto"/>
          </w:divBdr>
        </w:div>
      </w:divsChild>
    </w:div>
    <w:div w:id="858157177">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63519710">
      <w:bodyDiv w:val="1"/>
      <w:marLeft w:val="0"/>
      <w:marRight w:val="0"/>
      <w:marTop w:val="0"/>
      <w:marBottom w:val="0"/>
      <w:divBdr>
        <w:top w:val="none" w:sz="0" w:space="0" w:color="auto"/>
        <w:left w:val="none" w:sz="0" w:space="0" w:color="auto"/>
        <w:bottom w:val="none" w:sz="0" w:space="0" w:color="auto"/>
        <w:right w:val="none" w:sz="0" w:space="0" w:color="auto"/>
      </w:divBdr>
    </w:div>
    <w:div w:id="864364238">
      <w:bodyDiv w:val="1"/>
      <w:marLeft w:val="0"/>
      <w:marRight w:val="0"/>
      <w:marTop w:val="0"/>
      <w:marBottom w:val="0"/>
      <w:divBdr>
        <w:top w:val="none" w:sz="0" w:space="0" w:color="auto"/>
        <w:left w:val="none" w:sz="0" w:space="0" w:color="auto"/>
        <w:bottom w:val="none" w:sz="0" w:space="0" w:color="auto"/>
        <w:right w:val="none" w:sz="0" w:space="0" w:color="auto"/>
      </w:divBdr>
      <w:divsChild>
        <w:div w:id="1282880040">
          <w:marLeft w:val="0"/>
          <w:marRight w:val="0"/>
          <w:marTop w:val="0"/>
          <w:marBottom w:val="0"/>
          <w:divBdr>
            <w:top w:val="none" w:sz="0" w:space="0" w:color="auto"/>
            <w:left w:val="none" w:sz="0" w:space="0" w:color="auto"/>
            <w:bottom w:val="none" w:sz="0" w:space="0" w:color="auto"/>
            <w:right w:val="none" w:sz="0" w:space="0" w:color="auto"/>
          </w:divBdr>
        </w:div>
        <w:div w:id="1917090436">
          <w:marLeft w:val="0"/>
          <w:marRight w:val="0"/>
          <w:marTop w:val="0"/>
          <w:marBottom w:val="0"/>
          <w:divBdr>
            <w:top w:val="none" w:sz="0" w:space="0" w:color="auto"/>
            <w:left w:val="none" w:sz="0" w:space="0" w:color="auto"/>
            <w:bottom w:val="none" w:sz="0" w:space="0" w:color="auto"/>
            <w:right w:val="none" w:sz="0" w:space="0" w:color="auto"/>
          </w:divBdr>
        </w:div>
      </w:divsChild>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33249920">
      <w:bodyDiv w:val="1"/>
      <w:marLeft w:val="0"/>
      <w:marRight w:val="0"/>
      <w:marTop w:val="0"/>
      <w:marBottom w:val="0"/>
      <w:divBdr>
        <w:top w:val="none" w:sz="0" w:space="0" w:color="auto"/>
        <w:left w:val="none" w:sz="0" w:space="0" w:color="auto"/>
        <w:bottom w:val="none" w:sz="0" w:space="0" w:color="auto"/>
        <w:right w:val="none" w:sz="0" w:space="0" w:color="auto"/>
      </w:divBdr>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64696014">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82466939">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0981805">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28091746">
      <w:bodyDiv w:val="1"/>
      <w:marLeft w:val="0"/>
      <w:marRight w:val="0"/>
      <w:marTop w:val="0"/>
      <w:marBottom w:val="0"/>
      <w:divBdr>
        <w:top w:val="none" w:sz="0" w:space="0" w:color="auto"/>
        <w:left w:val="none" w:sz="0" w:space="0" w:color="auto"/>
        <w:bottom w:val="none" w:sz="0" w:space="0" w:color="auto"/>
        <w:right w:val="none" w:sz="0" w:space="0" w:color="auto"/>
      </w:divBdr>
      <w:divsChild>
        <w:div w:id="33359530">
          <w:marLeft w:val="0"/>
          <w:marRight w:val="0"/>
          <w:marTop w:val="0"/>
          <w:marBottom w:val="0"/>
          <w:divBdr>
            <w:top w:val="none" w:sz="0" w:space="0" w:color="auto"/>
            <w:left w:val="none" w:sz="0" w:space="0" w:color="auto"/>
            <w:bottom w:val="none" w:sz="0" w:space="0" w:color="auto"/>
            <w:right w:val="none" w:sz="0" w:space="0" w:color="auto"/>
          </w:divBdr>
          <w:divsChild>
            <w:div w:id="958684020">
              <w:marLeft w:val="0"/>
              <w:marRight w:val="0"/>
              <w:marTop w:val="0"/>
              <w:marBottom w:val="0"/>
              <w:divBdr>
                <w:top w:val="none" w:sz="0" w:space="0" w:color="auto"/>
                <w:left w:val="none" w:sz="0" w:space="0" w:color="auto"/>
                <w:bottom w:val="none" w:sz="0" w:space="0" w:color="auto"/>
                <w:right w:val="none" w:sz="0" w:space="0" w:color="auto"/>
              </w:divBdr>
              <w:divsChild>
                <w:div w:id="1998726675">
                  <w:marLeft w:val="0"/>
                  <w:marRight w:val="0"/>
                  <w:marTop w:val="0"/>
                  <w:marBottom w:val="0"/>
                  <w:divBdr>
                    <w:top w:val="none" w:sz="0" w:space="0" w:color="auto"/>
                    <w:left w:val="none" w:sz="0" w:space="0" w:color="auto"/>
                    <w:bottom w:val="none" w:sz="0" w:space="0" w:color="auto"/>
                    <w:right w:val="none" w:sz="0" w:space="0" w:color="auto"/>
                  </w:divBdr>
                  <w:divsChild>
                    <w:div w:id="787311246">
                      <w:marLeft w:val="0"/>
                      <w:marRight w:val="0"/>
                      <w:marTop w:val="0"/>
                      <w:marBottom w:val="0"/>
                      <w:divBdr>
                        <w:top w:val="none" w:sz="0" w:space="0" w:color="auto"/>
                        <w:left w:val="none" w:sz="0" w:space="0" w:color="auto"/>
                        <w:bottom w:val="none" w:sz="0" w:space="0" w:color="auto"/>
                        <w:right w:val="none" w:sz="0" w:space="0" w:color="auto"/>
                      </w:divBdr>
                      <w:divsChild>
                        <w:div w:id="348869546">
                          <w:marLeft w:val="0"/>
                          <w:marRight w:val="0"/>
                          <w:marTop w:val="0"/>
                          <w:marBottom w:val="0"/>
                          <w:divBdr>
                            <w:top w:val="none" w:sz="0" w:space="0" w:color="auto"/>
                            <w:left w:val="none" w:sz="0" w:space="0" w:color="auto"/>
                            <w:bottom w:val="none" w:sz="0" w:space="0" w:color="auto"/>
                            <w:right w:val="none" w:sz="0" w:space="0" w:color="auto"/>
                          </w:divBdr>
                          <w:divsChild>
                            <w:div w:id="1876232200">
                              <w:marLeft w:val="0"/>
                              <w:marRight w:val="0"/>
                              <w:marTop w:val="0"/>
                              <w:marBottom w:val="0"/>
                              <w:divBdr>
                                <w:top w:val="none" w:sz="0" w:space="0" w:color="auto"/>
                                <w:left w:val="none" w:sz="0" w:space="0" w:color="auto"/>
                                <w:bottom w:val="none" w:sz="0" w:space="0" w:color="auto"/>
                                <w:right w:val="none" w:sz="0" w:space="0" w:color="auto"/>
                              </w:divBdr>
                              <w:divsChild>
                                <w:div w:id="1107117000">
                                  <w:marLeft w:val="0"/>
                                  <w:marRight w:val="0"/>
                                  <w:marTop w:val="0"/>
                                  <w:marBottom w:val="0"/>
                                  <w:divBdr>
                                    <w:top w:val="none" w:sz="0" w:space="0" w:color="auto"/>
                                    <w:left w:val="none" w:sz="0" w:space="0" w:color="auto"/>
                                    <w:bottom w:val="none" w:sz="0" w:space="0" w:color="auto"/>
                                    <w:right w:val="none" w:sz="0" w:space="0" w:color="auto"/>
                                  </w:divBdr>
                                  <w:divsChild>
                                    <w:div w:id="154169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19390">
      <w:bodyDiv w:val="1"/>
      <w:marLeft w:val="0"/>
      <w:marRight w:val="0"/>
      <w:marTop w:val="0"/>
      <w:marBottom w:val="0"/>
      <w:divBdr>
        <w:top w:val="none" w:sz="0" w:space="0" w:color="auto"/>
        <w:left w:val="none" w:sz="0" w:space="0" w:color="auto"/>
        <w:bottom w:val="none" w:sz="0" w:space="0" w:color="auto"/>
        <w:right w:val="none" w:sz="0" w:space="0" w:color="auto"/>
      </w:divBdr>
      <w:divsChild>
        <w:div w:id="73555489">
          <w:marLeft w:val="0"/>
          <w:marRight w:val="0"/>
          <w:marTop w:val="0"/>
          <w:marBottom w:val="0"/>
          <w:divBdr>
            <w:top w:val="none" w:sz="0" w:space="0" w:color="auto"/>
            <w:left w:val="none" w:sz="0" w:space="0" w:color="auto"/>
            <w:bottom w:val="none" w:sz="0" w:space="0" w:color="auto"/>
            <w:right w:val="none" w:sz="0" w:space="0" w:color="auto"/>
          </w:divBdr>
        </w:div>
        <w:div w:id="138309955">
          <w:marLeft w:val="0"/>
          <w:marRight w:val="0"/>
          <w:marTop w:val="0"/>
          <w:marBottom w:val="0"/>
          <w:divBdr>
            <w:top w:val="none" w:sz="0" w:space="0" w:color="auto"/>
            <w:left w:val="none" w:sz="0" w:space="0" w:color="auto"/>
            <w:bottom w:val="none" w:sz="0" w:space="0" w:color="auto"/>
            <w:right w:val="none" w:sz="0" w:space="0" w:color="auto"/>
          </w:divBdr>
        </w:div>
        <w:div w:id="311957127">
          <w:marLeft w:val="0"/>
          <w:marRight w:val="0"/>
          <w:marTop w:val="0"/>
          <w:marBottom w:val="0"/>
          <w:divBdr>
            <w:top w:val="none" w:sz="0" w:space="0" w:color="auto"/>
            <w:left w:val="none" w:sz="0" w:space="0" w:color="auto"/>
            <w:bottom w:val="none" w:sz="0" w:space="0" w:color="auto"/>
            <w:right w:val="none" w:sz="0" w:space="0" w:color="auto"/>
          </w:divBdr>
        </w:div>
        <w:div w:id="546573368">
          <w:marLeft w:val="0"/>
          <w:marRight w:val="0"/>
          <w:marTop w:val="0"/>
          <w:marBottom w:val="0"/>
          <w:divBdr>
            <w:top w:val="none" w:sz="0" w:space="0" w:color="auto"/>
            <w:left w:val="none" w:sz="0" w:space="0" w:color="auto"/>
            <w:bottom w:val="none" w:sz="0" w:space="0" w:color="auto"/>
            <w:right w:val="none" w:sz="0" w:space="0" w:color="auto"/>
          </w:divBdr>
        </w:div>
        <w:div w:id="883640636">
          <w:marLeft w:val="0"/>
          <w:marRight w:val="0"/>
          <w:marTop w:val="0"/>
          <w:marBottom w:val="0"/>
          <w:divBdr>
            <w:top w:val="none" w:sz="0" w:space="0" w:color="auto"/>
            <w:left w:val="none" w:sz="0" w:space="0" w:color="auto"/>
            <w:bottom w:val="none" w:sz="0" w:space="0" w:color="auto"/>
            <w:right w:val="none" w:sz="0" w:space="0" w:color="auto"/>
          </w:divBdr>
        </w:div>
        <w:div w:id="1043482305">
          <w:marLeft w:val="0"/>
          <w:marRight w:val="0"/>
          <w:marTop w:val="0"/>
          <w:marBottom w:val="0"/>
          <w:divBdr>
            <w:top w:val="none" w:sz="0" w:space="0" w:color="auto"/>
            <w:left w:val="none" w:sz="0" w:space="0" w:color="auto"/>
            <w:bottom w:val="none" w:sz="0" w:space="0" w:color="auto"/>
            <w:right w:val="none" w:sz="0" w:space="0" w:color="auto"/>
          </w:divBdr>
        </w:div>
        <w:div w:id="1197959989">
          <w:marLeft w:val="0"/>
          <w:marRight w:val="0"/>
          <w:marTop w:val="0"/>
          <w:marBottom w:val="0"/>
          <w:divBdr>
            <w:top w:val="none" w:sz="0" w:space="0" w:color="auto"/>
            <w:left w:val="none" w:sz="0" w:space="0" w:color="auto"/>
            <w:bottom w:val="none" w:sz="0" w:space="0" w:color="auto"/>
            <w:right w:val="none" w:sz="0" w:space="0" w:color="auto"/>
          </w:divBdr>
        </w:div>
        <w:div w:id="1206870785">
          <w:marLeft w:val="0"/>
          <w:marRight w:val="0"/>
          <w:marTop w:val="0"/>
          <w:marBottom w:val="0"/>
          <w:divBdr>
            <w:top w:val="none" w:sz="0" w:space="0" w:color="auto"/>
            <w:left w:val="none" w:sz="0" w:space="0" w:color="auto"/>
            <w:bottom w:val="none" w:sz="0" w:space="0" w:color="auto"/>
            <w:right w:val="none" w:sz="0" w:space="0" w:color="auto"/>
          </w:divBdr>
        </w:div>
        <w:div w:id="1385252099">
          <w:marLeft w:val="0"/>
          <w:marRight w:val="0"/>
          <w:marTop w:val="0"/>
          <w:marBottom w:val="0"/>
          <w:divBdr>
            <w:top w:val="none" w:sz="0" w:space="0" w:color="auto"/>
            <w:left w:val="none" w:sz="0" w:space="0" w:color="auto"/>
            <w:bottom w:val="none" w:sz="0" w:space="0" w:color="auto"/>
            <w:right w:val="none" w:sz="0" w:space="0" w:color="auto"/>
          </w:divBdr>
        </w:div>
        <w:div w:id="1415972405">
          <w:marLeft w:val="0"/>
          <w:marRight w:val="0"/>
          <w:marTop w:val="0"/>
          <w:marBottom w:val="0"/>
          <w:divBdr>
            <w:top w:val="none" w:sz="0" w:space="0" w:color="auto"/>
            <w:left w:val="none" w:sz="0" w:space="0" w:color="auto"/>
            <w:bottom w:val="none" w:sz="0" w:space="0" w:color="auto"/>
            <w:right w:val="none" w:sz="0" w:space="0" w:color="auto"/>
          </w:divBdr>
        </w:div>
        <w:div w:id="1733120433">
          <w:marLeft w:val="0"/>
          <w:marRight w:val="0"/>
          <w:marTop w:val="0"/>
          <w:marBottom w:val="0"/>
          <w:divBdr>
            <w:top w:val="none" w:sz="0" w:space="0" w:color="auto"/>
            <w:left w:val="none" w:sz="0" w:space="0" w:color="auto"/>
            <w:bottom w:val="none" w:sz="0" w:space="0" w:color="auto"/>
            <w:right w:val="none" w:sz="0" w:space="0" w:color="auto"/>
          </w:divBdr>
        </w:div>
      </w:divsChild>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20501">
      <w:bodyDiv w:val="1"/>
      <w:marLeft w:val="0"/>
      <w:marRight w:val="0"/>
      <w:marTop w:val="0"/>
      <w:marBottom w:val="0"/>
      <w:divBdr>
        <w:top w:val="none" w:sz="0" w:space="0" w:color="auto"/>
        <w:left w:val="none" w:sz="0" w:space="0" w:color="auto"/>
        <w:bottom w:val="none" w:sz="0" w:space="0" w:color="auto"/>
        <w:right w:val="none" w:sz="0" w:space="0" w:color="auto"/>
      </w:divBdr>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77758369">
      <w:bodyDiv w:val="1"/>
      <w:marLeft w:val="0"/>
      <w:marRight w:val="0"/>
      <w:marTop w:val="0"/>
      <w:marBottom w:val="0"/>
      <w:divBdr>
        <w:top w:val="none" w:sz="0" w:space="0" w:color="auto"/>
        <w:left w:val="none" w:sz="0" w:space="0" w:color="auto"/>
        <w:bottom w:val="none" w:sz="0" w:space="0" w:color="auto"/>
        <w:right w:val="none" w:sz="0" w:space="0" w:color="auto"/>
      </w:divBdr>
    </w:div>
    <w:div w:id="1286615867">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51880067">
      <w:bodyDiv w:val="1"/>
      <w:marLeft w:val="0"/>
      <w:marRight w:val="0"/>
      <w:marTop w:val="0"/>
      <w:marBottom w:val="0"/>
      <w:divBdr>
        <w:top w:val="none" w:sz="0" w:space="0" w:color="auto"/>
        <w:left w:val="none" w:sz="0" w:space="0" w:color="auto"/>
        <w:bottom w:val="none" w:sz="0" w:space="0" w:color="auto"/>
        <w:right w:val="none" w:sz="0" w:space="0" w:color="auto"/>
      </w:divBdr>
    </w:div>
    <w:div w:id="1380082634">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12972577">
      <w:bodyDiv w:val="1"/>
      <w:marLeft w:val="0"/>
      <w:marRight w:val="0"/>
      <w:marTop w:val="0"/>
      <w:marBottom w:val="0"/>
      <w:divBdr>
        <w:top w:val="none" w:sz="0" w:space="0" w:color="auto"/>
        <w:left w:val="none" w:sz="0" w:space="0" w:color="auto"/>
        <w:bottom w:val="none" w:sz="0" w:space="0" w:color="auto"/>
        <w:right w:val="none" w:sz="0" w:space="0" w:color="auto"/>
      </w:divBdr>
      <w:divsChild>
        <w:div w:id="39326397">
          <w:marLeft w:val="0"/>
          <w:marRight w:val="0"/>
          <w:marTop w:val="0"/>
          <w:marBottom w:val="0"/>
          <w:divBdr>
            <w:top w:val="none" w:sz="0" w:space="0" w:color="auto"/>
            <w:left w:val="none" w:sz="0" w:space="0" w:color="auto"/>
            <w:bottom w:val="none" w:sz="0" w:space="0" w:color="auto"/>
            <w:right w:val="none" w:sz="0" w:space="0" w:color="auto"/>
          </w:divBdr>
        </w:div>
        <w:div w:id="134876335">
          <w:marLeft w:val="0"/>
          <w:marRight w:val="0"/>
          <w:marTop w:val="0"/>
          <w:marBottom w:val="0"/>
          <w:divBdr>
            <w:top w:val="none" w:sz="0" w:space="0" w:color="auto"/>
            <w:left w:val="none" w:sz="0" w:space="0" w:color="auto"/>
            <w:bottom w:val="none" w:sz="0" w:space="0" w:color="auto"/>
            <w:right w:val="none" w:sz="0" w:space="0" w:color="auto"/>
          </w:divBdr>
        </w:div>
        <w:div w:id="214044316">
          <w:marLeft w:val="0"/>
          <w:marRight w:val="0"/>
          <w:marTop w:val="0"/>
          <w:marBottom w:val="0"/>
          <w:divBdr>
            <w:top w:val="none" w:sz="0" w:space="0" w:color="auto"/>
            <w:left w:val="none" w:sz="0" w:space="0" w:color="auto"/>
            <w:bottom w:val="none" w:sz="0" w:space="0" w:color="auto"/>
            <w:right w:val="none" w:sz="0" w:space="0" w:color="auto"/>
          </w:divBdr>
        </w:div>
        <w:div w:id="276983870">
          <w:marLeft w:val="0"/>
          <w:marRight w:val="0"/>
          <w:marTop w:val="0"/>
          <w:marBottom w:val="0"/>
          <w:divBdr>
            <w:top w:val="none" w:sz="0" w:space="0" w:color="auto"/>
            <w:left w:val="none" w:sz="0" w:space="0" w:color="auto"/>
            <w:bottom w:val="none" w:sz="0" w:space="0" w:color="auto"/>
            <w:right w:val="none" w:sz="0" w:space="0" w:color="auto"/>
          </w:divBdr>
        </w:div>
        <w:div w:id="373501281">
          <w:marLeft w:val="0"/>
          <w:marRight w:val="0"/>
          <w:marTop w:val="0"/>
          <w:marBottom w:val="0"/>
          <w:divBdr>
            <w:top w:val="none" w:sz="0" w:space="0" w:color="auto"/>
            <w:left w:val="none" w:sz="0" w:space="0" w:color="auto"/>
            <w:bottom w:val="none" w:sz="0" w:space="0" w:color="auto"/>
            <w:right w:val="none" w:sz="0" w:space="0" w:color="auto"/>
          </w:divBdr>
        </w:div>
        <w:div w:id="677854624">
          <w:marLeft w:val="0"/>
          <w:marRight w:val="0"/>
          <w:marTop w:val="0"/>
          <w:marBottom w:val="0"/>
          <w:divBdr>
            <w:top w:val="none" w:sz="0" w:space="0" w:color="auto"/>
            <w:left w:val="none" w:sz="0" w:space="0" w:color="auto"/>
            <w:bottom w:val="none" w:sz="0" w:space="0" w:color="auto"/>
            <w:right w:val="none" w:sz="0" w:space="0" w:color="auto"/>
          </w:divBdr>
        </w:div>
        <w:div w:id="748885627">
          <w:marLeft w:val="0"/>
          <w:marRight w:val="0"/>
          <w:marTop w:val="0"/>
          <w:marBottom w:val="0"/>
          <w:divBdr>
            <w:top w:val="none" w:sz="0" w:space="0" w:color="auto"/>
            <w:left w:val="none" w:sz="0" w:space="0" w:color="auto"/>
            <w:bottom w:val="none" w:sz="0" w:space="0" w:color="auto"/>
            <w:right w:val="none" w:sz="0" w:space="0" w:color="auto"/>
          </w:divBdr>
        </w:div>
        <w:div w:id="795027450">
          <w:marLeft w:val="0"/>
          <w:marRight w:val="0"/>
          <w:marTop w:val="0"/>
          <w:marBottom w:val="0"/>
          <w:divBdr>
            <w:top w:val="none" w:sz="0" w:space="0" w:color="auto"/>
            <w:left w:val="none" w:sz="0" w:space="0" w:color="auto"/>
            <w:bottom w:val="none" w:sz="0" w:space="0" w:color="auto"/>
            <w:right w:val="none" w:sz="0" w:space="0" w:color="auto"/>
          </w:divBdr>
        </w:div>
        <w:div w:id="805507376">
          <w:marLeft w:val="0"/>
          <w:marRight w:val="0"/>
          <w:marTop w:val="0"/>
          <w:marBottom w:val="0"/>
          <w:divBdr>
            <w:top w:val="none" w:sz="0" w:space="0" w:color="auto"/>
            <w:left w:val="none" w:sz="0" w:space="0" w:color="auto"/>
            <w:bottom w:val="none" w:sz="0" w:space="0" w:color="auto"/>
            <w:right w:val="none" w:sz="0" w:space="0" w:color="auto"/>
          </w:divBdr>
        </w:div>
        <w:div w:id="856189382">
          <w:marLeft w:val="0"/>
          <w:marRight w:val="0"/>
          <w:marTop w:val="0"/>
          <w:marBottom w:val="0"/>
          <w:divBdr>
            <w:top w:val="none" w:sz="0" w:space="0" w:color="auto"/>
            <w:left w:val="none" w:sz="0" w:space="0" w:color="auto"/>
            <w:bottom w:val="none" w:sz="0" w:space="0" w:color="auto"/>
            <w:right w:val="none" w:sz="0" w:space="0" w:color="auto"/>
          </w:divBdr>
        </w:div>
        <w:div w:id="865753610">
          <w:marLeft w:val="0"/>
          <w:marRight w:val="0"/>
          <w:marTop w:val="0"/>
          <w:marBottom w:val="0"/>
          <w:divBdr>
            <w:top w:val="none" w:sz="0" w:space="0" w:color="auto"/>
            <w:left w:val="none" w:sz="0" w:space="0" w:color="auto"/>
            <w:bottom w:val="none" w:sz="0" w:space="0" w:color="auto"/>
            <w:right w:val="none" w:sz="0" w:space="0" w:color="auto"/>
          </w:divBdr>
        </w:div>
        <w:div w:id="872809478">
          <w:marLeft w:val="0"/>
          <w:marRight w:val="0"/>
          <w:marTop w:val="0"/>
          <w:marBottom w:val="0"/>
          <w:divBdr>
            <w:top w:val="none" w:sz="0" w:space="0" w:color="auto"/>
            <w:left w:val="none" w:sz="0" w:space="0" w:color="auto"/>
            <w:bottom w:val="none" w:sz="0" w:space="0" w:color="auto"/>
            <w:right w:val="none" w:sz="0" w:space="0" w:color="auto"/>
          </w:divBdr>
        </w:div>
        <w:div w:id="888568492">
          <w:marLeft w:val="0"/>
          <w:marRight w:val="0"/>
          <w:marTop w:val="0"/>
          <w:marBottom w:val="0"/>
          <w:divBdr>
            <w:top w:val="none" w:sz="0" w:space="0" w:color="auto"/>
            <w:left w:val="none" w:sz="0" w:space="0" w:color="auto"/>
            <w:bottom w:val="none" w:sz="0" w:space="0" w:color="auto"/>
            <w:right w:val="none" w:sz="0" w:space="0" w:color="auto"/>
          </w:divBdr>
        </w:div>
        <w:div w:id="895045059">
          <w:marLeft w:val="0"/>
          <w:marRight w:val="0"/>
          <w:marTop w:val="0"/>
          <w:marBottom w:val="0"/>
          <w:divBdr>
            <w:top w:val="none" w:sz="0" w:space="0" w:color="auto"/>
            <w:left w:val="none" w:sz="0" w:space="0" w:color="auto"/>
            <w:bottom w:val="none" w:sz="0" w:space="0" w:color="auto"/>
            <w:right w:val="none" w:sz="0" w:space="0" w:color="auto"/>
          </w:divBdr>
        </w:div>
        <w:div w:id="997348833">
          <w:marLeft w:val="0"/>
          <w:marRight w:val="0"/>
          <w:marTop w:val="0"/>
          <w:marBottom w:val="0"/>
          <w:divBdr>
            <w:top w:val="none" w:sz="0" w:space="0" w:color="auto"/>
            <w:left w:val="none" w:sz="0" w:space="0" w:color="auto"/>
            <w:bottom w:val="none" w:sz="0" w:space="0" w:color="auto"/>
            <w:right w:val="none" w:sz="0" w:space="0" w:color="auto"/>
          </w:divBdr>
        </w:div>
        <w:div w:id="999311465">
          <w:marLeft w:val="0"/>
          <w:marRight w:val="0"/>
          <w:marTop w:val="0"/>
          <w:marBottom w:val="0"/>
          <w:divBdr>
            <w:top w:val="none" w:sz="0" w:space="0" w:color="auto"/>
            <w:left w:val="none" w:sz="0" w:space="0" w:color="auto"/>
            <w:bottom w:val="none" w:sz="0" w:space="0" w:color="auto"/>
            <w:right w:val="none" w:sz="0" w:space="0" w:color="auto"/>
          </w:divBdr>
        </w:div>
        <w:div w:id="1178885356">
          <w:marLeft w:val="0"/>
          <w:marRight w:val="0"/>
          <w:marTop w:val="0"/>
          <w:marBottom w:val="0"/>
          <w:divBdr>
            <w:top w:val="none" w:sz="0" w:space="0" w:color="auto"/>
            <w:left w:val="none" w:sz="0" w:space="0" w:color="auto"/>
            <w:bottom w:val="none" w:sz="0" w:space="0" w:color="auto"/>
            <w:right w:val="none" w:sz="0" w:space="0" w:color="auto"/>
          </w:divBdr>
        </w:div>
        <w:div w:id="1363557571">
          <w:marLeft w:val="0"/>
          <w:marRight w:val="0"/>
          <w:marTop w:val="0"/>
          <w:marBottom w:val="0"/>
          <w:divBdr>
            <w:top w:val="none" w:sz="0" w:space="0" w:color="auto"/>
            <w:left w:val="none" w:sz="0" w:space="0" w:color="auto"/>
            <w:bottom w:val="none" w:sz="0" w:space="0" w:color="auto"/>
            <w:right w:val="none" w:sz="0" w:space="0" w:color="auto"/>
          </w:divBdr>
        </w:div>
        <w:div w:id="1454398544">
          <w:marLeft w:val="0"/>
          <w:marRight w:val="0"/>
          <w:marTop w:val="0"/>
          <w:marBottom w:val="0"/>
          <w:divBdr>
            <w:top w:val="none" w:sz="0" w:space="0" w:color="auto"/>
            <w:left w:val="none" w:sz="0" w:space="0" w:color="auto"/>
            <w:bottom w:val="none" w:sz="0" w:space="0" w:color="auto"/>
            <w:right w:val="none" w:sz="0" w:space="0" w:color="auto"/>
          </w:divBdr>
        </w:div>
        <w:div w:id="1542159730">
          <w:marLeft w:val="0"/>
          <w:marRight w:val="0"/>
          <w:marTop w:val="0"/>
          <w:marBottom w:val="0"/>
          <w:divBdr>
            <w:top w:val="none" w:sz="0" w:space="0" w:color="auto"/>
            <w:left w:val="none" w:sz="0" w:space="0" w:color="auto"/>
            <w:bottom w:val="none" w:sz="0" w:space="0" w:color="auto"/>
            <w:right w:val="none" w:sz="0" w:space="0" w:color="auto"/>
          </w:divBdr>
        </w:div>
        <w:div w:id="1572499999">
          <w:marLeft w:val="0"/>
          <w:marRight w:val="0"/>
          <w:marTop w:val="0"/>
          <w:marBottom w:val="0"/>
          <w:divBdr>
            <w:top w:val="none" w:sz="0" w:space="0" w:color="auto"/>
            <w:left w:val="none" w:sz="0" w:space="0" w:color="auto"/>
            <w:bottom w:val="none" w:sz="0" w:space="0" w:color="auto"/>
            <w:right w:val="none" w:sz="0" w:space="0" w:color="auto"/>
          </w:divBdr>
        </w:div>
        <w:div w:id="1582832650">
          <w:marLeft w:val="0"/>
          <w:marRight w:val="0"/>
          <w:marTop w:val="0"/>
          <w:marBottom w:val="0"/>
          <w:divBdr>
            <w:top w:val="none" w:sz="0" w:space="0" w:color="auto"/>
            <w:left w:val="none" w:sz="0" w:space="0" w:color="auto"/>
            <w:bottom w:val="none" w:sz="0" w:space="0" w:color="auto"/>
            <w:right w:val="none" w:sz="0" w:space="0" w:color="auto"/>
          </w:divBdr>
        </w:div>
        <w:div w:id="1592734374">
          <w:marLeft w:val="0"/>
          <w:marRight w:val="0"/>
          <w:marTop w:val="0"/>
          <w:marBottom w:val="0"/>
          <w:divBdr>
            <w:top w:val="none" w:sz="0" w:space="0" w:color="auto"/>
            <w:left w:val="none" w:sz="0" w:space="0" w:color="auto"/>
            <w:bottom w:val="none" w:sz="0" w:space="0" w:color="auto"/>
            <w:right w:val="none" w:sz="0" w:space="0" w:color="auto"/>
          </w:divBdr>
        </w:div>
        <w:div w:id="1657226103">
          <w:marLeft w:val="0"/>
          <w:marRight w:val="0"/>
          <w:marTop w:val="0"/>
          <w:marBottom w:val="0"/>
          <w:divBdr>
            <w:top w:val="none" w:sz="0" w:space="0" w:color="auto"/>
            <w:left w:val="none" w:sz="0" w:space="0" w:color="auto"/>
            <w:bottom w:val="none" w:sz="0" w:space="0" w:color="auto"/>
            <w:right w:val="none" w:sz="0" w:space="0" w:color="auto"/>
          </w:divBdr>
        </w:div>
        <w:div w:id="1865287699">
          <w:marLeft w:val="0"/>
          <w:marRight w:val="0"/>
          <w:marTop w:val="0"/>
          <w:marBottom w:val="0"/>
          <w:divBdr>
            <w:top w:val="none" w:sz="0" w:space="0" w:color="auto"/>
            <w:left w:val="none" w:sz="0" w:space="0" w:color="auto"/>
            <w:bottom w:val="none" w:sz="0" w:space="0" w:color="auto"/>
            <w:right w:val="none" w:sz="0" w:space="0" w:color="auto"/>
          </w:divBdr>
        </w:div>
        <w:div w:id="1988046863">
          <w:marLeft w:val="0"/>
          <w:marRight w:val="0"/>
          <w:marTop w:val="0"/>
          <w:marBottom w:val="0"/>
          <w:divBdr>
            <w:top w:val="none" w:sz="0" w:space="0" w:color="auto"/>
            <w:left w:val="none" w:sz="0" w:space="0" w:color="auto"/>
            <w:bottom w:val="none" w:sz="0" w:space="0" w:color="auto"/>
            <w:right w:val="none" w:sz="0" w:space="0" w:color="auto"/>
          </w:divBdr>
        </w:div>
        <w:div w:id="2004814435">
          <w:marLeft w:val="0"/>
          <w:marRight w:val="0"/>
          <w:marTop w:val="0"/>
          <w:marBottom w:val="0"/>
          <w:divBdr>
            <w:top w:val="none" w:sz="0" w:space="0" w:color="auto"/>
            <w:left w:val="none" w:sz="0" w:space="0" w:color="auto"/>
            <w:bottom w:val="none" w:sz="0" w:space="0" w:color="auto"/>
            <w:right w:val="none" w:sz="0" w:space="0" w:color="auto"/>
          </w:divBdr>
        </w:div>
        <w:div w:id="2016303575">
          <w:marLeft w:val="0"/>
          <w:marRight w:val="0"/>
          <w:marTop w:val="0"/>
          <w:marBottom w:val="0"/>
          <w:divBdr>
            <w:top w:val="none" w:sz="0" w:space="0" w:color="auto"/>
            <w:left w:val="none" w:sz="0" w:space="0" w:color="auto"/>
            <w:bottom w:val="none" w:sz="0" w:space="0" w:color="auto"/>
            <w:right w:val="none" w:sz="0" w:space="0" w:color="auto"/>
          </w:divBdr>
        </w:div>
        <w:div w:id="2077125184">
          <w:marLeft w:val="0"/>
          <w:marRight w:val="0"/>
          <w:marTop w:val="0"/>
          <w:marBottom w:val="0"/>
          <w:divBdr>
            <w:top w:val="none" w:sz="0" w:space="0" w:color="auto"/>
            <w:left w:val="none" w:sz="0" w:space="0" w:color="auto"/>
            <w:bottom w:val="none" w:sz="0" w:space="0" w:color="auto"/>
            <w:right w:val="none" w:sz="0" w:space="0" w:color="auto"/>
          </w:divBdr>
        </w:div>
      </w:divsChild>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23980593">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574192497">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2324909">
      <w:bodyDiv w:val="1"/>
      <w:marLeft w:val="0"/>
      <w:marRight w:val="0"/>
      <w:marTop w:val="0"/>
      <w:marBottom w:val="0"/>
      <w:divBdr>
        <w:top w:val="none" w:sz="0" w:space="0" w:color="auto"/>
        <w:left w:val="none" w:sz="0" w:space="0" w:color="auto"/>
        <w:bottom w:val="none" w:sz="0" w:space="0" w:color="auto"/>
        <w:right w:val="none" w:sz="0" w:space="0" w:color="auto"/>
      </w:divBdr>
      <w:divsChild>
        <w:div w:id="1576863483">
          <w:marLeft w:val="0"/>
          <w:marRight w:val="0"/>
          <w:marTop w:val="0"/>
          <w:marBottom w:val="0"/>
          <w:divBdr>
            <w:top w:val="none" w:sz="0" w:space="0" w:color="auto"/>
            <w:left w:val="none" w:sz="0" w:space="0" w:color="auto"/>
            <w:bottom w:val="none" w:sz="0" w:space="0" w:color="auto"/>
            <w:right w:val="none" w:sz="0" w:space="0" w:color="auto"/>
          </w:divBdr>
          <w:divsChild>
            <w:div w:id="69685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64611">
      <w:bodyDiv w:val="1"/>
      <w:marLeft w:val="0"/>
      <w:marRight w:val="0"/>
      <w:marTop w:val="0"/>
      <w:marBottom w:val="0"/>
      <w:divBdr>
        <w:top w:val="none" w:sz="0" w:space="0" w:color="auto"/>
        <w:left w:val="none" w:sz="0" w:space="0" w:color="auto"/>
        <w:bottom w:val="none" w:sz="0" w:space="0" w:color="auto"/>
        <w:right w:val="none" w:sz="0" w:space="0" w:color="auto"/>
      </w:divBdr>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35063729">
      <w:bodyDiv w:val="1"/>
      <w:marLeft w:val="0"/>
      <w:marRight w:val="0"/>
      <w:marTop w:val="0"/>
      <w:marBottom w:val="0"/>
      <w:divBdr>
        <w:top w:val="none" w:sz="0" w:space="0" w:color="auto"/>
        <w:left w:val="none" w:sz="0" w:space="0" w:color="auto"/>
        <w:bottom w:val="none" w:sz="0" w:space="0" w:color="auto"/>
        <w:right w:val="none" w:sz="0" w:space="0" w:color="auto"/>
      </w:divBdr>
    </w:div>
    <w:div w:id="1652445309">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69598842">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278186">
      <w:bodyDiv w:val="1"/>
      <w:marLeft w:val="0"/>
      <w:marRight w:val="0"/>
      <w:marTop w:val="0"/>
      <w:marBottom w:val="0"/>
      <w:divBdr>
        <w:top w:val="none" w:sz="0" w:space="0" w:color="auto"/>
        <w:left w:val="none" w:sz="0" w:space="0" w:color="auto"/>
        <w:bottom w:val="none" w:sz="0" w:space="0" w:color="auto"/>
        <w:right w:val="none" w:sz="0" w:space="0" w:color="auto"/>
      </w:divBdr>
      <w:divsChild>
        <w:div w:id="442577769">
          <w:marLeft w:val="0"/>
          <w:marRight w:val="0"/>
          <w:marTop w:val="0"/>
          <w:marBottom w:val="0"/>
          <w:divBdr>
            <w:top w:val="none" w:sz="0" w:space="0" w:color="auto"/>
            <w:left w:val="none" w:sz="0" w:space="0" w:color="auto"/>
            <w:bottom w:val="none" w:sz="0" w:space="0" w:color="auto"/>
            <w:right w:val="none" w:sz="0" w:space="0" w:color="auto"/>
          </w:divBdr>
        </w:div>
      </w:divsChild>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690377357">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06372608">
      <w:bodyDiv w:val="1"/>
      <w:marLeft w:val="0"/>
      <w:marRight w:val="0"/>
      <w:marTop w:val="0"/>
      <w:marBottom w:val="0"/>
      <w:divBdr>
        <w:top w:val="none" w:sz="0" w:space="0" w:color="auto"/>
        <w:left w:val="none" w:sz="0" w:space="0" w:color="auto"/>
        <w:bottom w:val="none" w:sz="0" w:space="0" w:color="auto"/>
        <w:right w:val="none" w:sz="0" w:space="0" w:color="auto"/>
      </w:divBdr>
      <w:divsChild>
        <w:div w:id="12803995">
          <w:marLeft w:val="0"/>
          <w:marRight w:val="0"/>
          <w:marTop w:val="0"/>
          <w:marBottom w:val="0"/>
          <w:divBdr>
            <w:top w:val="none" w:sz="0" w:space="0" w:color="auto"/>
            <w:left w:val="none" w:sz="0" w:space="0" w:color="auto"/>
            <w:bottom w:val="none" w:sz="0" w:space="0" w:color="auto"/>
            <w:right w:val="none" w:sz="0" w:space="0" w:color="auto"/>
          </w:divBdr>
        </w:div>
        <w:div w:id="462580254">
          <w:marLeft w:val="0"/>
          <w:marRight w:val="0"/>
          <w:marTop w:val="0"/>
          <w:marBottom w:val="0"/>
          <w:divBdr>
            <w:top w:val="none" w:sz="0" w:space="0" w:color="auto"/>
            <w:left w:val="none" w:sz="0" w:space="0" w:color="auto"/>
            <w:bottom w:val="none" w:sz="0" w:space="0" w:color="auto"/>
            <w:right w:val="none" w:sz="0" w:space="0" w:color="auto"/>
          </w:divBdr>
        </w:div>
        <w:div w:id="888417713">
          <w:marLeft w:val="0"/>
          <w:marRight w:val="0"/>
          <w:marTop w:val="0"/>
          <w:marBottom w:val="0"/>
          <w:divBdr>
            <w:top w:val="none" w:sz="0" w:space="0" w:color="auto"/>
            <w:left w:val="none" w:sz="0" w:space="0" w:color="auto"/>
            <w:bottom w:val="none" w:sz="0" w:space="0" w:color="auto"/>
            <w:right w:val="none" w:sz="0" w:space="0" w:color="auto"/>
          </w:divBdr>
        </w:div>
        <w:div w:id="1789658679">
          <w:marLeft w:val="0"/>
          <w:marRight w:val="0"/>
          <w:marTop w:val="0"/>
          <w:marBottom w:val="0"/>
          <w:divBdr>
            <w:top w:val="none" w:sz="0" w:space="0" w:color="auto"/>
            <w:left w:val="none" w:sz="0" w:space="0" w:color="auto"/>
            <w:bottom w:val="none" w:sz="0" w:space="0" w:color="auto"/>
            <w:right w:val="none" w:sz="0" w:space="0" w:color="auto"/>
          </w:divBdr>
        </w:div>
      </w:divsChild>
    </w:div>
    <w:div w:id="1715496066">
      <w:bodyDiv w:val="1"/>
      <w:marLeft w:val="0"/>
      <w:marRight w:val="0"/>
      <w:marTop w:val="0"/>
      <w:marBottom w:val="0"/>
      <w:divBdr>
        <w:top w:val="none" w:sz="0" w:space="0" w:color="auto"/>
        <w:left w:val="none" w:sz="0" w:space="0" w:color="auto"/>
        <w:bottom w:val="none" w:sz="0" w:space="0" w:color="auto"/>
        <w:right w:val="none" w:sz="0" w:space="0" w:color="auto"/>
      </w:divBdr>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485333">
      <w:bodyDiv w:val="1"/>
      <w:marLeft w:val="0"/>
      <w:marRight w:val="0"/>
      <w:marTop w:val="0"/>
      <w:marBottom w:val="0"/>
      <w:divBdr>
        <w:top w:val="none" w:sz="0" w:space="0" w:color="auto"/>
        <w:left w:val="none" w:sz="0" w:space="0" w:color="auto"/>
        <w:bottom w:val="none" w:sz="0" w:space="0" w:color="auto"/>
        <w:right w:val="none" w:sz="0" w:space="0" w:color="auto"/>
      </w:divBdr>
      <w:divsChild>
        <w:div w:id="418016650">
          <w:marLeft w:val="0"/>
          <w:marRight w:val="0"/>
          <w:marTop w:val="0"/>
          <w:marBottom w:val="0"/>
          <w:divBdr>
            <w:top w:val="none" w:sz="0" w:space="0" w:color="auto"/>
            <w:left w:val="none" w:sz="0" w:space="0" w:color="auto"/>
            <w:bottom w:val="none" w:sz="0" w:space="0" w:color="auto"/>
            <w:right w:val="none" w:sz="0" w:space="0" w:color="auto"/>
          </w:divBdr>
        </w:div>
        <w:div w:id="922104309">
          <w:marLeft w:val="0"/>
          <w:marRight w:val="0"/>
          <w:marTop w:val="0"/>
          <w:marBottom w:val="0"/>
          <w:divBdr>
            <w:top w:val="none" w:sz="0" w:space="0" w:color="auto"/>
            <w:left w:val="none" w:sz="0" w:space="0" w:color="auto"/>
            <w:bottom w:val="none" w:sz="0" w:space="0" w:color="auto"/>
            <w:right w:val="none" w:sz="0" w:space="0" w:color="auto"/>
          </w:divBdr>
        </w:div>
        <w:div w:id="1102650898">
          <w:marLeft w:val="0"/>
          <w:marRight w:val="0"/>
          <w:marTop w:val="0"/>
          <w:marBottom w:val="0"/>
          <w:divBdr>
            <w:top w:val="none" w:sz="0" w:space="0" w:color="auto"/>
            <w:left w:val="none" w:sz="0" w:space="0" w:color="auto"/>
            <w:bottom w:val="none" w:sz="0" w:space="0" w:color="auto"/>
            <w:right w:val="none" w:sz="0" w:space="0" w:color="auto"/>
          </w:divBdr>
        </w:div>
        <w:div w:id="1540364121">
          <w:marLeft w:val="0"/>
          <w:marRight w:val="0"/>
          <w:marTop w:val="0"/>
          <w:marBottom w:val="0"/>
          <w:divBdr>
            <w:top w:val="none" w:sz="0" w:space="0" w:color="auto"/>
            <w:left w:val="none" w:sz="0" w:space="0" w:color="auto"/>
            <w:bottom w:val="none" w:sz="0" w:space="0" w:color="auto"/>
            <w:right w:val="none" w:sz="0" w:space="0" w:color="auto"/>
          </w:divBdr>
        </w:div>
      </w:divsChild>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82720870">
      <w:bodyDiv w:val="1"/>
      <w:marLeft w:val="0"/>
      <w:marRight w:val="0"/>
      <w:marTop w:val="0"/>
      <w:marBottom w:val="0"/>
      <w:divBdr>
        <w:top w:val="none" w:sz="0" w:space="0" w:color="auto"/>
        <w:left w:val="none" w:sz="0" w:space="0" w:color="auto"/>
        <w:bottom w:val="none" w:sz="0" w:space="0" w:color="auto"/>
        <w:right w:val="none" w:sz="0" w:space="0" w:color="auto"/>
      </w:divBdr>
      <w:divsChild>
        <w:div w:id="396981615">
          <w:marLeft w:val="0"/>
          <w:marRight w:val="0"/>
          <w:marTop w:val="0"/>
          <w:marBottom w:val="0"/>
          <w:divBdr>
            <w:top w:val="none" w:sz="0" w:space="0" w:color="auto"/>
            <w:left w:val="none" w:sz="0" w:space="0" w:color="auto"/>
            <w:bottom w:val="none" w:sz="0" w:space="0" w:color="auto"/>
            <w:right w:val="none" w:sz="0" w:space="0" w:color="auto"/>
          </w:divBdr>
        </w:div>
        <w:div w:id="659775030">
          <w:marLeft w:val="0"/>
          <w:marRight w:val="0"/>
          <w:marTop w:val="0"/>
          <w:marBottom w:val="0"/>
          <w:divBdr>
            <w:top w:val="none" w:sz="0" w:space="0" w:color="auto"/>
            <w:left w:val="none" w:sz="0" w:space="0" w:color="auto"/>
            <w:bottom w:val="none" w:sz="0" w:space="0" w:color="auto"/>
            <w:right w:val="none" w:sz="0" w:space="0" w:color="auto"/>
          </w:divBdr>
        </w:div>
        <w:div w:id="700135255">
          <w:marLeft w:val="0"/>
          <w:marRight w:val="0"/>
          <w:marTop w:val="0"/>
          <w:marBottom w:val="0"/>
          <w:divBdr>
            <w:top w:val="none" w:sz="0" w:space="0" w:color="auto"/>
            <w:left w:val="none" w:sz="0" w:space="0" w:color="auto"/>
            <w:bottom w:val="none" w:sz="0" w:space="0" w:color="auto"/>
            <w:right w:val="none" w:sz="0" w:space="0" w:color="auto"/>
          </w:divBdr>
        </w:div>
        <w:div w:id="1044019924">
          <w:marLeft w:val="0"/>
          <w:marRight w:val="0"/>
          <w:marTop w:val="0"/>
          <w:marBottom w:val="0"/>
          <w:divBdr>
            <w:top w:val="none" w:sz="0" w:space="0" w:color="auto"/>
            <w:left w:val="none" w:sz="0" w:space="0" w:color="auto"/>
            <w:bottom w:val="none" w:sz="0" w:space="0" w:color="auto"/>
            <w:right w:val="none" w:sz="0" w:space="0" w:color="auto"/>
          </w:divBdr>
        </w:div>
        <w:div w:id="1077747941">
          <w:marLeft w:val="0"/>
          <w:marRight w:val="0"/>
          <w:marTop w:val="0"/>
          <w:marBottom w:val="0"/>
          <w:divBdr>
            <w:top w:val="none" w:sz="0" w:space="0" w:color="auto"/>
            <w:left w:val="none" w:sz="0" w:space="0" w:color="auto"/>
            <w:bottom w:val="none" w:sz="0" w:space="0" w:color="auto"/>
            <w:right w:val="none" w:sz="0" w:space="0" w:color="auto"/>
          </w:divBdr>
        </w:div>
        <w:div w:id="1910073359">
          <w:marLeft w:val="0"/>
          <w:marRight w:val="0"/>
          <w:marTop w:val="0"/>
          <w:marBottom w:val="0"/>
          <w:divBdr>
            <w:top w:val="none" w:sz="0" w:space="0" w:color="auto"/>
            <w:left w:val="none" w:sz="0" w:space="0" w:color="auto"/>
            <w:bottom w:val="none" w:sz="0" w:space="0" w:color="auto"/>
            <w:right w:val="none" w:sz="0" w:space="0" w:color="auto"/>
          </w:divBdr>
        </w:div>
        <w:div w:id="1984499020">
          <w:marLeft w:val="0"/>
          <w:marRight w:val="0"/>
          <w:marTop w:val="0"/>
          <w:marBottom w:val="0"/>
          <w:divBdr>
            <w:top w:val="none" w:sz="0" w:space="0" w:color="auto"/>
            <w:left w:val="none" w:sz="0" w:space="0" w:color="auto"/>
            <w:bottom w:val="none" w:sz="0" w:space="0" w:color="auto"/>
            <w:right w:val="none" w:sz="0" w:space="0" w:color="auto"/>
          </w:divBdr>
        </w:div>
        <w:div w:id="2037415644">
          <w:marLeft w:val="0"/>
          <w:marRight w:val="0"/>
          <w:marTop w:val="0"/>
          <w:marBottom w:val="0"/>
          <w:divBdr>
            <w:top w:val="none" w:sz="0" w:space="0" w:color="auto"/>
            <w:left w:val="none" w:sz="0" w:space="0" w:color="auto"/>
            <w:bottom w:val="none" w:sz="0" w:space="0" w:color="auto"/>
            <w:right w:val="none" w:sz="0" w:space="0" w:color="auto"/>
          </w:divBdr>
        </w:div>
      </w:divsChild>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38106201">
      <w:bodyDiv w:val="1"/>
      <w:marLeft w:val="0"/>
      <w:marRight w:val="0"/>
      <w:marTop w:val="0"/>
      <w:marBottom w:val="0"/>
      <w:divBdr>
        <w:top w:val="none" w:sz="0" w:space="0" w:color="auto"/>
        <w:left w:val="none" w:sz="0" w:space="0" w:color="auto"/>
        <w:bottom w:val="none" w:sz="0" w:space="0" w:color="auto"/>
        <w:right w:val="none" w:sz="0" w:space="0" w:color="auto"/>
      </w:divBdr>
      <w:divsChild>
        <w:div w:id="4673883">
          <w:marLeft w:val="0"/>
          <w:marRight w:val="0"/>
          <w:marTop w:val="0"/>
          <w:marBottom w:val="0"/>
          <w:divBdr>
            <w:top w:val="none" w:sz="0" w:space="0" w:color="auto"/>
            <w:left w:val="none" w:sz="0" w:space="0" w:color="auto"/>
            <w:bottom w:val="none" w:sz="0" w:space="0" w:color="auto"/>
            <w:right w:val="none" w:sz="0" w:space="0" w:color="auto"/>
          </w:divBdr>
        </w:div>
        <w:div w:id="5713846">
          <w:marLeft w:val="0"/>
          <w:marRight w:val="0"/>
          <w:marTop w:val="0"/>
          <w:marBottom w:val="0"/>
          <w:divBdr>
            <w:top w:val="none" w:sz="0" w:space="0" w:color="auto"/>
            <w:left w:val="none" w:sz="0" w:space="0" w:color="auto"/>
            <w:bottom w:val="none" w:sz="0" w:space="0" w:color="auto"/>
            <w:right w:val="none" w:sz="0" w:space="0" w:color="auto"/>
          </w:divBdr>
        </w:div>
        <w:div w:id="46150899">
          <w:marLeft w:val="0"/>
          <w:marRight w:val="0"/>
          <w:marTop w:val="0"/>
          <w:marBottom w:val="0"/>
          <w:divBdr>
            <w:top w:val="none" w:sz="0" w:space="0" w:color="auto"/>
            <w:left w:val="none" w:sz="0" w:space="0" w:color="auto"/>
            <w:bottom w:val="none" w:sz="0" w:space="0" w:color="auto"/>
            <w:right w:val="none" w:sz="0" w:space="0" w:color="auto"/>
          </w:divBdr>
        </w:div>
        <w:div w:id="54009491">
          <w:marLeft w:val="0"/>
          <w:marRight w:val="0"/>
          <w:marTop w:val="0"/>
          <w:marBottom w:val="0"/>
          <w:divBdr>
            <w:top w:val="none" w:sz="0" w:space="0" w:color="auto"/>
            <w:left w:val="none" w:sz="0" w:space="0" w:color="auto"/>
            <w:bottom w:val="none" w:sz="0" w:space="0" w:color="auto"/>
            <w:right w:val="none" w:sz="0" w:space="0" w:color="auto"/>
          </w:divBdr>
        </w:div>
        <w:div w:id="63115501">
          <w:marLeft w:val="0"/>
          <w:marRight w:val="0"/>
          <w:marTop w:val="0"/>
          <w:marBottom w:val="0"/>
          <w:divBdr>
            <w:top w:val="none" w:sz="0" w:space="0" w:color="auto"/>
            <w:left w:val="none" w:sz="0" w:space="0" w:color="auto"/>
            <w:bottom w:val="none" w:sz="0" w:space="0" w:color="auto"/>
            <w:right w:val="none" w:sz="0" w:space="0" w:color="auto"/>
          </w:divBdr>
        </w:div>
        <w:div w:id="80414039">
          <w:marLeft w:val="0"/>
          <w:marRight w:val="0"/>
          <w:marTop w:val="0"/>
          <w:marBottom w:val="0"/>
          <w:divBdr>
            <w:top w:val="none" w:sz="0" w:space="0" w:color="auto"/>
            <w:left w:val="none" w:sz="0" w:space="0" w:color="auto"/>
            <w:bottom w:val="none" w:sz="0" w:space="0" w:color="auto"/>
            <w:right w:val="none" w:sz="0" w:space="0" w:color="auto"/>
          </w:divBdr>
        </w:div>
        <w:div w:id="98910316">
          <w:marLeft w:val="0"/>
          <w:marRight w:val="0"/>
          <w:marTop w:val="0"/>
          <w:marBottom w:val="0"/>
          <w:divBdr>
            <w:top w:val="none" w:sz="0" w:space="0" w:color="auto"/>
            <w:left w:val="none" w:sz="0" w:space="0" w:color="auto"/>
            <w:bottom w:val="none" w:sz="0" w:space="0" w:color="auto"/>
            <w:right w:val="none" w:sz="0" w:space="0" w:color="auto"/>
          </w:divBdr>
        </w:div>
        <w:div w:id="100490084">
          <w:marLeft w:val="0"/>
          <w:marRight w:val="0"/>
          <w:marTop w:val="0"/>
          <w:marBottom w:val="0"/>
          <w:divBdr>
            <w:top w:val="none" w:sz="0" w:space="0" w:color="auto"/>
            <w:left w:val="none" w:sz="0" w:space="0" w:color="auto"/>
            <w:bottom w:val="none" w:sz="0" w:space="0" w:color="auto"/>
            <w:right w:val="none" w:sz="0" w:space="0" w:color="auto"/>
          </w:divBdr>
        </w:div>
        <w:div w:id="151335871">
          <w:marLeft w:val="0"/>
          <w:marRight w:val="0"/>
          <w:marTop w:val="0"/>
          <w:marBottom w:val="0"/>
          <w:divBdr>
            <w:top w:val="none" w:sz="0" w:space="0" w:color="auto"/>
            <w:left w:val="none" w:sz="0" w:space="0" w:color="auto"/>
            <w:bottom w:val="none" w:sz="0" w:space="0" w:color="auto"/>
            <w:right w:val="none" w:sz="0" w:space="0" w:color="auto"/>
          </w:divBdr>
        </w:div>
        <w:div w:id="197592680">
          <w:marLeft w:val="0"/>
          <w:marRight w:val="0"/>
          <w:marTop w:val="0"/>
          <w:marBottom w:val="0"/>
          <w:divBdr>
            <w:top w:val="none" w:sz="0" w:space="0" w:color="auto"/>
            <w:left w:val="none" w:sz="0" w:space="0" w:color="auto"/>
            <w:bottom w:val="none" w:sz="0" w:space="0" w:color="auto"/>
            <w:right w:val="none" w:sz="0" w:space="0" w:color="auto"/>
          </w:divBdr>
        </w:div>
        <w:div w:id="218444254">
          <w:marLeft w:val="0"/>
          <w:marRight w:val="0"/>
          <w:marTop w:val="0"/>
          <w:marBottom w:val="0"/>
          <w:divBdr>
            <w:top w:val="none" w:sz="0" w:space="0" w:color="auto"/>
            <w:left w:val="none" w:sz="0" w:space="0" w:color="auto"/>
            <w:bottom w:val="none" w:sz="0" w:space="0" w:color="auto"/>
            <w:right w:val="none" w:sz="0" w:space="0" w:color="auto"/>
          </w:divBdr>
        </w:div>
        <w:div w:id="247037017">
          <w:marLeft w:val="0"/>
          <w:marRight w:val="0"/>
          <w:marTop w:val="0"/>
          <w:marBottom w:val="0"/>
          <w:divBdr>
            <w:top w:val="none" w:sz="0" w:space="0" w:color="auto"/>
            <w:left w:val="none" w:sz="0" w:space="0" w:color="auto"/>
            <w:bottom w:val="none" w:sz="0" w:space="0" w:color="auto"/>
            <w:right w:val="none" w:sz="0" w:space="0" w:color="auto"/>
          </w:divBdr>
        </w:div>
        <w:div w:id="257177163">
          <w:marLeft w:val="0"/>
          <w:marRight w:val="0"/>
          <w:marTop w:val="0"/>
          <w:marBottom w:val="0"/>
          <w:divBdr>
            <w:top w:val="none" w:sz="0" w:space="0" w:color="auto"/>
            <w:left w:val="none" w:sz="0" w:space="0" w:color="auto"/>
            <w:bottom w:val="none" w:sz="0" w:space="0" w:color="auto"/>
            <w:right w:val="none" w:sz="0" w:space="0" w:color="auto"/>
          </w:divBdr>
        </w:div>
        <w:div w:id="295840436">
          <w:marLeft w:val="0"/>
          <w:marRight w:val="0"/>
          <w:marTop w:val="0"/>
          <w:marBottom w:val="0"/>
          <w:divBdr>
            <w:top w:val="none" w:sz="0" w:space="0" w:color="auto"/>
            <w:left w:val="none" w:sz="0" w:space="0" w:color="auto"/>
            <w:bottom w:val="none" w:sz="0" w:space="0" w:color="auto"/>
            <w:right w:val="none" w:sz="0" w:space="0" w:color="auto"/>
          </w:divBdr>
        </w:div>
        <w:div w:id="309292586">
          <w:marLeft w:val="0"/>
          <w:marRight w:val="0"/>
          <w:marTop w:val="0"/>
          <w:marBottom w:val="0"/>
          <w:divBdr>
            <w:top w:val="none" w:sz="0" w:space="0" w:color="auto"/>
            <w:left w:val="none" w:sz="0" w:space="0" w:color="auto"/>
            <w:bottom w:val="none" w:sz="0" w:space="0" w:color="auto"/>
            <w:right w:val="none" w:sz="0" w:space="0" w:color="auto"/>
          </w:divBdr>
        </w:div>
        <w:div w:id="310138090">
          <w:marLeft w:val="0"/>
          <w:marRight w:val="0"/>
          <w:marTop w:val="0"/>
          <w:marBottom w:val="0"/>
          <w:divBdr>
            <w:top w:val="none" w:sz="0" w:space="0" w:color="auto"/>
            <w:left w:val="none" w:sz="0" w:space="0" w:color="auto"/>
            <w:bottom w:val="none" w:sz="0" w:space="0" w:color="auto"/>
            <w:right w:val="none" w:sz="0" w:space="0" w:color="auto"/>
          </w:divBdr>
        </w:div>
        <w:div w:id="323440193">
          <w:marLeft w:val="0"/>
          <w:marRight w:val="0"/>
          <w:marTop w:val="0"/>
          <w:marBottom w:val="0"/>
          <w:divBdr>
            <w:top w:val="none" w:sz="0" w:space="0" w:color="auto"/>
            <w:left w:val="none" w:sz="0" w:space="0" w:color="auto"/>
            <w:bottom w:val="none" w:sz="0" w:space="0" w:color="auto"/>
            <w:right w:val="none" w:sz="0" w:space="0" w:color="auto"/>
          </w:divBdr>
        </w:div>
        <w:div w:id="337270286">
          <w:marLeft w:val="0"/>
          <w:marRight w:val="0"/>
          <w:marTop w:val="0"/>
          <w:marBottom w:val="0"/>
          <w:divBdr>
            <w:top w:val="none" w:sz="0" w:space="0" w:color="auto"/>
            <w:left w:val="none" w:sz="0" w:space="0" w:color="auto"/>
            <w:bottom w:val="none" w:sz="0" w:space="0" w:color="auto"/>
            <w:right w:val="none" w:sz="0" w:space="0" w:color="auto"/>
          </w:divBdr>
        </w:div>
        <w:div w:id="386491404">
          <w:marLeft w:val="0"/>
          <w:marRight w:val="0"/>
          <w:marTop w:val="0"/>
          <w:marBottom w:val="0"/>
          <w:divBdr>
            <w:top w:val="none" w:sz="0" w:space="0" w:color="auto"/>
            <w:left w:val="none" w:sz="0" w:space="0" w:color="auto"/>
            <w:bottom w:val="none" w:sz="0" w:space="0" w:color="auto"/>
            <w:right w:val="none" w:sz="0" w:space="0" w:color="auto"/>
          </w:divBdr>
        </w:div>
        <w:div w:id="407390422">
          <w:marLeft w:val="0"/>
          <w:marRight w:val="0"/>
          <w:marTop w:val="0"/>
          <w:marBottom w:val="0"/>
          <w:divBdr>
            <w:top w:val="none" w:sz="0" w:space="0" w:color="auto"/>
            <w:left w:val="none" w:sz="0" w:space="0" w:color="auto"/>
            <w:bottom w:val="none" w:sz="0" w:space="0" w:color="auto"/>
            <w:right w:val="none" w:sz="0" w:space="0" w:color="auto"/>
          </w:divBdr>
        </w:div>
        <w:div w:id="417677305">
          <w:marLeft w:val="0"/>
          <w:marRight w:val="0"/>
          <w:marTop w:val="0"/>
          <w:marBottom w:val="0"/>
          <w:divBdr>
            <w:top w:val="none" w:sz="0" w:space="0" w:color="auto"/>
            <w:left w:val="none" w:sz="0" w:space="0" w:color="auto"/>
            <w:bottom w:val="none" w:sz="0" w:space="0" w:color="auto"/>
            <w:right w:val="none" w:sz="0" w:space="0" w:color="auto"/>
          </w:divBdr>
        </w:div>
        <w:div w:id="419182300">
          <w:marLeft w:val="0"/>
          <w:marRight w:val="0"/>
          <w:marTop w:val="0"/>
          <w:marBottom w:val="0"/>
          <w:divBdr>
            <w:top w:val="none" w:sz="0" w:space="0" w:color="auto"/>
            <w:left w:val="none" w:sz="0" w:space="0" w:color="auto"/>
            <w:bottom w:val="none" w:sz="0" w:space="0" w:color="auto"/>
            <w:right w:val="none" w:sz="0" w:space="0" w:color="auto"/>
          </w:divBdr>
        </w:div>
        <w:div w:id="478351335">
          <w:marLeft w:val="0"/>
          <w:marRight w:val="0"/>
          <w:marTop w:val="0"/>
          <w:marBottom w:val="0"/>
          <w:divBdr>
            <w:top w:val="none" w:sz="0" w:space="0" w:color="auto"/>
            <w:left w:val="none" w:sz="0" w:space="0" w:color="auto"/>
            <w:bottom w:val="none" w:sz="0" w:space="0" w:color="auto"/>
            <w:right w:val="none" w:sz="0" w:space="0" w:color="auto"/>
          </w:divBdr>
        </w:div>
        <w:div w:id="504246505">
          <w:marLeft w:val="0"/>
          <w:marRight w:val="0"/>
          <w:marTop w:val="0"/>
          <w:marBottom w:val="0"/>
          <w:divBdr>
            <w:top w:val="none" w:sz="0" w:space="0" w:color="auto"/>
            <w:left w:val="none" w:sz="0" w:space="0" w:color="auto"/>
            <w:bottom w:val="none" w:sz="0" w:space="0" w:color="auto"/>
            <w:right w:val="none" w:sz="0" w:space="0" w:color="auto"/>
          </w:divBdr>
        </w:div>
        <w:div w:id="548761391">
          <w:marLeft w:val="0"/>
          <w:marRight w:val="0"/>
          <w:marTop w:val="0"/>
          <w:marBottom w:val="0"/>
          <w:divBdr>
            <w:top w:val="none" w:sz="0" w:space="0" w:color="auto"/>
            <w:left w:val="none" w:sz="0" w:space="0" w:color="auto"/>
            <w:bottom w:val="none" w:sz="0" w:space="0" w:color="auto"/>
            <w:right w:val="none" w:sz="0" w:space="0" w:color="auto"/>
          </w:divBdr>
        </w:div>
        <w:div w:id="651640451">
          <w:marLeft w:val="0"/>
          <w:marRight w:val="0"/>
          <w:marTop w:val="0"/>
          <w:marBottom w:val="0"/>
          <w:divBdr>
            <w:top w:val="none" w:sz="0" w:space="0" w:color="auto"/>
            <w:left w:val="none" w:sz="0" w:space="0" w:color="auto"/>
            <w:bottom w:val="none" w:sz="0" w:space="0" w:color="auto"/>
            <w:right w:val="none" w:sz="0" w:space="0" w:color="auto"/>
          </w:divBdr>
        </w:div>
        <w:div w:id="720178361">
          <w:marLeft w:val="0"/>
          <w:marRight w:val="0"/>
          <w:marTop w:val="0"/>
          <w:marBottom w:val="0"/>
          <w:divBdr>
            <w:top w:val="none" w:sz="0" w:space="0" w:color="auto"/>
            <w:left w:val="none" w:sz="0" w:space="0" w:color="auto"/>
            <w:bottom w:val="none" w:sz="0" w:space="0" w:color="auto"/>
            <w:right w:val="none" w:sz="0" w:space="0" w:color="auto"/>
          </w:divBdr>
        </w:div>
        <w:div w:id="727262634">
          <w:marLeft w:val="0"/>
          <w:marRight w:val="0"/>
          <w:marTop w:val="0"/>
          <w:marBottom w:val="0"/>
          <w:divBdr>
            <w:top w:val="none" w:sz="0" w:space="0" w:color="auto"/>
            <w:left w:val="none" w:sz="0" w:space="0" w:color="auto"/>
            <w:bottom w:val="none" w:sz="0" w:space="0" w:color="auto"/>
            <w:right w:val="none" w:sz="0" w:space="0" w:color="auto"/>
          </w:divBdr>
        </w:div>
        <w:div w:id="743143839">
          <w:marLeft w:val="0"/>
          <w:marRight w:val="0"/>
          <w:marTop w:val="0"/>
          <w:marBottom w:val="0"/>
          <w:divBdr>
            <w:top w:val="none" w:sz="0" w:space="0" w:color="auto"/>
            <w:left w:val="none" w:sz="0" w:space="0" w:color="auto"/>
            <w:bottom w:val="none" w:sz="0" w:space="0" w:color="auto"/>
            <w:right w:val="none" w:sz="0" w:space="0" w:color="auto"/>
          </w:divBdr>
        </w:div>
        <w:div w:id="773985737">
          <w:marLeft w:val="0"/>
          <w:marRight w:val="0"/>
          <w:marTop w:val="0"/>
          <w:marBottom w:val="0"/>
          <w:divBdr>
            <w:top w:val="none" w:sz="0" w:space="0" w:color="auto"/>
            <w:left w:val="none" w:sz="0" w:space="0" w:color="auto"/>
            <w:bottom w:val="none" w:sz="0" w:space="0" w:color="auto"/>
            <w:right w:val="none" w:sz="0" w:space="0" w:color="auto"/>
          </w:divBdr>
        </w:div>
        <w:div w:id="809253602">
          <w:marLeft w:val="0"/>
          <w:marRight w:val="0"/>
          <w:marTop w:val="0"/>
          <w:marBottom w:val="0"/>
          <w:divBdr>
            <w:top w:val="none" w:sz="0" w:space="0" w:color="auto"/>
            <w:left w:val="none" w:sz="0" w:space="0" w:color="auto"/>
            <w:bottom w:val="none" w:sz="0" w:space="0" w:color="auto"/>
            <w:right w:val="none" w:sz="0" w:space="0" w:color="auto"/>
          </w:divBdr>
        </w:div>
        <w:div w:id="850685411">
          <w:marLeft w:val="0"/>
          <w:marRight w:val="0"/>
          <w:marTop w:val="0"/>
          <w:marBottom w:val="0"/>
          <w:divBdr>
            <w:top w:val="none" w:sz="0" w:space="0" w:color="auto"/>
            <w:left w:val="none" w:sz="0" w:space="0" w:color="auto"/>
            <w:bottom w:val="none" w:sz="0" w:space="0" w:color="auto"/>
            <w:right w:val="none" w:sz="0" w:space="0" w:color="auto"/>
          </w:divBdr>
        </w:div>
        <w:div w:id="852231725">
          <w:marLeft w:val="0"/>
          <w:marRight w:val="0"/>
          <w:marTop w:val="0"/>
          <w:marBottom w:val="0"/>
          <w:divBdr>
            <w:top w:val="none" w:sz="0" w:space="0" w:color="auto"/>
            <w:left w:val="none" w:sz="0" w:space="0" w:color="auto"/>
            <w:bottom w:val="none" w:sz="0" w:space="0" w:color="auto"/>
            <w:right w:val="none" w:sz="0" w:space="0" w:color="auto"/>
          </w:divBdr>
        </w:div>
        <w:div w:id="854613393">
          <w:marLeft w:val="0"/>
          <w:marRight w:val="0"/>
          <w:marTop w:val="0"/>
          <w:marBottom w:val="0"/>
          <w:divBdr>
            <w:top w:val="none" w:sz="0" w:space="0" w:color="auto"/>
            <w:left w:val="none" w:sz="0" w:space="0" w:color="auto"/>
            <w:bottom w:val="none" w:sz="0" w:space="0" w:color="auto"/>
            <w:right w:val="none" w:sz="0" w:space="0" w:color="auto"/>
          </w:divBdr>
        </w:div>
        <w:div w:id="911740878">
          <w:marLeft w:val="0"/>
          <w:marRight w:val="0"/>
          <w:marTop w:val="0"/>
          <w:marBottom w:val="0"/>
          <w:divBdr>
            <w:top w:val="none" w:sz="0" w:space="0" w:color="auto"/>
            <w:left w:val="none" w:sz="0" w:space="0" w:color="auto"/>
            <w:bottom w:val="none" w:sz="0" w:space="0" w:color="auto"/>
            <w:right w:val="none" w:sz="0" w:space="0" w:color="auto"/>
          </w:divBdr>
        </w:div>
        <w:div w:id="935483339">
          <w:marLeft w:val="0"/>
          <w:marRight w:val="0"/>
          <w:marTop w:val="0"/>
          <w:marBottom w:val="0"/>
          <w:divBdr>
            <w:top w:val="none" w:sz="0" w:space="0" w:color="auto"/>
            <w:left w:val="none" w:sz="0" w:space="0" w:color="auto"/>
            <w:bottom w:val="none" w:sz="0" w:space="0" w:color="auto"/>
            <w:right w:val="none" w:sz="0" w:space="0" w:color="auto"/>
          </w:divBdr>
        </w:div>
        <w:div w:id="935866273">
          <w:marLeft w:val="0"/>
          <w:marRight w:val="0"/>
          <w:marTop w:val="0"/>
          <w:marBottom w:val="0"/>
          <w:divBdr>
            <w:top w:val="none" w:sz="0" w:space="0" w:color="auto"/>
            <w:left w:val="none" w:sz="0" w:space="0" w:color="auto"/>
            <w:bottom w:val="none" w:sz="0" w:space="0" w:color="auto"/>
            <w:right w:val="none" w:sz="0" w:space="0" w:color="auto"/>
          </w:divBdr>
        </w:div>
        <w:div w:id="940725480">
          <w:marLeft w:val="0"/>
          <w:marRight w:val="0"/>
          <w:marTop w:val="0"/>
          <w:marBottom w:val="0"/>
          <w:divBdr>
            <w:top w:val="none" w:sz="0" w:space="0" w:color="auto"/>
            <w:left w:val="none" w:sz="0" w:space="0" w:color="auto"/>
            <w:bottom w:val="none" w:sz="0" w:space="0" w:color="auto"/>
            <w:right w:val="none" w:sz="0" w:space="0" w:color="auto"/>
          </w:divBdr>
        </w:div>
        <w:div w:id="941566261">
          <w:marLeft w:val="0"/>
          <w:marRight w:val="0"/>
          <w:marTop w:val="0"/>
          <w:marBottom w:val="0"/>
          <w:divBdr>
            <w:top w:val="none" w:sz="0" w:space="0" w:color="auto"/>
            <w:left w:val="none" w:sz="0" w:space="0" w:color="auto"/>
            <w:bottom w:val="none" w:sz="0" w:space="0" w:color="auto"/>
            <w:right w:val="none" w:sz="0" w:space="0" w:color="auto"/>
          </w:divBdr>
        </w:div>
        <w:div w:id="942036589">
          <w:marLeft w:val="0"/>
          <w:marRight w:val="0"/>
          <w:marTop w:val="0"/>
          <w:marBottom w:val="0"/>
          <w:divBdr>
            <w:top w:val="none" w:sz="0" w:space="0" w:color="auto"/>
            <w:left w:val="none" w:sz="0" w:space="0" w:color="auto"/>
            <w:bottom w:val="none" w:sz="0" w:space="0" w:color="auto"/>
            <w:right w:val="none" w:sz="0" w:space="0" w:color="auto"/>
          </w:divBdr>
        </w:div>
        <w:div w:id="1021009444">
          <w:marLeft w:val="0"/>
          <w:marRight w:val="0"/>
          <w:marTop w:val="0"/>
          <w:marBottom w:val="0"/>
          <w:divBdr>
            <w:top w:val="none" w:sz="0" w:space="0" w:color="auto"/>
            <w:left w:val="none" w:sz="0" w:space="0" w:color="auto"/>
            <w:bottom w:val="none" w:sz="0" w:space="0" w:color="auto"/>
            <w:right w:val="none" w:sz="0" w:space="0" w:color="auto"/>
          </w:divBdr>
        </w:div>
        <w:div w:id="1022826632">
          <w:marLeft w:val="0"/>
          <w:marRight w:val="0"/>
          <w:marTop w:val="0"/>
          <w:marBottom w:val="0"/>
          <w:divBdr>
            <w:top w:val="none" w:sz="0" w:space="0" w:color="auto"/>
            <w:left w:val="none" w:sz="0" w:space="0" w:color="auto"/>
            <w:bottom w:val="none" w:sz="0" w:space="0" w:color="auto"/>
            <w:right w:val="none" w:sz="0" w:space="0" w:color="auto"/>
          </w:divBdr>
        </w:div>
        <w:div w:id="1090545849">
          <w:marLeft w:val="0"/>
          <w:marRight w:val="0"/>
          <w:marTop w:val="0"/>
          <w:marBottom w:val="0"/>
          <w:divBdr>
            <w:top w:val="none" w:sz="0" w:space="0" w:color="auto"/>
            <w:left w:val="none" w:sz="0" w:space="0" w:color="auto"/>
            <w:bottom w:val="none" w:sz="0" w:space="0" w:color="auto"/>
            <w:right w:val="none" w:sz="0" w:space="0" w:color="auto"/>
          </w:divBdr>
        </w:div>
        <w:div w:id="1093285744">
          <w:marLeft w:val="0"/>
          <w:marRight w:val="0"/>
          <w:marTop w:val="0"/>
          <w:marBottom w:val="0"/>
          <w:divBdr>
            <w:top w:val="none" w:sz="0" w:space="0" w:color="auto"/>
            <w:left w:val="none" w:sz="0" w:space="0" w:color="auto"/>
            <w:bottom w:val="none" w:sz="0" w:space="0" w:color="auto"/>
            <w:right w:val="none" w:sz="0" w:space="0" w:color="auto"/>
          </w:divBdr>
        </w:div>
        <w:div w:id="1097215177">
          <w:marLeft w:val="0"/>
          <w:marRight w:val="0"/>
          <w:marTop w:val="0"/>
          <w:marBottom w:val="0"/>
          <w:divBdr>
            <w:top w:val="none" w:sz="0" w:space="0" w:color="auto"/>
            <w:left w:val="none" w:sz="0" w:space="0" w:color="auto"/>
            <w:bottom w:val="none" w:sz="0" w:space="0" w:color="auto"/>
            <w:right w:val="none" w:sz="0" w:space="0" w:color="auto"/>
          </w:divBdr>
        </w:div>
        <w:div w:id="1100876744">
          <w:marLeft w:val="0"/>
          <w:marRight w:val="0"/>
          <w:marTop w:val="0"/>
          <w:marBottom w:val="0"/>
          <w:divBdr>
            <w:top w:val="none" w:sz="0" w:space="0" w:color="auto"/>
            <w:left w:val="none" w:sz="0" w:space="0" w:color="auto"/>
            <w:bottom w:val="none" w:sz="0" w:space="0" w:color="auto"/>
            <w:right w:val="none" w:sz="0" w:space="0" w:color="auto"/>
          </w:divBdr>
        </w:div>
        <w:div w:id="1148060514">
          <w:marLeft w:val="0"/>
          <w:marRight w:val="0"/>
          <w:marTop w:val="0"/>
          <w:marBottom w:val="0"/>
          <w:divBdr>
            <w:top w:val="none" w:sz="0" w:space="0" w:color="auto"/>
            <w:left w:val="none" w:sz="0" w:space="0" w:color="auto"/>
            <w:bottom w:val="none" w:sz="0" w:space="0" w:color="auto"/>
            <w:right w:val="none" w:sz="0" w:space="0" w:color="auto"/>
          </w:divBdr>
        </w:div>
        <w:div w:id="1184249811">
          <w:marLeft w:val="0"/>
          <w:marRight w:val="0"/>
          <w:marTop w:val="0"/>
          <w:marBottom w:val="0"/>
          <w:divBdr>
            <w:top w:val="none" w:sz="0" w:space="0" w:color="auto"/>
            <w:left w:val="none" w:sz="0" w:space="0" w:color="auto"/>
            <w:bottom w:val="none" w:sz="0" w:space="0" w:color="auto"/>
            <w:right w:val="none" w:sz="0" w:space="0" w:color="auto"/>
          </w:divBdr>
        </w:div>
        <w:div w:id="1195003238">
          <w:marLeft w:val="0"/>
          <w:marRight w:val="0"/>
          <w:marTop w:val="0"/>
          <w:marBottom w:val="0"/>
          <w:divBdr>
            <w:top w:val="none" w:sz="0" w:space="0" w:color="auto"/>
            <w:left w:val="none" w:sz="0" w:space="0" w:color="auto"/>
            <w:bottom w:val="none" w:sz="0" w:space="0" w:color="auto"/>
            <w:right w:val="none" w:sz="0" w:space="0" w:color="auto"/>
          </w:divBdr>
        </w:div>
        <w:div w:id="1198351929">
          <w:marLeft w:val="0"/>
          <w:marRight w:val="0"/>
          <w:marTop w:val="0"/>
          <w:marBottom w:val="0"/>
          <w:divBdr>
            <w:top w:val="none" w:sz="0" w:space="0" w:color="auto"/>
            <w:left w:val="none" w:sz="0" w:space="0" w:color="auto"/>
            <w:bottom w:val="none" w:sz="0" w:space="0" w:color="auto"/>
            <w:right w:val="none" w:sz="0" w:space="0" w:color="auto"/>
          </w:divBdr>
        </w:div>
        <w:div w:id="1225293225">
          <w:marLeft w:val="0"/>
          <w:marRight w:val="0"/>
          <w:marTop w:val="0"/>
          <w:marBottom w:val="0"/>
          <w:divBdr>
            <w:top w:val="none" w:sz="0" w:space="0" w:color="auto"/>
            <w:left w:val="none" w:sz="0" w:space="0" w:color="auto"/>
            <w:bottom w:val="none" w:sz="0" w:space="0" w:color="auto"/>
            <w:right w:val="none" w:sz="0" w:space="0" w:color="auto"/>
          </w:divBdr>
        </w:div>
        <w:div w:id="1276911623">
          <w:marLeft w:val="0"/>
          <w:marRight w:val="0"/>
          <w:marTop w:val="0"/>
          <w:marBottom w:val="0"/>
          <w:divBdr>
            <w:top w:val="none" w:sz="0" w:space="0" w:color="auto"/>
            <w:left w:val="none" w:sz="0" w:space="0" w:color="auto"/>
            <w:bottom w:val="none" w:sz="0" w:space="0" w:color="auto"/>
            <w:right w:val="none" w:sz="0" w:space="0" w:color="auto"/>
          </w:divBdr>
        </w:div>
        <w:div w:id="1293096474">
          <w:marLeft w:val="0"/>
          <w:marRight w:val="0"/>
          <w:marTop w:val="0"/>
          <w:marBottom w:val="0"/>
          <w:divBdr>
            <w:top w:val="none" w:sz="0" w:space="0" w:color="auto"/>
            <w:left w:val="none" w:sz="0" w:space="0" w:color="auto"/>
            <w:bottom w:val="none" w:sz="0" w:space="0" w:color="auto"/>
            <w:right w:val="none" w:sz="0" w:space="0" w:color="auto"/>
          </w:divBdr>
        </w:div>
        <w:div w:id="1318336766">
          <w:marLeft w:val="0"/>
          <w:marRight w:val="0"/>
          <w:marTop w:val="0"/>
          <w:marBottom w:val="0"/>
          <w:divBdr>
            <w:top w:val="none" w:sz="0" w:space="0" w:color="auto"/>
            <w:left w:val="none" w:sz="0" w:space="0" w:color="auto"/>
            <w:bottom w:val="none" w:sz="0" w:space="0" w:color="auto"/>
            <w:right w:val="none" w:sz="0" w:space="0" w:color="auto"/>
          </w:divBdr>
        </w:div>
        <w:div w:id="1330600181">
          <w:marLeft w:val="0"/>
          <w:marRight w:val="0"/>
          <w:marTop w:val="0"/>
          <w:marBottom w:val="0"/>
          <w:divBdr>
            <w:top w:val="none" w:sz="0" w:space="0" w:color="auto"/>
            <w:left w:val="none" w:sz="0" w:space="0" w:color="auto"/>
            <w:bottom w:val="none" w:sz="0" w:space="0" w:color="auto"/>
            <w:right w:val="none" w:sz="0" w:space="0" w:color="auto"/>
          </w:divBdr>
        </w:div>
        <w:div w:id="1341084530">
          <w:marLeft w:val="0"/>
          <w:marRight w:val="0"/>
          <w:marTop w:val="0"/>
          <w:marBottom w:val="0"/>
          <w:divBdr>
            <w:top w:val="none" w:sz="0" w:space="0" w:color="auto"/>
            <w:left w:val="none" w:sz="0" w:space="0" w:color="auto"/>
            <w:bottom w:val="none" w:sz="0" w:space="0" w:color="auto"/>
            <w:right w:val="none" w:sz="0" w:space="0" w:color="auto"/>
          </w:divBdr>
        </w:div>
        <w:div w:id="1359038776">
          <w:marLeft w:val="0"/>
          <w:marRight w:val="0"/>
          <w:marTop w:val="0"/>
          <w:marBottom w:val="0"/>
          <w:divBdr>
            <w:top w:val="none" w:sz="0" w:space="0" w:color="auto"/>
            <w:left w:val="none" w:sz="0" w:space="0" w:color="auto"/>
            <w:bottom w:val="none" w:sz="0" w:space="0" w:color="auto"/>
            <w:right w:val="none" w:sz="0" w:space="0" w:color="auto"/>
          </w:divBdr>
        </w:div>
        <w:div w:id="1361466954">
          <w:marLeft w:val="0"/>
          <w:marRight w:val="0"/>
          <w:marTop w:val="0"/>
          <w:marBottom w:val="0"/>
          <w:divBdr>
            <w:top w:val="none" w:sz="0" w:space="0" w:color="auto"/>
            <w:left w:val="none" w:sz="0" w:space="0" w:color="auto"/>
            <w:bottom w:val="none" w:sz="0" w:space="0" w:color="auto"/>
            <w:right w:val="none" w:sz="0" w:space="0" w:color="auto"/>
          </w:divBdr>
        </w:div>
        <w:div w:id="1457413223">
          <w:marLeft w:val="0"/>
          <w:marRight w:val="0"/>
          <w:marTop w:val="0"/>
          <w:marBottom w:val="0"/>
          <w:divBdr>
            <w:top w:val="none" w:sz="0" w:space="0" w:color="auto"/>
            <w:left w:val="none" w:sz="0" w:space="0" w:color="auto"/>
            <w:bottom w:val="none" w:sz="0" w:space="0" w:color="auto"/>
            <w:right w:val="none" w:sz="0" w:space="0" w:color="auto"/>
          </w:divBdr>
        </w:div>
        <w:div w:id="1474329865">
          <w:marLeft w:val="0"/>
          <w:marRight w:val="0"/>
          <w:marTop w:val="0"/>
          <w:marBottom w:val="0"/>
          <w:divBdr>
            <w:top w:val="none" w:sz="0" w:space="0" w:color="auto"/>
            <w:left w:val="none" w:sz="0" w:space="0" w:color="auto"/>
            <w:bottom w:val="none" w:sz="0" w:space="0" w:color="auto"/>
            <w:right w:val="none" w:sz="0" w:space="0" w:color="auto"/>
          </w:divBdr>
        </w:div>
        <w:div w:id="1482190919">
          <w:marLeft w:val="0"/>
          <w:marRight w:val="0"/>
          <w:marTop w:val="0"/>
          <w:marBottom w:val="0"/>
          <w:divBdr>
            <w:top w:val="none" w:sz="0" w:space="0" w:color="auto"/>
            <w:left w:val="none" w:sz="0" w:space="0" w:color="auto"/>
            <w:bottom w:val="none" w:sz="0" w:space="0" w:color="auto"/>
            <w:right w:val="none" w:sz="0" w:space="0" w:color="auto"/>
          </w:divBdr>
        </w:div>
        <w:div w:id="1519733919">
          <w:marLeft w:val="0"/>
          <w:marRight w:val="0"/>
          <w:marTop w:val="0"/>
          <w:marBottom w:val="0"/>
          <w:divBdr>
            <w:top w:val="none" w:sz="0" w:space="0" w:color="auto"/>
            <w:left w:val="none" w:sz="0" w:space="0" w:color="auto"/>
            <w:bottom w:val="none" w:sz="0" w:space="0" w:color="auto"/>
            <w:right w:val="none" w:sz="0" w:space="0" w:color="auto"/>
          </w:divBdr>
        </w:div>
        <w:div w:id="1524396289">
          <w:marLeft w:val="0"/>
          <w:marRight w:val="0"/>
          <w:marTop w:val="0"/>
          <w:marBottom w:val="0"/>
          <w:divBdr>
            <w:top w:val="none" w:sz="0" w:space="0" w:color="auto"/>
            <w:left w:val="none" w:sz="0" w:space="0" w:color="auto"/>
            <w:bottom w:val="none" w:sz="0" w:space="0" w:color="auto"/>
            <w:right w:val="none" w:sz="0" w:space="0" w:color="auto"/>
          </w:divBdr>
        </w:div>
        <w:div w:id="1566336376">
          <w:marLeft w:val="0"/>
          <w:marRight w:val="0"/>
          <w:marTop w:val="0"/>
          <w:marBottom w:val="0"/>
          <w:divBdr>
            <w:top w:val="none" w:sz="0" w:space="0" w:color="auto"/>
            <w:left w:val="none" w:sz="0" w:space="0" w:color="auto"/>
            <w:bottom w:val="none" w:sz="0" w:space="0" w:color="auto"/>
            <w:right w:val="none" w:sz="0" w:space="0" w:color="auto"/>
          </w:divBdr>
        </w:div>
        <w:div w:id="1569413863">
          <w:marLeft w:val="0"/>
          <w:marRight w:val="0"/>
          <w:marTop w:val="0"/>
          <w:marBottom w:val="0"/>
          <w:divBdr>
            <w:top w:val="none" w:sz="0" w:space="0" w:color="auto"/>
            <w:left w:val="none" w:sz="0" w:space="0" w:color="auto"/>
            <w:bottom w:val="none" w:sz="0" w:space="0" w:color="auto"/>
            <w:right w:val="none" w:sz="0" w:space="0" w:color="auto"/>
          </w:divBdr>
        </w:div>
        <w:div w:id="1580020359">
          <w:marLeft w:val="0"/>
          <w:marRight w:val="0"/>
          <w:marTop w:val="0"/>
          <w:marBottom w:val="0"/>
          <w:divBdr>
            <w:top w:val="none" w:sz="0" w:space="0" w:color="auto"/>
            <w:left w:val="none" w:sz="0" w:space="0" w:color="auto"/>
            <w:bottom w:val="none" w:sz="0" w:space="0" w:color="auto"/>
            <w:right w:val="none" w:sz="0" w:space="0" w:color="auto"/>
          </w:divBdr>
        </w:div>
        <w:div w:id="1604876205">
          <w:marLeft w:val="0"/>
          <w:marRight w:val="0"/>
          <w:marTop w:val="0"/>
          <w:marBottom w:val="0"/>
          <w:divBdr>
            <w:top w:val="none" w:sz="0" w:space="0" w:color="auto"/>
            <w:left w:val="none" w:sz="0" w:space="0" w:color="auto"/>
            <w:bottom w:val="none" w:sz="0" w:space="0" w:color="auto"/>
            <w:right w:val="none" w:sz="0" w:space="0" w:color="auto"/>
          </w:divBdr>
        </w:div>
        <w:div w:id="1607035883">
          <w:marLeft w:val="0"/>
          <w:marRight w:val="0"/>
          <w:marTop w:val="0"/>
          <w:marBottom w:val="0"/>
          <w:divBdr>
            <w:top w:val="none" w:sz="0" w:space="0" w:color="auto"/>
            <w:left w:val="none" w:sz="0" w:space="0" w:color="auto"/>
            <w:bottom w:val="none" w:sz="0" w:space="0" w:color="auto"/>
            <w:right w:val="none" w:sz="0" w:space="0" w:color="auto"/>
          </w:divBdr>
        </w:div>
        <w:div w:id="1617178361">
          <w:marLeft w:val="0"/>
          <w:marRight w:val="0"/>
          <w:marTop w:val="0"/>
          <w:marBottom w:val="0"/>
          <w:divBdr>
            <w:top w:val="none" w:sz="0" w:space="0" w:color="auto"/>
            <w:left w:val="none" w:sz="0" w:space="0" w:color="auto"/>
            <w:bottom w:val="none" w:sz="0" w:space="0" w:color="auto"/>
            <w:right w:val="none" w:sz="0" w:space="0" w:color="auto"/>
          </w:divBdr>
        </w:div>
        <w:div w:id="1630669675">
          <w:marLeft w:val="0"/>
          <w:marRight w:val="0"/>
          <w:marTop w:val="0"/>
          <w:marBottom w:val="0"/>
          <w:divBdr>
            <w:top w:val="none" w:sz="0" w:space="0" w:color="auto"/>
            <w:left w:val="none" w:sz="0" w:space="0" w:color="auto"/>
            <w:bottom w:val="none" w:sz="0" w:space="0" w:color="auto"/>
            <w:right w:val="none" w:sz="0" w:space="0" w:color="auto"/>
          </w:divBdr>
        </w:div>
        <w:div w:id="1636329925">
          <w:marLeft w:val="0"/>
          <w:marRight w:val="0"/>
          <w:marTop w:val="0"/>
          <w:marBottom w:val="0"/>
          <w:divBdr>
            <w:top w:val="none" w:sz="0" w:space="0" w:color="auto"/>
            <w:left w:val="none" w:sz="0" w:space="0" w:color="auto"/>
            <w:bottom w:val="none" w:sz="0" w:space="0" w:color="auto"/>
            <w:right w:val="none" w:sz="0" w:space="0" w:color="auto"/>
          </w:divBdr>
        </w:div>
        <w:div w:id="1688560941">
          <w:marLeft w:val="0"/>
          <w:marRight w:val="0"/>
          <w:marTop w:val="0"/>
          <w:marBottom w:val="0"/>
          <w:divBdr>
            <w:top w:val="none" w:sz="0" w:space="0" w:color="auto"/>
            <w:left w:val="none" w:sz="0" w:space="0" w:color="auto"/>
            <w:bottom w:val="none" w:sz="0" w:space="0" w:color="auto"/>
            <w:right w:val="none" w:sz="0" w:space="0" w:color="auto"/>
          </w:divBdr>
        </w:div>
        <w:div w:id="1701465600">
          <w:marLeft w:val="0"/>
          <w:marRight w:val="0"/>
          <w:marTop w:val="0"/>
          <w:marBottom w:val="0"/>
          <w:divBdr>
            <w:top w:val="none" w:sz="0" w:space="0" w:color="auto"/>
            <w:left w:val="none" w:sz="0" w:space="0" w:color="auto"/>
            <w:bottom w:val="none" w:sz="0" w:space="0" w:color="auto"/>
            <w:right w:val="none" w:sz="0" w:space="0" w:color="auto"/>
          </w:divBdr>
        </w:div>
        <w:div w:id="1708987108">
          <w:marLeft w:val="0"/>
          <w:marRight w:val="0"/>
          <w:marTop w:val="0"/>
          <w:marBottom w:val="0"/>
          <w:divBdr>
            <w:top w:val="none" w:sz="0" w:space="0" w:color="auto"/>
            <w:left w:val="none" w:sz="0" w:space="0" w:color="auto"/>
            <w:bottom w:val="none" w:sz="0" w:space="0" w:color="auto"/>
            <w:right w:val="none" w:sz="0" w:space="0" w:color="auto"/>
          </w:divBdr>
        </w:div>
        <w:div w:id="1748113216">
          <w:marLeft w:val="0"/>
          <w:marRight w:val="0"/>
          <w:marTop w:val="0"/>
          <w:marBottom w:val="0"/>
          <w:divBdr>
            <w:top w:val="none" w:sz="0" w:space="0" w:color="auto"/>
            <w:left w:val="none" w:sz="0" w:space="0" w:color="auto"/>
            <w:bottom w:val="none" w:sz="0" w:space="0" w:color="auto"/>
            <w:right w:val="none" w:sz="0" w:space="0" w:color="auto"/>
          </w:divBdr>
        </w:div>
        <w:div w:id="1777209794">
          <w:marLeft w:val="0"/>
          <w:marRight w:val="0"/>
          <w:marTop w:val="0"/>
          <w:marBottom w:val="0"/>
          <w:divBdr>
            <w:top w:val="none" w:sz="0" w:space="0" w:color="auto"/>
            <w:left w:val="none" w:sz="0" w:space="0" w:color="auto"/>
            <w:bottom w:val="none" w:sz="0" w:space="0" w:color="auto"/>
            <w:right w:val="none" w:sz="0" w:space="0" w:color="auto"/>
          </w:divBdr>
        </w:div>
        <w:div w:id="1785028516">
          <w:marLeft w:val="0"/>
          <w:marRight w:val="0"/>
          <w:marTop w:val="0"/>
          <w:marBottom w:val="0"/>
          <w:divBdr>
            <w:top w:val="none" w:sz="0" w:space="0" w:color="auto"/>
            <w:left w:val="none" w:sz="0" w:space="0" w:color="auto"/>
            <w:bottom w:val="none" w:sz="0" w:space="0" w:color="auto"/>
            <w:right w:val="none" w:sz="0" w:space="0" w:color="auto"/>
          </w:divBdr>
        </w:div>
        <w:div w:id="1825930317">
          <w:marLeft w:val="0"/>
          <w:marRight w:val="0"/>
          <w:marTop w:val="0"/>
          <w:marBottom w:val="0"/>
          <w:divBdr>
            <w:top w:val="none" w:sz="0" w:space="0" w:color="auto"/>
            <w:left w:val="none" w:sz="0" w:space="0" w:color="auto"/>
            <w:bottom w:val="none" w:sz="0" w:space="0" w:color="auto"/>
            <w:right w:val="none" w:sz="0" w:space="0" w:color="auto"/>
          </w:divBdr>
        </w:div>
        <w:div w:id="1836188093">
          <w:marLeft w:val="0"/>
          <w:marRight w:val="0"/>
          <w:marTop w:val="0"/>
          <w:marBottom w:val="0"/>
          <w:divBdr>
            <w:top w:val="none" w:sz="0" w:space="0" w:color="auto"/>
            <w:left w:val="none" w:sz="0" w:space="0" w:color="auto"/>
            <w:bottom w:val="none" w:sz="0" w:space="0" w:color="auto"/>
            <w:right w:val="none" w:sz="0" w:space="0" w:color="auto"/>
          </w:divBdr>
        </w:div>
        <w:div w:id="1840348666">
          <w:marLeft w:val="0"/>
          <w:marRight w:val="0"/>
          <w:marTop w:val="0"/>
          <w:marBottom w:val="0"/>
          <w:divBdr>
            <w:top w:val="none" w:sz="0" w:space="0" w:color="auto"/>
            <w:left w:val="none" w:sz="0" w:space="0" w:color="auto"/>
            <w:bottom w:val="none" w:sz="0" w:space="0" w:color="auto"/>
            <w:right w:val="none" w:sz="0" w:space="0" w:color="auto"/>
          </w:divBdr>
        </w:div>
        <w:div w:id="1867477924">
          <w:marLeft w:val="0"/>
          <w:marRight w:val="0"/>
          <w:marTop w:val="0"/>
          <w:marBottom w:val="0"/>
          <w:divBdr>
            <w:top w:val="none" w:sz="0" w:space="0" w:color="auto"/>
            <w:left w:val="none" w:sz="0" w:space="0" w:color="auto"/>
            <w:bottom w:val="none" w:sz="0" w:space="0" w:color="auto"/>
            <w:right w:val="none" w:sz="0" w:space="0" w:color="auto"/>
          </w:divBdr>
        </w:div>
        <w:div w:id="1881286047">
          <w:marLeft w:val="0"/>
          <w:marRight w:val="0"/>
          <w:marTop w:val="0"/>
          <w:marBottom w:val="0"/>
          <w:divBdr>
            <w:top w:val="none" w:sz="0" w:space="0" w:color="auto"/>
            <w:left w:val="none" w:sz="0" w:space="0" w:color="auto"/>
            <w:bottom w:val="none" w:sz="0" w:space="0" w:color="auto"/>
            <w:right w:val="none" w:sz="0" w:space="0" w:color="auto"/>
          </w:divBdr>
        </w:div>
        <w:div w:id="1909146334">
          <w:marLeft w:val="0"/>
          <w:marRight w:val="0"/>
          <w:marTop w:val="0"/>
          <w:marBottom w:val="0"/>
          <w:divBdr>
            <w:top w:val="none" w:sz="0" w:space="0" w:color="auto"/>
            <w:left w:val="none" w:sz="0" w:space="0" w:color="auto"/>
            <w:bottom w:val="none" w:sz="0" w:space="0" w:color="auto"/>
            <w:right w:val="none" w:sz="0" w:space="0" w:color="auto"/>
          </w:divBdr>
        </w:div>
        <w:div w:id="1933664613">
          <w:marLeft w:val="0"/>
          <w:marRight w:val="0"/>
          <w:marTop w:val="0"/>
          <w:marBottom w:val="0"/>
          <w:divBdr>
            <w:top w:val="none" w:sz="0" w:space="0" w:color="auto"/>
            <w:left w:val="none" w:sz="0" w:space="0" w:color="auto"/>
            <w:bottom w:val="none" w:sz="0" w:space="0" w:color="auto"/>
            <w:right w:val="none" w:sz="0" w:space="0" w:color="auto"/>
          </w:divBdr>
        </w:div>
        <w:div w:id="2012292998">
          <w:marLeft w:val="0"/>
          <w:marRight w:val="0"/>
          <w:marTop w:val="0"/>
          <w:marBottom w:val="0"/>
          <w:divBdr>
            <w:top w:val="none" w:sz="0" w:space="0" w:color="auto"/>
            <w:left w:val="none" w:sz="0" w:space="0" w:color="auto"/>
            <w:bottom w:val="none" w:sz="0" w:space="0" w:color="auto"/>
            <w:right w:val="none" w:sz="0" w:space="0" w:color="auto"/>
          </w:divBdr>
        </w:div>
        <w:div w:id="2053114632">
          <w:marLeft w:val="0"/>
          <w:marRight w:val="0"/>
          <w:marTop w:val="0"/>
          <w:marBottom w:val="0"/>
          <w:divBdr>
            <w:top w:val="none" w:sz="0" w:space="0" w:color="auto"/>
            <w:left w:val="none" w:sz="0" w:space="0" w:color="auto"/>
            <w:bottom w:val="none" w:sz="0" w:space="0" w:color="auto"/>
            <w:right w:val="none" w:sz="0" w:space="0" w:color="auto"/>
          </w:divBdr>
        </w:div>
        <w:div w:id="2075657974">
          <w:marLeft w:val="0"/>
          <w:marRight w:val="0"/>
          <w:marTop w:val="0"/>
          <w:marBottom w:val="0"/>
          <w:divBdr>
            <w:top w:val="none" w:sz="0" w:space="0" w:color="auto"/>
            <w:left w:val="none" w:sz="0" w:space="0" w:color="auto"/>
            <w:bottom w:val="none" w:sz="0" w:space="0" w:color="auto"/>
            <w:right w:val="none" w:sz="0" w:space="0" w:color="auto"/>
          </w:divBdr>
        </w:div>
        <w:div w:id="2086294508">
          <w:marLeft w:val="0"/>
          <w:marRight w:val="0"/>
          <w:marTop w:val="0"/>
          <w:marBottom w:val="0"/>
          <w:divBdr>
            <w:top w:val="none" w:sz="0" w:space="0" w:color="auto"/>
            <w:left w:val="none" w:sz="0" w:space="0" w:color="auto"/>
            <w:bottom w:val="none" w:sz="0" w:space="0" w:color="auto"/>
            <w:right w:val="none" w:sz="0" w:space="0" w:color="auto"/>
          </w:divBdr>
        </w:div>
        <w:div w:id="2110392358">
          <w:marLeft w:val="0"/>
          <w:marRight w:val="0"/>
          <w:marTop w:val="0"/>
          <w:marBottom w:val="0"/>
          <w:divBdr>
            <w:top w:val="none" w:sz="0" w:space="0" w:color="auto"/>
            <w:left w:val="none" w:sz="0" w:space="0" w:color="auto"/>
            <w:bottom w:val="none" w:sz="0" w:space="0" w:color="auto"/>
            <w:right w:val="none" w:sz="0" w:space="0" w:color="auto"/>
          </w:divBdr>
        </w:div>
        <w:div w:id="2141025317">
          <w:marLeft w:val="0"/>
          <w:marRight w:val="0"/>
          <w:marTop w:val="0"/>
          <w:marBottom w:val="0"/>
          <w:divBdr>
            <w:top w:val="none" w:sz="0" w:space="0" w:color="auto"/>
            <w:left w:val="none" w:sz="0" w:space="0" w:color="auto"/>
            <w:bottom w:val="none" w:sz="0" w:space="0" w:color="auto"/>
            <w:right w:val="none" w:sz="0" w:space="0" w:color="auto"/>
          </w:divBdr>
        </w:div>
      </w:divsChild>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899708648">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2958823">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6013702">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14724632">
      <w:bodyDiv w:val="1"/>
      <w:marLeft w:val="0"/>
      <w:marRight w:val="0"/>
      <w:marTop w:val="0"/>
      <w:marBottom w:val="0"/>
      <w:divBdr>
        <w:top w:val="none" w:sz="0" w:space="0" w:color="auto"/>
        <w:left w:val="none" w:sz="0" w:space="0" w:color="auto"/>
        <w:bottom w:val="none" w:sz="0" w:space="0" w:color="auto"/>
        <w:right w:val="none" w:sz="0" w:space="0" w:color="auto"/>
      </w:divBdr>
      <w:divsChild>
        <w:div w:id="1140919670">
          <w:marLeft w:val="0"/>
          <w:marRight w:val="0"/>
          <w:marTop w:val="0"/>
          <w:marBottom w:val="0"/>
          <w:divBdr>
            <w:top w:val="none" w:sz="0" w:space="0" w:color="auto"/>
            <w:left w:val="none" w:sz="0" w:space="0" w:color="auto"/>
            <w:bottom w:val="none" w:sz="0" w:space="0" w:color="auto"/>
            <w:right w:val="none" w:sz="0" w:space="0" w:color="auto"/>
          </w:divBdr>
        </w:div>
      </w:divsChild>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59428448">
      <w:bodyDiv w:val="1"/>
      <w:marLeft w:val="0"/>
      <w:marRight w:val="0"/>
      <w:marTop w:val="0"/>
      <w:marBottom w:val="0"/>
      <w:divBdr>
        <w:top w:val="none" w:sz="0" w:space="0" w:color="auto"/>
        <w:left w:val="none" w:sz="0" w:space="0" w:color="auto"/>
        <w:bottom w:val="none" w:sz="0" w:space="0" w:color="auto"/>
        <w:right w:val="none" w:sz="0" w:space="0" w:color="auto"/>
      </w:divBdr>
      <w:divsChild>
        <w:div w:id="2824325">
          <w:marLeft w:val="0"/>
          <w:marRight w:val="0"/>
          <w:marTop w:val="0"/>
          <w:marBottom w:val="0"/>
          <w:divBdr>
            <w:top w:val="none" w:sz="0" w:space="0" w:color="auto"/>
            <w:left w:val="none" w:sz="0" w:space="0" w:color="auto"/>
            <w:bottom w:val="none" w:sz="0" w:space="0" w:color="auto"/>
            <w:right w:val="none" w:sz="0" w:space="0" w:color="auto"/>
          </w:divBdr>
        </w:div>
        <w:div w:id="70198549">
          <w:marLeft w:val="0"/>
          <w:marRight w:val="0"/>
          <w:marTop w:val="0"/>
          <w:marBottom w:val="0"/>
          <w:divBdr>
            <w:top w:val="none" w:sz="0" w:space="0" w:color="auto"/>
            <w:left w:val="none" w:sz="0" w:space="0" w:color="auto"/>
            <w:bottom w:val="none" w:sz="0" w:space="0" w:color="auto"/>
            <w:right w:val="none" w:sz="0" w:space="0" w:color="auto"/>
          </w:divBdr>
        </w:div>
        <w:div w:id="102726966">
          <w:marLeft w:val="0"/>
          <w:marRight w:val="0"/>
          <w:marTop w:val="0"/>
          <w:marBottom w:val="0"/>
          <w:divBdr>
            <w:top w:val="none" w:sz="0" w:space="0" w:color="auto"/>
            <w:left w:val="none" w:sz="0" w:space="0" w:color="auto"/>
            <w:bottom w:val="none" w:sz="0" w:space="0" w:color="auto"/>
            <w:right w:val="none" w:sz="0" w:space="0" w:color="auto"/>
          </w:divBdr>
        </w:div>
        <w:div w:id="124280081">
          <w:marLeft w:val="0"/>
          <w:marRight w:val="0"/>
          <w:marTop w:val="0"/>
          <w:marBottom w:val="0"/>
          <w:divBdr>
            <w:top w:val="none" w:sz="0" w:space="0" w:color="auto"/>
            <w:left w:val="none" w:sz="0" w:space="0" w:color="auto"/>
            <w:bottom w:val="none" w:sz="0" w:space="0" w:color="auto"/>
            <w:right w:val="none" w:sz="0" w:space="0" w:color="auto"/>
          </w:divBdr>
        </w:div>
        <w:div w:id="124665319">
          <w:marLeft w:val="0"/>
          <w:marRight w:val="0"/>
          <w:marTop w:val="0"/>
          <w:marBottom w:val="0"/>
          <w:divBdr>
            <w:top w:val="none" w:sz="0" w:space="0" w:color="auto"/>
            <w:left w:val="none" w:sz="0" w:space="0" w:color="auto"/>
            <w:bottom w:val="none" w:sz="0" w:space="0" w:color="auto"/>
            <w:right w:val="none" w:sz="0" w:space="0" w:color="auto"/>
          </w:divBdr>
        </w:div>
        <w:div w:id="195822770">
          <w:marLeft w:val="0"/>
          <w:marRight w:val="0"/>
          <w:marTop w:val="0"/>
          <w:marBottom w:val="0"/>
          <w:divBdr>
            <w:top w:val="none" w:sz="0" w:space="0" w:color="auto"/>
            <w:left w:val="none" w:sz="0" w:space="0" w:color="auto"/>
            <w:bottom w:val="none" w:sz="0" w:space="0" w:color="auto"/>
            <w:right w:val="none" w:sz="0" w:space="0" w:color="auto"/>
          </w:divBdr>
        </w:div>
        <w:div w:id="236912731">
          <w:marLeft w:val="0"/>
          <w:marRight w:val="0"/>
          <w:marTop w:val="0"/>
          <w:marBottom w:val="0"/>
          <w:divBdr>
            <w:top w:val="none" w:sz="0" w:space="0" w:color="auto"/>
            <w:left w:val="none" w:sz="0" w:space="0" w:color="auto"/>
            <w:bottom w:val="none" w:sz="0" w:space="0" w:color="auto"/>
            <w:right w:val="none" w:sz="0" w:space="0" w:color="auto"/>
          </w:divBdr>
        </w:div>
        <w:div w:id="295188755">
          <w:marLeft w:val="0"/>
          <w:marRight w:val="0"/>
          <w:marTop w:val="0"/>
          <w:marBottom w:val="0"/>
          <w:divBdr>
            <w:top w:val="none" w:sz="0" w:space="0" w:color="auto"/>
            <w:left w:val="none" w:sz="0" w:space="0" w:color="auto"/>
            <w:bottom w:val="none" w:sz="0" w:space="0" w:color="auto"/>
            <w:right w:val="none" w:sz="0" w:space="0" w:color="auto"/>
          </w:divBdr>
        </w:div>
        <w:div w:id="410588732">
          <w:marLeft w:val="0"/>
          <w:marRight w:val="0"/>
          <w:marTop w:val="0"/>
          <w:marBottom w:val="0"/>
          <w:divBdr>
            <w:top w:val="none" w:sz="0" w:space="0" w:color="auto"/>
            <w:left w:val="none" w:sz="0" w:space="0" w:color="auto"/>
            <w:bottom w:val="none" w:sz="0" w:space="0" w:color="auto"/>
            <w:right w:val="none" w:sz="0" w:space="0" w:color="auto"/>
          </w:divBdr>
        </w:div>
        <w:div w:id="419570658">
          <w:marLeft w:val="0"/>
          <w:marRight w:val="0"/>
          <w:marTop w:val="0"/>
          <w:marBottom w:val="0"/>
          <w:divBdr>
            <w:top w:val="none" w:sz="0" w:space="0" w:color="auto"/>
            <w:left w:val="none" w:sz="0" w:space="0" w:color="auto"/>
            <w:bottom w:val="none" w:sz="0" w:space="0" w:color="auto"/>
            <w:right w:val="none" w:sz="0" w:space="0" w:color="auto"/>
          </w:divBdr>
        </w:div>
        <w:div w:id="457529470">
          <w:marLeft w:val="0"/>
          <w:marRight w:val="0"/>
          <w:marTop w:val="0"/>
          <w:marBottom w:val="0"/>
          <w:divBdr>
            <w:top w:val="none" w:sz="0" w:space="0" w:color="auto"/>
            <w:left w:val="none" w:sz="0" w:space="0" w:color="auto"/>
            <w:bottom w:val="none" w:sz="0" w:space="0" w:color="auto"/>
            <w:right w:val="none" w:sz="0" w:space="0" w:color="auto"/>
          </w:divBdr>
        </w:div>
        <w:div w:id="594289445">
          <w:marLeft w:val="0"/>
          <w:marRight w:val="0"/>
          <w:marTop w:val="0"/>
          <w:marBottom w:val="0"/>
          <w:divBdr>
            <w:top w:val="none" w:sz="0" w:space="0" w:color="auto"/>
            <w:left w:val="none" w:sz="0" w:space="0" w:color="auto"/>
            <w:bottom w:val="none" w:sz="0" w:space="0" w:color="auto"/>
            <w:right w:val="none" w:sz="0" w:space="0" w:color="auto"/>
          </w:divBdr>
        </w:div>
        <w:div w:id="672876728">
          <w:marLeft w:val="0"/>
          <w:marRight w:val="0"/>
          <w:marTop w:val="0"/>
          <w:marBottom w:val="0"/>
          <w:divBdr>
            <w:top w:val="none" w:sz="0" w:space="0" w:color="auto"/>
            <w:left w:val="none" w:sz="0" w:space="0" w:color="auto"/>
            <w:bottom w:val="none" w:sz="0" w:space="0" w:color="auto"/>
            <w:right w:val="none" w:sz="0" w:space="0" w:color="auto"/>
          </w:divBdr>
        </w:div>
        <w:div w:id="708191371">
          <w:marLeft w:val="0"/>
          <w:marRight w:val="0"/>
          <w:marTop w:val="0"/>
          <w:marBottom w:val="0"/>
          <w:divBdr>
            <w:top w:val="none" w:sz="0" w:space="0" w:color="auto"/>
            <w:left w:val="none" w:sz="0" w:space="0" w:color="auto"/>
            <w:bottom w:val="none" w:sz="0" w:space="0" w:color="auto"/>
            <w:right w:val="none" w:sz="0" w:space="0" w:color="auto"/>
          </w:divBdr>
        </w:div>
        <w:div w:id="737358527">
          <w:marLeft w:val="0"/>
          <w:marRight w:val="0"/>
          <w:marTop w:val="0"/>
          <w:marBottom w:val="0"/>
          <w:divBdr>
            <w:top w:val="none" w:sz="0" w:space="0" w:color="auto"/>
            <w:left w:val="none" w:sz="0" w:space="0" w:color="auto"/>
            <w:bottom w:val="none" w:sz="0" w:space="0" w:color="auto"/>
            <w:right w:val="none" w:sz="0" w:space="0" w:color="auto"/>
          </w:divBdr>
        </w:div>
        <w:div w:id="738289843">
          <w:marLeft w:val="0"/>
          <w:marRight w:val="0"/>
          <w:marTop w:val="0"/>
          <w:marBottom w:val="0"/>
          <w:divBdr>
            <w:top w:val="none" w:sz="0" w:space="0" w:color="auto"/>
            <w:left w:val="none" w:sz="0" w:space="0" w:color="auto"/>
            <w:bottom w:val="none" w:sz="0" w:space="0" w:color="auto"/>
            <w:right w:val="none" w:sz="0" w:space="0" w:color="auto"/>
          </w:divBdr>
        </w:div>
        <w:div w:id="765804375">
          <w:marLeft w:val="0"/>
          <w:marRight w:val="0"/>
          <w:marTop w:val="0"/>
          <w:marBottom w:val="0"/>
          <w:divBdr>
            <w:top w:val="none" w:sz="0" w:space="0" w:color="auto"/>
            <w:left w:val="none" w:sz="0" w:space="0" w:color="auto"/>
            <w:bottom w:val="none" w:sz="0" w:space="0" w:color="auto"/>
            <w:right w:val="none" w:sz="0" w:space="0" w:color="auto"/>
          </w:divBdr>
        </w:div>
        <w:div w:id="774055677">
          <w:marLeft w:val="0"/>
          <w:marRight w:val="0"/>
          <w:marTop w:val="0"/>
          <w:marBottom w:val="0"/>
          <w:divBdr>
            <w:top w:val="none" w:sz="0" w:space="0" w:color="auto"/>
            <w:left w:val="none" w:sz="0" w:space="0" w:color="auto"/>
            <w:bottom w:val="none" w:sz="0" w:space="0" w:color="auto"/>
            <w:right w:val="none" w:sz="0" w:space="0" w:color="auto"/>
          </w:divBdr>
        </w:div>
        <w:div w:id="832332238">
          <w:marLeft w:val="0"/>
          <w:marRight w:val="0"/>
          <w:marTop w:val="0"/>
          <w:marBottom w:val="0"/>
          <w:divBdr>
            <w:top w:val="none" w:sz="0" w:space="0" w:color="auto"/>
            <w:left w:val="none" w:sz="0" w:space="0" w:color="auto"/>
            <w:bottom w:val="none" w:sz="0" w:space="0" w:color="auto"/>
            <w:right w:val="none" w:sz="0" w:space="0" w:color="auto"/>
          </w:divBdr>
        </w:div>
        <w:div w:id="837354844">
          <w:marLeft w:val="0"/>
          <w:marRight w:val="0"/>
          <w:marTop w:val="0"/>
          <w:marBottom w:val="0"/>
          <w:divBdr>
            <w:top w:val="none" w:sz="0" w:space="0" w:color="auto"/>
            <w:left w:val="none" w:sz="0" w:space="0" w:color="auto"/>
            <w:bottom w:val="none" w:sz="0" w:space="0" w:color="auto"/>
            <w:right w:val="none" w:sz="0" w:space="0" w:color="auto"/>
          </w:divBdr>
        </w:div>
        <w:div w:id="843712678">
          <w:marLeft w:val="0"/>
          <w:marRight w:val="0"/>
          <w:marTop w:val="0"/>
          <w:marBottom w:val="0"/>
          <w:divBdr>
            <w:top w:val="none" w:sz="0" w:space="0" w:color="auto"/>
            <w:left w:val="none" w:sz="0" w:space="0" w:color="auto"/>
            <w:bottom w:val="none" w:sz="0" w:space="0" w:color="auto"/>
            <w:right w:val="none" w:sz="0" w:space="0" w:color="auto"/>
          </w:divBdr>
        </w:div>
        <w:div w:id="846332820">
          <w:marLeft w:val="0"/>
          <w:marRight w:val="0"/>
          <w:marTop w:val="0"/>
          <w:marBottom w:val="0"/>
          <w:divBdr>
            <w:top w:val="none" w:sz="0" w:space="0" w:color="auto"/>
            <w:left w:val="none" w:sz="0" w:space="0" w:color="auto"/>
            <w:bottom w:val="none" w:sz="0" w:space="0" w:color="auto"/>
            <w:right w:val="none" w:sz="0" w:space="0" w:color="auto"/>
          </w:divBdr>
        </w:div>
        <w:div w:id="869032045">
          <w:marLeft w:val="0"/>
          <w:marRight w:val="0"/>
          <w:marTop w:val="0"/>
          <w:marBottom w:val="0"/>
          <w:divBdr>
            <w:top w:val="none" w:sz="0" w:space="0" w:color="auto"/>
            <w:left w:val="none" w:sz="0" w:space="0" w:color="auto"/>
            <w:bottom w:val="none" w:sz="0" w:space="0" w:color="auto"/>
            <w:right w:val="none" w:sz="0" w:space="0" w:color="auto"/>
          </w:divBdr>
        </w:div>
        <w:div w:id="876699639">
          <w:marLeft w:val="0"/>
          <w:marRight w:val="0"/>
          <w:marTop w:val="0"/>
          <w:marBottom w:val="0"/>
          <w:divBdr>
            <w:top w:val="none" w:sz="0" w:space="0" w:color="auto"/>
            <w:left w:val="none" w:sz="0" w:space="0" w:color="auto"/>
            <w:bottom w:val="none" w:sz="0" w:space="0" w:color="auto"/>
            <w:right w:val="none" w:sz="0" w:space="0" w:color="auto"/>
          </w:divBdr>
        </w:div>
        <w:div w:id="895508965">
          <w:marLeft w:val="0"/>
          <w:marRight w:val="0"/>
          <w:marTop w:val="0"/>
          <w:marBottom w:val="0"/>
          <w:divBdr>
            <w:top w:val="none" w:sz="0" w:space="0" w:color="auto"/>
            <w:left w:val="none" w:sz="0" w:space="0" w:color="auto"/>
            <w:bottom w:val="none" w:sz="0" w:space="0" w:color="auto"/>
            <w:right w:val="none" w:sz="0" w:space="0" w:color="auto"/>
          </w:divBdr>
        </w:div>
        <w:div w:id="914901853">
          <w:marLeft w:val="0"/>
          <w:marRight w:val="0"/>
          <w:marTop w:val="0"/>
          <w:marBottom w:val="0"/>
          <w:divBdr>
            <w:top w:val="none" w:sz="0" w:space="0" w:color="auto"/>
            <w:left w:val="none" w:sz="0" w:space="0" w:color="auto"/>
            <w:bottom w:val="none" w:sz="0" w:space="0" w:color="auto"/>
            <w:right w:val="none" w:sz="0" w:space="0" w:color="auto"/>
          </w:divBdr>
        </w:div>
        <w:div w:id="954024819">
          <w:marLeft w:val="0"/>
          <w:marRight w:val="0"/>
          <w:marTop w:val="0"/>
          <w:marBottom w:val="0"/>
          <w:divBdr>
            <w:top w:val="none" w:sz="0" w:space="0" w:color="auto"/>
            <w:left w:val="none" w:sz="0" w:space="0" w:color="auto"/>
            <w:bottom w:val="none" w:sz="0" w:space="0" w:color="auto"/>
            <w:right w:val="none" w:sz="0" w:space="0" w:color="auto"/>
          </w:divBdr>
        </w:div>
        <w:div w:id="992418264">
          <w:marLeft w:val="0"/>
          <w:marRight w:val="0"/>
          <w:marTop w:val="0"/>
          <w:marBottom w:val="0"/>
          <w:divBdr>
            <w:top w:val="none" w:sz="0" w:space="0" w:color="auto"/>
            <w:left w:val="none" w:sz="0" w:space="0" w:color="auto"/>
            <w:bottom w:val="none" w:sz="0" w:space="0" w:color="auto"/>
            <w:right w:val="none" w:sz="0" w:space="0" w:color="auto"/>
          </w:divBdr>
        </w:div>
        <w:div w:id="1031567013">
          <w:marLeft w:val="0"/>
          <w:marRight w:val="0"/>
          <w:marTop w:val="0"/>
          <w:marBottom w:val="0"/>
          <w:divBdr>
            <w:top w:val="none" w:sz="0" w:space="0" w:color="auto"/>
            <w:left w:val="none" w:sz="0" w:space="0" w:color="auto"/>
            <w:bottom w:val="none" w:sz="0" w:space="0" w:color="auto"/>
            <w:right w:val="none" w:sz="0" w:space="0" w:color="auto"/>
          </w:divBdr>
        </w:div>
        <w:div w:id="1076394574">
          <w:marLeft w:val="0"/>
          <w:marRight w:val="0"/>
          <w:marTop w:val="0"/>
          <w:marBottom w:val="0"/>
          <w:divBdr>
            <w:top w:val="none" w:sz="0" w:space="0" w:color="auto"/>
            <w:left w:val="none" w:sz="0" w:space="0" w:color="auto"/>
            <w:bottom w:val="none" w:sz="0" w:space="0" w:color="auto"/>
            <w:right w:val="none" w:sz="0" w:space="0" w:color="auto"/>
          </w:divBdr>
        </w:div>
        <w:div w:id="1104614228">
          <w:marLeft w:val="0"/>
          <w:marRight w:val="0"/>
          <w:marTop w:val="0"/>
          <w:marBottom w:val="0"/>
          <w:divBdr>
            <w:top w:val="none" w:sz="0" w:space="0" w:color="auto"/>
            <w:left w:val="none" w:sz="0" w:space="0" w:color="auto"/>
            <w:bottom w:val="none" w:sz="0" w:space="0" w:color="auto"/>
            <w:right w:val="none" w:sz="0" w:space="0" w:color="auto"/>
          </w:divBdr>
        </w:div>
        <w:div w:id="1105425773">
          <w:marLeft w:val="0"/>
          <w:marRight w:val="0"/>
          <w:marTop w:val="0"/>
          <w:marBottom w:val="0"/>
          <w:divBdr>
            <w:top w:val="none" w:sz="0" w:space="0" w:color="auto"/>
            <w:left w:val="none" w:sz="0" w:space="0" w:color="auto"/>
            <w:bottom w:val="none" w:sz="0" w:space="0" w:color="auto"/>
            <w:right w:val="none" w:sz="0" w:space="0" w:color="auto"/>
          </w:divBdr>
        </w:div>
        <w:div w:id="1132400686">
          <w:marLeft w:val="0"/>
          <w:marRight w:val="0"/>
          <w:marTop w:val="0"/>
          <w:marBottom w:val="0"/>
          <w:divBdr>
            <w:top w:val="none" w:sz="0" w:space="0" w:color="auto"/>
            <w:left w:val="none" w:sz="0" w:space="0" w:color="auto"/>
            <w:bottom w:val="none" w:sz="0" w:space="0" w:color="auto"/>
            <w:right w:val="none" w:sz="0" w:space="0" w:color="auto"/>
          </w:divBdr>
        </w:div>
        <w:div w:id="1149321977">
          <w:marLeft w:val="0"/>
          <w:marRight w:val="0"/>
          <w:marTop w:val="0"/>
          <w:marBottom w:val="0"/>
          <w:divBdr>
            <w:top w:val="none" w:sz="0" w:space="0" w:color="auto"/>
            <w:left w:val="none" w:sz="0" w:space="0" w:color="auto"/>
            <w:bottom w:val="none" w:sz="0" w:space="0" w:color="auto"/>
            <w:right w:val="none" w:sz="0" w:space="0" w:color="auto"/>
          </w:divBdr>
        </w:div>
        <w:div w:id="1239291674">
          <w:marLeft w:val="0"/>
          <w:marRight w:val="0"/>
          <w:marTop w:val="0"/>
          <w:marBottom w:val="0"/>
          <w:divBdr>
            <w:top w:val="none" w:sz="0" w:space="0" w:color="auto"/>
            <w:left w:val="none" w:sz="0" w:space="0" w:color="auto"/>
            <w:bottom w:val="none" w:sz="0" w:space="0" w:color="auto"/>
            <w:right w:val="none" w:sz="0" w:space="0" w:color="auto"/>
          </w:divBdr>
        </w:div>
        <w:div w:id="1258056194">
          <w:marLeft w:val="0"/>
          <w:marRight w:val="0"/>
          <w:marTop w:val="0"/>
          <w:marBottom w:val="0"/>
          <w:divBdr>
            <w:top w:val="none" w:sz="0" w:space="0" w:color="auto"/>
            <w:left w:val="none" w:sz="0" w:space="0" w:color="auto"/>
            <w:bottom w:val="none" w:sz="0" w:space="0" w:color="auto"/>
            <w:right w:val="none" w:sz="0" w:space="0" w:color="auto"/>
          </w:divBdr>
        </w:div>
        <w:div w:id="1273978507">
          <w:marLeft w:val="0"/>
          <w:marRight w:val="0"/>
          <w:marTop w:val="0"/>
          <w:marBottom w:val="0"/>
          <w:divBdr>
            <w:top w:val="none" w:sz="0" w:space="0" w:color="auto"/>
            <w:left w:val="none" w:sz="0" w:space="0" w:color="auto"/>
            <w:bottom w:val="none" w:sz="0" w:space="0" w:color="auto"/>
            <w:right w:val="none" w:sz="0" w:space="0" w:color="auto"/>
          </w:divBdr>
        </w:div>
        <w:div w:id="1340884716">
          <w:marLeft w:val="0"/>
          <w:marRight w:val="0"/>
          <w:marTop w:val="0"/>
          <w:marBottom w:val="0"/>
          <w:divBdr>
            <w:top w:val="none" w:sz="0" w:space="0" w:color="auto"/>
            <w:left w:val="none" w:sz="0" w:space="0" w:color="auto"/>
            <w:bottom w:val="none" w:sz="0" w:space="0" w:color="auto"/>
            <w:right w:val="none" w:sz="0" w:space="0" w:color="auto"/>
          </w:divBdr>
        </w:div>
        <w:div w:id="1397434203">
          <w:marLeft w:val="0"/>
          <w:marRight w:val="0"/>
          <w:marTop w:val="0"/>
          <w:marBottom w:val="0"/>
          <w:divBdr>
            <w:top w:val="none" w:sz="0" w:space="0" w:color="auto"/>
            <w:left w:val="none" w:sz="0" w:space="0" w:color="auto"/>
            <w:bottom w:val="none" w:sz="0" w:space="0" w:color="auto"/>
            <w:right w:val="none" w:sz="0" w:space="0" w:color="auto"/>
          </w:divBdr>
        </w:div>
        <w:div w:id="1444375445">
          <w:marLeft w:val="0"/>
          <w:marRight w:val="0"/>
          <w:marTop w:val="0"/>
          <w:marBottom w:val="0"/>
          <w:divBdr>
            <w:top w:val="none" w:sz="0" w:space="0" w:color="auto"/>
            <w:left w:val="none" w:sz="0" w:space="0" w:color="auto"/>
            <w:bottom w:val="none" w:sz="0" w:space="0" w:color="auto"/>
            <w:right w:val="none" w:sz="0" w:space="0" w:color="auto"/>
          </w:divBdr>
        </w:div>
        <w:div w:id="1551460141">
          <w:marLeft w:val="0"/>
          <w:marRight w:val="0"/>
          <w:marTop w:val="0"/>
          <w:marBottom w:val="0"/>
          <w:divBdr>
            <w:top w:val="none" w:sz="0" w:space="0" w:color="auto"/>
            <w:left w:val="none" w:sz="0" w:space="0" w:color="auto"/>
            <w:bottom w:val="none" w:sz="0" w:space="0" w:color="auto"/>
            <w:right w:val="none" w:sz="0" w:space="0" w:color="auto"/>
          </w:divBdr>
        </w:div>
        <w:div w:id="1583488953">
          <w:marLeft w:val="0"/>
          <w:marRight w:val="0"/>
          <w:marTop w:val="0"/>
          <w:marBottom w:val="0"/>
          <w:divBdr>
            <w:top w:val="none" w:sz="0" w:space="0" w:color="auto"/>
            <w:left w:val="none" w:sz="0" w:space="0" w:color="auto"/>
            <w:bottom w:val="none" w:sz="0" w:space="0" w:color="auto"/>
            <w:right w:val="none" w:sz="0" w:space="0" w:color="auto"/>
          </w:divBdr>
        </w:div>
        <w:div w:id="1608003119">
          <w:marLeft w:val="0"/>
          <w:marRight w:val="0"/>
          <w:marTop w:val="0"/>
          <w:marBottom w:val="0"/>
          <w:divBdr>
            <w:top w:val="none" w:sz="0" w:space="0" w:color="auto"/>
            <w:left w:val="none" w:sz="0" w:space="0" w:color="auto"/>
            <w:bottom w:val="none" w:sz="0" w:space="0" w:color="auto"/>
            <w:right w:val="none" w:sz="0" w:space="0" w:color="auto"/>
          </w:divBdr>
        </w:div>
        <w:div w:id="1611889579">
          <w:marLeft w:val="0"/>
          <w:marRight w:val="0"/>
          <w:marTop w:val="0"/>
          <w:marBottom w:val="0"/>
          <w:divBdr>
            <w:top w:val="none" w:sz="0" w:space="0" w:color="auto"/>
            <w:left w:val="none" w:sz="0" w:space="0" w:color="auto"/>
            <w:bottom w:val="none" w:sz="0" w:space="0" w:color="auto"/>
            <w:right w:val="none" w:sz="0" w:space="0" w:color="auto"/>
          </w:divBdr>
        </w:div>
        <w:div w:id="1622299578">
          <w:marLeft w:val="0"/>
          <w:marRight w:val="0"/>
          <w:marTop w:val="0"/>
          <w:marBottom w:val="0"/>
          <w:divBdr>
            <w:top w:val="none" w:sz="0" w:space="0" w:color="auto"/>
            <w:left w:val="none" w:sz="0" w:space="0" w:color="auto"/>
            <w:bottom w:val="none" w:sz="0" w:space="0" w:color="auto"/>
            <w:right w:val="none" w:sz="0" w:space="0" w:color="auto"/>
          </w:divBdr>
        </w:div>
        <w:div w:id="1636526435">
          <w:marLeft w:val="0"/>
          <w:marRight w:val="0"/>
          <w:marTop w:val="0"/>
          <w:marBottom w:val="0"/>
          <w:divBdr>
            <w:top w:val="none" w:sz="0" w:space="0" w:color="auto"/>
            <w:left w:val="none" w:sz="0" w:space="0" w:color="auto"/>
            <w:bottom w:val="none" w:sz="0" w:space="0" w:color="auto"/>
            <w:right w:val="none" w:sz="0" w:space="0" w:color="auto"/>
          </w:divBdr>
        </w:div>
        <w:div w:id="1646424257">
          <w:marLeft w:val="0"/>
          <w:marRight w:val="0"/>
          <w:marTop w:val="0"/>
          <w:marBottom w:val="0"/>
          <w:divBdr>
            <w:top w:val="none" w:sz="0" w:space="0" w:color="auto"/>
            <w:left w:val="none" w:sz="0" w:space="0" w:color="auto"/>
            <w:bottom w:val="none" w:sz="0" w:space="0" w:color="auto"/>
            <w:right w:val="none" w:sz="0" w:space="0" w:color="auto"/>
          </w:divBdr>
        </w:div>
        <w:div w:id="1723938913">
          <w:marLeft w:val="0"/>
          <w:marRight w:val="0"/>
          <w:marTop w:val="0"/>
          <w:marBottom w:val="0"/>
          <w:divBdr>
            <w:top w:val="none" w:sz="0" w:space="0" w:color="auto"/>
            <w:left w:val="none" w:sz="0" w:space="0" w:color="auto"/>
            <w:bottom w:val="none" w:sz="0" w:space="0" w:color="auto"/>
            <w:right w:val="none" w:sz="0" w:space="0" w:color="auto"/>
          </w:divBdr>
        </w:div>
        <w:div w:id="1728188198">
          <w:marLeft w:val="0"/>
          <w:marRight w:val="0"/>
          <w:marTop w:val="0"/>
          <w:marBottom w:val="0"/>
          <w:divBdr>
            <w:top w:val="none" w:sz="0" w:space="0" w:color="auto"/>
            <w:left w:val="none" w:sz="0" w:space="0" w:color="auto"/>
            <w:bottom w:val="none" w:sz="0" w:space="0" w:color="auto"/>
            <w:right w:val="none" w:sz="0" w:space="0" w:color="auto"/>
          </w:divBdr>
        </w:div>
        <w:div w:id="1801798561">
          <w:marLeft w:val="0"/>
          <w:marRight w:val="0"/>
          <w:marTop w:val="0"/>
          <w:marBottom w:val="0"/>
          <w:divBdr>
            <w:top w:val="none" w:sz="0" w:space="0" w:color="auto"/>
            <w:left w:val="none" w:sz="0" w:space="0" w:color="auto"/>
            <w:bottom w:val="none" w:sz="0" w:space="0" w:color="auto"/>
            <w:right w:val="none" w:sz="0" w:space="0" w:color="auto"/>
          </w:divBdr>
        </w:div>
        <w:div w:id="1868060651">
          <w:marLeft w:val="0"/>
          <w:marRight w:val="0"/>
          <w:marTop w:val="0"/>
          <w:marBottom w:val="0"/>
          <w:divBdr>
            <w:top w:val="none" w:sz="0" w:space="0" w:color="auto"/>
            <w:left w:val="none" w:sz="0" w:space="0" w:color="auto"/>
            <w:bottom w:val="none" w:sz="0" w:space="0" w:color="auto"/>
            <w:right w:val="none" w:sz="0" w:space="0" w:color="auto"/>
          </w:divBdr>
        </w:div>
        <w:div w:id="1902788746">
          <w:marLeft w:val="0"/>
          <w:marRight w:val="0"/>
          <w:marTop w:val="0"/>
          <w:marBottom w:val="0"/>
          <w:divBdr>
            <w:top w:val="none" w:sz="0" w:space="0" w:color="auto"/>
            <w:left w:val="none" w:sz="0" w:space="0" w:color="auto"/>
            <w:bottom w:val="none" w:sz="0" w:space="0" w:color="auto"/>
            <w:right w:val="none" w:sz="0" w:space="0" w:color="auto"/>
          </w:divBdr>
        </w:div>
        <w:div w:id="1903176855">
          <w:marLeft w:val="0"/>
          <w:marRight w:val="0"/>
          <w:marTop w:val="0"/>
          <w:marBottom w:val="0"/>
          <w:divBdr>
            <w:top w:val="none" w:sz="0" w:space="0" w:color="auto"/>
            <w:left w:val="none" w:sz="0" w:space="0" w:color="auto"/>
            <w:bottom w:val="none" w:sz="0" w:space="0" w:color="auto"/>
            <w:right w:val="none" w:sz="0" w:space="0" w:color="auto"/>
          </w:divBdr>
        </w:div>
        <w:div w:id="1963536989">
          <w:marLeft w:val="0"/>
          <w:marRight w:val="0"/>
          <w:marTop w:val="0"/>
          <w:marBottom w:val="0"/>
          <w:divBdr>
            <w:top w:val="none" w:sz="0" w:space="0" w:color="auto"/>
            <w:left w:val="none" w:sz="0" w:space="0" w:color="auto"/>
            <w:bottom w:val="none" w:sz="0" w:space="0" w:color="auto"/>
            <w:right w:val="none" w:sz="0" w:space="0" w:color="auto"/>
          </w:divBdr>
        </w:div>
        <w:div w:id="2039700471">
          <w:marLeft w:val="0"/>
          <w:marRight w:val="0"/>
          <w:marTop w:val="0"/>
          <w:marBottom w:val="0"/>
          <w:divBdr>
            <w:top w:val="none" w:sz="0" w:space="0" w:color="auto"/>
            <w:left w:val="none" w:sz="0" w:space="0" w:color="auto"/>
            <w:bottom w:val="none" w:sz="0" w:space="0" w:color="auto"/>
            <w:right w:val="none" w:sz="0" w:space="0" w:color="auto"/>
          </w:divBdr>
        </w:div>
        <w:div w:id="2085489485">
          <w:marLeft w:val="0"/>
          <w:marRight w:val="0"/>
          <w:marTop w:val="0"/>
          <w:marBottom w:val="0"/>
          <w:divBdr>
            <w:top w:val="none" w:sz="0" w:space="0" w:color="auto"/>
            <w:left w:val="none" w:sz="0" w:space="0" w:color="auto"/>
            <w:bottom w:val="none" w:sz="0" w:space="0" w:color="auto"/>
            <w:right w:val="none" w:sz="0" w:space="0" w:color="auto"/>
          </w:divBdr>
        </w:div>
        <w:div w:id="2141722724">
          <w:marLeft w:val="0"/>
          <w:marRight w:val="0"/>
          <w:marTop w:val="0"/>
          <w:marBottom w:val="0"/>
          <w:divBdr>
            <w:top w:val="none" w:sz="0" w:space="0" w:color="auto"/>
            <w:left w:val="none" w:sz="0" w:space="0" w:color="auto"/>
            <w:bottom w:val="none" w:sz="0" w:space="0" w:color="auto"/>
            <w:right w:val="none" w:sz="0" w:space="0" w:color="auto"/>
          </w:divBdr>
        </w:div>
      </w:divsChild>
    </w:div>
    <w:div w:id="2062288387">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2752148">
      <w:bodyDiv w:val="1"/>
      <w:marLeft w:val="0"/>
      <w:marRight w:val="0"/>
      <w:marTop w:val="0"/>
      <w:marBottom w:val="0"/>
      <w:divBdr>
        <w:top w:val="none" w:sz="0" w:space="0" w:color="auto"/>
        <w:left w:val="none" w:sz="0" w:space="0" w:color="auto"/>
        <w:bottom w:val="none" w:sz="0" w:space="0" w:color="auto"/>
        <w:right w:val="none" w:sz="0" w:space="0" w:color="auto"/>
      </w:divBdr>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 w:id="2140029064">
      <w:bodyDiv w:val="1"/>
      <w:marLeft w:val="0"/>
      <w:marRight w:val="0"/>
      <w:marTop w:val="0"/>
      <w:marBottom w:val="0"/>
      <w:divBdr>
        <w:top w:val="none" w:sz="0" w:space="0" w:color="auto"/>
        <w:left w:val="none" w:sz="0" w:space="0" w:color="auto"/>
        <w:bottom w:val="none" w:sz="0" w:space="0" w:color="auto"/>
        <w:right w:val="none" w:sz="0" w:space="0" w:color="auto"/>
      </w:divBdr>
      <w:divsChild>
        <w:div w:id="1039739502">
          <w:marLeft w:val="0"/>
          <w:marRight w:val="0"/>
          <w:marTop w:val="0"/>
          <w:marBottom w:val="0"/>
          <w:divBdr>
            <w:top w:val="none" w:sz="0" w:space="0" w:color="auto"/>
            <w:left w:val="none" w:sz="0" w:space="0" w:color="auto"/>
            <w:bottom w:val="none" w:sz="0" w:space="0" w:color="auto"/>
            <w:right w:val="none" w:sz="0" w:space="0" w:color="auto"/>
          </w:divBdr>
        </w:div>
        <w:div w:id="1610357451">
          <w:marLeft w:val="0"/>
          <w:marRight w:val="0"/>
          <w:marTop w:val="0"/>
          <w:marBottom w:val="0"/>
          <w:divBdr>
            <w:top w:val="none" w:sz="0" w:space="0" w:color="auto"/>
            <w:left w:val="none" w:sz="0" w:space="0" w:color="auto"/>
            <w:bottom w:val="none" w:sz="0" w:space="0" w:color="auto"/>
            <w:right w:val="none" w:sz="0" w:space="0" w:color="auto"/>
          </w:divBdr>
        </w:div>
        <w:div w:id="164766671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hyperlink" Target="http://web.undp.org/evaluation/guidance.shtml" TargetMode="External"/><Relationship Id="rId42" Type="http://schemas.openxmlformats.org/officeDocument/2006/relationships/footer" Target="footer9.xml"/><Relationship Id="rId47" Type="http://schemas.openxmlformats.org/officeDocument/2006/relationships/hyperlink" Target="http://www.thegef.org/gef/GEF_C39_Inf.16_Manual_Greenhouse_Gas_Benefits" TargetMode="External"/><Relationship Id="rId50" Type="http://schemas.openxmlformats.org/officeDocument/2006/relationships/header" Target="header3.xml"/><Relationship Id="rId55" Type="http://schemas.openxmlformats.org/officeDocument/2006/relationships/hyperlink" Target="http://unfccc.int/national_reports/annex_i_ghg_inventories/national_inventories_submissions/items/8108.php" TargetMode="External"/><Relationship Id="rId63"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footer" Target="footer5.xml"/><Relationship Id="rId11" Type="http://schemas.openxmlformats.org/officeDocument/2006/relationships/image" Target="media/image1.wmf"/><Relationship Id="rId24" Type="http://schemas.openxmlformats.org/officeDocument/2006/relationships/image" Target="media/image13.png"/><Relationship Id="rId32" Type="http://schemas.openxmlformats.org/officeDocument/2006/relationships/hyperlink" Target="http://www.thegef.org/gef/Evaluation%20Policy%202010" TargetMode="External"/><Relationship Id="rId37" Type="http://schemas.openxmlformats.org/officeDocument/2006/relationships/header" Target="header2.xml"/><Relationship Id="rId40" Type="http://schemas.openxmlformats.org/officeDocument/2006/relationships/footer" Target="footer8.xml"/><Relationship Id="rId45" Type="http://schemas.openxmlformats.org/officeDocument/2006/relationships/hyperlink" Target="http://www.thegef.org/gef/node/313" TargetMode="External"/><Relationship Id="rId53" Type="http://schemas.openxmlformats.org/officeDocument/2006/relationships/footer" Target="footer13.xml"/><Relationship Id="rId58" Type="http://schemas.openxmlformats.org/officeDocument/2006/relationships/hyperlink" Target="https://www.unido.org/fileadmin/user_media_upgrade/What_we_do/Topics/Women_and_Youth/GUIDANCENOTE_FINAL_WEB.pdf"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footer" Target="footer3.xml"/><Relationship Id="rId30" Type="http://schemas.openxmlformats.org/officeDocument/2006/relationships/hyperlink" Target="http://www.undp.org/content/undp/en/home/operations/accountability/programme_and_operationspoliciesandprocedures.html" TargetMode="External"/><Relationship Id="rId35" Type="http://schemas.openxmlformats.org/officeDocument/2006/relationships/hyperlink" Target="http://web.undp.org/evaluation/guidance.shtml" TargetMode="External"/><Relationship Id="rId43" Type="http://schemas.openxmlformats.org/officeDocument/2006/relationships/hyperlink" Target="http://www.thegef.org" TargetMode="External"/><Relationship Id="rId48" Type="http://schemas.openxmlformats.org/officeDocument/2006/relationships/footer" Target="footer10.xml"/><Relationship Id="rId56" Type="http://schemas.openxmlformats.org/officeDocument/2006/relationships/hyperlink" Target="http://www.kegoc.kz/en/power-industry/kazakhstan-electric-power-industry-key-factors" TargetMode="External"/><Relationship Id="rId64" Type="http://schemas.openxmlformats.org/officeDocument/2006/relationships/customXml" Target="../customXml/item6.xml"/><Relationship Id="rId8" Type="http://schemas.openxmlformats.org/officeDocument/2006/relationships/webSettings" Target="webSettings.xml"/><Relationship Id="rId51"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header" Target="header1.xml"/><Relationship Id="rId33" Type="http://schemas.openxmlformats.org/officeDocument/2006/relationships/hyperlink" Target="http://www.undp.org/content/undp/en/home/operations/accountability/programme_and_operationspoliciesandprocedures.html" TargetMode="External"/><Relationship Id="rId38" Type="http://schemas.openxmlformats.org/officeDocument/2006/relationships/footer" Target="footer6.xml"/><Relationship Id="rId46" Type="http://schemas.openxmlformats.org/officeDocument/2006/relationships/hyperlink" Target="http://www.stapgef.org/revised-methodology-for-calculating-greenhouse-gas-benefits-of-gef-energy-efficiency-projects-version-1-0/" TargetMode="External"/><Relationship Id="rId59" Type="http://schemas.openxmlformats.org/officeDocument/2006/relationships/hyperlink" Target="http://www.stat.gov.kz/faces/wcnav_externalId/homeGenderInd2?_afrLoop=32692553901851092" TargetMode="External"/><Relationship Id="rId20" Type="http://schemas.openxmlformats.org/officeDocument/2006/relationships/image" Target="media/image9.png"/><Relationship Id="rId41" Type="http://schemas.openxmlformats.org/officeDocument/2006/relationships/hyperlink" Target="http://www.un.org/sc/committees/1267/aq_sanctions_list.shtml" TargetMode="External"/><Relationship Id="rId54" Type="http://schemas.openxmlformats.org/officeDocument/2006/relationships/footer" Target="footer1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footer" Target="footer4.xml"/><Relationship Id="rId36" Type="http://schemas.openxmlformats.org/officeDocument/2006/relationships/image" Target="media/image14.png"/><Relationship Id="rId49" Type="http://schemas.openxmlformats.org/officeDocument/2006/relationships/hyperlink" Target="http://www.undp.org/DREI" TargetMode="External"/><Relationship Id="rId57" Type="http://schemas.openxmlformats.org/officeDocument/2006/relationships/hyperlink" Target="http://energo.gov.kz" TargetMode="External"/><Relationship Id="rId10" Type="http://schemas.openxmlformats.org/officeDocument/2006/relationships/endnotes" Target="endnotes.xml"/><Relationship Id="rId31" Type="http://schemas.openxmlformats.org/officeDocument/2006/relationships/hyperlink" Target="http://www.undp.org/content/undp/en/home/operations/accountability/evaluation/evaluation_policyofundp.html" TargetMode="External"/><Relationship Id="rId44" Type="http://schemas.openxmlformats.org/officeDocument/2006/relationships/hyperlink" Target="http://www.thegef.org" TargetMode="External"/><Relationship Id="rId52" Type="http://schemas.openxmlformats.org/officeDocument/2006/relationships/footer" Target="footer12.xml"/><Relationship Id="rId60" Type="http://schemas.openxmlformats.org/officeDocument/2006/relationships/image" Target="media/image15.jpeg"/><Relationship Id="rId65" Type="http://schemas.openxmlformats.org/officeDocument/2006/relationships/customXml" Target="../customXml/item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footer" Target="footer7.xml"/></Relationships>
</file>

<file path=word/_rels/footnotes.xml.rels><?xml version="1.0" encoding="UTF-8" standalone="yes"?>
<Relationships xmlns="http://schemas.openxmlformats.org/package/2006/relationships"><Relationship Id="rId8" Type="http://schemas.openxmlformats.org/officeDocument/2006/relationships/hyperlink" Target="http://www.adb.org/sites/default/files/institutional-document/34051/files/kazakhstan-country-gender-assessment.pdf" TargetMode="External"/><Relationship Id="rId3" Type="http://schemas.openxmlformats.org/officeDocument/2006/relationships/hyperlink" Target="https://www.thegef.org/gef/policies_guidelines" TargetMode="External"/><Relationship Id="rId7" Type="http://schemas.openxmlformats.org/officeDocument/2006/relationships/hyperlink" Target="http://www.oecd.org/edu/school/OECD%2520School%2520Resources%2520Review_Kazakhstan_FINAL_CRC_with%2520cover.pdf" TargetMode="External"/><Relationship Id="rId2" Type="http://schemas.openxmlformats.org/officeDocument/2006/relationships/hyperlink" Target="http://energo.gov.kz/index.php?id" TargetMode="External"/><Relationship Id="rId1" Type="http://schemas.openxmlformats.org/officeDocument/2006/relationships/hyperlink" Target="http://energo.gov.kz/index.php?id=5472" TargetMode="External"/><Relationship Id="rId6" Type="http://schemas.openxmlformats.org/officeDocument/2006/relationships/hyperlink" Target="https://info.undp.org/global/popp/ppm/Pages/Closing-a-Project.aspx" TargetMode="External"/><Relationship Id="rId5" Type="http://schemas.openxmlformats.org/officeDocument/2006/relationships/hyperlink" Target="https://info.undp.org/global/popp/frm/pages/financial-management-and-execution-modalities.aspx" TargetMode="External"/><Relationship Id="rId4" Type="http://schemas.openxmlformats.org/officeDocument/2006/relationships/hyperlink" Target="https://www.thegef.org/gef/gef_age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ATLASPDC-4-85713</_dlc_DocId>
    <_dlc_DocIdUrl xmlns="f1161f5b-24a3-4c2d-bc81-44cb9325e8ee">
      <Url>https://info.undp.org/docs/pdc/_layouts/DocIdRedir.aspx?ID=ATLASPDC-4-85713</Url>
      <Description>ATLASPDC-4-85713</Description>
    </_dlc_DocIdUr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2018-05-29T10:00:00+00:00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Kazakhstan</TermName>
          <TermId xmlns="http://schemas.microsoft.com/office/infopath/2007/PartnerControls">7c48341c-5f40-4b3c-9db2-8eb94bbc15c3</TermId>
        </TermInfo>
      </Terms>
    </UNDPCountryTaxHTField0>
    <UndpOUCode xmlns="1ed4137b-41b2-488b-8250-6d369ec27664">KAZ</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Renewables (GEF OP 6)</TermName>
          <TermId xmlns="http://schemas.microsoft.com/office/infopath/2007/PartnerControls">4e5790fb-14c9-407f-9a08-ecfef2c32c71</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676</Value>
      <Value>1494</Value>
      <Value>1472</Value>
      <Value>1110</Value>
      <Value>1</Value>
    </TaxCatchAll>
    <c4e2ab2cc9354bbf9064eeb465a566ea xmlns="1ed4137b-41b2-488b-8250-6d369ec27664">
      <Terms xmlns="http://schemas.microsoft.com/office/infopath/2007/PartnerControls"/>
    </c4e2ab2cc9354bbf9064eeb465a566ea>
    <UndpProjectNo xmlns="1ed4137b-41b2-488b-8250-6d369ec27664">00097249</UndpProjectNo>
    <UndpDocStatus xmlns="1ed4137b-41b2-488b-8250-6d369ec27664">Approved</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KAZ</TermName>
          <TermId xmlns="http://schemas.microsoft.com/office/infopath/2007/PartnerControls">754cb794-9097-4b7b-8963-65d9c6b43217</TermId>
        </TermInfo>
      </Terms>
    </gc6531b704974d528487414686b72f6f>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556BD82C-3E7C-4A4F-A6AD-F5875F693F64}">
  <ds:schemaRefs>
    <ds:schemaRef ds:uri="http://schemas.microsoft.com/office/2006/metadata/longProperties"/>
  </ds:schemaRefs>
</ds:datastoreItem>
</file>

<file path=customXml/itemProps2.xml><?xml version="1.0" encoding="utf-8"?>
<ds:datastoreItem xmlns:ds="http://schemas.openxmlformats.org/officeDocument/2006/customXml" ds:itemID="{7B51A399-3284-4803-A5DA-8FB22CF5364D}">
  <ds:schemaRefs>
    <ds:schemaRef ds:uri="http://schemas.microsoft.com/sharepoint/v3/contenttype/forms"/>
  </ds:schemaRefs>
</ds:datastoreItem>
</file>

<file path=customXml/itemProps3.xml><?xml version="1.0" encoding="utf-8"?>
<ds:datastoreItem xmlns:ds="http://schemas.openxmlformats.org/officeDocument/2006/customXml" ds:itemID="{BA0E2565-8FFB-4F1C-B2D9-46CC6F0C96EE}"/>
</file>

<file path=customXml/itemProps4.xml><?xml version="1.0" encoding="utf-8"?>
<ds:datastoreItem xmlns:ds="http://schemas.openxmlformats.org/officeDocument/2006/customXml" ds:itemID="{D9399FA0-EE60-4B86-BBD6-5E09C6415CE7}">
  <ds:schemaRefs>
    <ds:schemaRef ds:uri="http://schemas.openxmlformats.org/officeDocument/2006/bibliography"/>
  </ds:schemaRefs>
</ds:datastoreItem>
</file>

<file path=customXml/itemProps5.xml><?xml version="1.0" encoding="utf-8"?>
<ds:datastoreItem xmlns:ds="http://schemas.openxmlformats.org/officeDocument/2006/customXml" ds:itemID="{E0D4DFFB-64BF-4421-9DB0-5656552D419B}"/>
</file>

<file path=customXml/itemProps6.xml><?xml version="1.0" encoding="utf-8"?>
<ds:datastoreItem xmlns:ds="http://schemas.openxmlformats.org/officeDocument/2006/customXml" ds:itemID="{D622EB65-CFAA-4C40-A114-254DFCEAC705}"/>
</file>

<file path=customXml/itemProps7.xml><?xml version="1.0" encoding="utf-8"?>
<ds:datastoreItem xmlns:ds="http://schemas.openxmlformats.org/officeDocument/2006/customXml" ds:itemID="{18D9CDE0-E6F1-4B21-8109-AC7975FD2C37}"/>
</file>

<file path=docProps/app.xml><?xml version="1.0" encoding="utf-8"?>
<Properties xmlns="http://schemas.openxmlformats.org/officeDocument/2006/extended-properties" xmlns:vt="http://schemas.openxmlformats.org/officeDocument/2006/docPropsVTypes">
  <Template>Normal</Template>
  <TotalTime>1</TotalTime>
  <Pages>7</Pages>
  <Words>39192</Words>
  <Characters>253573</Characters>
  <Application>Microsoft Office Word</Application>
  <DocSecurity>0</DocSecurity>
  <Lines>4448</Lines>
  <Paragraphs>3049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DREI Kazakhstan UNDP-GEF Project Document</vt:lpstr>
      <vt:lpstr>DREI Kazakhstan UNDP-GEF Project Document</vt:lpstr>
    </vt:vector>
  </TitlesOfParts>
  <Company>Microsoft</Company>
  <LinksUpToDate>false</LinksUpToDate>
  <CharactersWithSpaces>289716</CharactersWithSpaces>
  <SharedDoc>false</SharedDoc>
  <HLinks>
    <vt:vector size="132" baseType="variant">
      <vt:variant>
        <vt:i4>196657</vt:i4>
      </vt:variant>
      <vt:variant>
        <vt:i4>99</vt:i4>
      </vt:variant>
      <vt:variant>
        <vt:i4>0</vt:i4>
      </vt:variant>
      <vt:variant>
        <vt:i4>5</vt:i4>
      </vt:variant>
      <vt:variant>
        <vt:lpwstr>http://www.thegef.org</vt:lpwstr>
      </vt:variant>
      <vt:variant>
        <vt:lpwstr/>
      </vt:variant>
      <vt:variant>
        <vt:i4>196657</vt:i4>
      </vt:variant>
      <vt:variant>
        <vt:i4>96</vt:i4>
      </vt:variant>
      <vt:variant>
        <vt:i4>0</vt:i4>
      </vt:variant>
      <vt:variant>
        <vt:i4>5</vt:i4>
      </vt:variant>
      <vt:variant>
        <vt:lpwstr>http://www.thegef.org</vt:lpwstr>
      </vt:variant>
      <vt:variant>
        <vt:lpwstr/>
      </vt:variant>
      <vt:variant>
        <vt:i4>6422625</vt:i4>
      </vt:variant>
      <vt:variant>
        <vt:i4>90</vt:i4>
      </vt:variant>
      <vt:variant>
        <vt:i4>0</vt:i4>
      </vt:variant>
      <vt:variant>
        <vt:i4>5</vt:i4>
      </vt:variant>
      <vt:variant>
        <vt:lpwstr>http://web.undp.org/evaluation/guidance.shtml</vt:lpwstr>
      </vt:variant>
      <vt:variant>
        <vt:lpwstr>gef</vt:lpwstr>
      </vt:variant>
      <vt:variant>
        <vt:i4>6422625</vt:i4>
      </vt:variant>
      <vt:variant>
        <vt:i4>87</vt:i4>
      </vt:variant>
      <vt:variant>
        <vt:i4>0</vt:i4>
      </vt:variant>
      <vt:variant>
        <vt:i4>5</vt:i4>
      </vt:variant>
      <vt:variant>
        <vt:lpwstr>http://web.undp.org/evaluation/guidance.shtml</vt:lpwstr>
      </vt:variant>
      <vt:variant>
        <vt:lpwstr>gef</vt:lpwstr>
      </vt:variant>
      <vt:variant>
        <vt:i4>1441839</vt:i4>
      </vt:variant>
      <vt:variant>
        <vt:i4>84</vt:i4>
      </vt:variant>
      <vt:variant>
        <vt:i4>0</vt:i4>
      </vt:variant>
      <vt:variant>
        <vt:i4>5</vt:i4>
      </vt:variant>
      <vt:variant>
        <vt:lpwstr>http://www.undp.org/content/undp/en/home/operations/accountability/programme_and_operationspoliciesandprocedures.html</vt:lpwstr>
      </vt:variant>
      <vt:variant>
        <vt:lpwstr/>
      </vt:variant>
      <vt:variant>
        <vt:i4>4521990</vt:i4>
      </vt:variant>
      <vt:variant>
        <vt:i4>81</vt:i4>
      </vt:variant>
      <vt:variant>
        <vt:i4>0</vt:i4>
      </vt:variant>
      <vt:variant>
        <vt:i4>5</vt:i4>
      </vt:variant>
      <vt:variant>
        <vt:lpwstr>http://www.thegef.org/gef/Evaluation Policy 2010</vt:lpwstr>
      </vt:variant>
      <vt:variant>
        <vt:lpwstr/>
      </vt:variant>
      <vt:variant>
        <vt:i4>7995479</vt:i4>
      </vt:variant>
      <vt:variant>
        <vt:i4>78</vt:i4>
      </vt:variant>
      <vt:variant>
        <vt:i4>0</vt:i4>
      </vt:variant>
      <vt:variant>
        <vt:i4>5</vt:i4>
      </vt:variant>
      <vt:variant>
        <vt:lpwstr>http://www.undp.org/content/undp/en/home/operations/accountability/evaluation/evaluation_policyofundp.html</vt:lpwstr>
      </vt:variant>
      <vt:variant>
        <vt:lpwstr/>
      </vt:variant>
      <vt:variant>
        <vt:i4>1441839</vt:i4>
      </vt:variant>
      <vt:variant>
        <vt:i4>75</vt:i4>
      </vt:variant>
      <vt:variant>
        <vt:i4>0</vt:i4>
      </vt:variant>
      <vt:variant>
        <vt:i4>5</vt:i4>
      </vt:variant>
      <vt:variant>
        <vt:lpwstr>http://www.undp.org/content/undp/en/home/operations/accountability/programme_and_operationspoliciesandprocedures.html</vt:lpwstr>
      </vt:variant>
      <vt:variant>
        <vt:lpwstr/>
      </vt:variant>
      <vt:variant>
        <vt:i4>1048581</vt:i4>
      </vt:variant>
      <vt:variant>
        <vt:i4>68</vt:i4>
      </vt:variant>
      <vt:variant>
        <vt:i4>0</vt:i4>
      </vt:variant>
      <vt:variant>
        <vt:i4>5</vt:i4>
      </vt:variant>
      <vt:variant>
        <vt:lpwstr/>
      </vt:variant>
      <vt:variant>
        <vt:lpwstr>_Toc443050730</vt:lpwstr>
      </vt:variant>
      <vt:variant>
        <vt:i4>1114124</vt:i4>
      </vt:variant>
      <vt:variant>
        <vt:i4>62</vt:i4>
      </vt:variant>
      <vt:variant>
        <vt:i4>0</vt:i4>
      </vt:variant>
      <vt:variant>
        <vt:i4>5</vt:i4>
      </vt:variant>
      <vt:variant>
        <vt:lpwstr/>
      </vt:variant>
      <vt:variant>
        <vt:lpwstr>_Toc443050729</vt:lpwstr>
      </vt:variant>
      <vt:variant>
        <vt:i4>1114125</vt:i4>
      </vt:variant>
      <vt:variant>
        <vt:i4>56</vt:i4>
      </vt:variant>
      <vt:variant>
        <vt:i4>0</vt:i4>
      </vt:variant>
      <vt:variant>
        <vt:i4>5</vt:i4>
      </vt:variant>
      <vt:variant>
        <vt:lpwstr/>
      </vt:variant>
      <vt:variant>
        <vt:lpwstr>_Toc443050728</vt:lpwstr>
      </vt:variant>
      <vt:variant>
        <vt:i4>1114114</vt:i4>
      </vt:variant>
      <vt:variant>
        <vt:i4>50</vt:i4>
      </vt:variant>
      <vt:variant>
        <vt:i4>0</vt:i4>
      </vt:variant>
      <vt:variant>
        <vt:i4>5</vt:i4>
      </vt:variant>
      <vt:variant>
        <vt:lpwstr/>
      </vt:variant>
      <vt:variant>
        <vt:lpwstr>_Toc443050727</vt:lpwstr>
      </vt:variant>
      <vt:variant>
        <vt:i4>1114115</vt:i4>
      </vt:variant>
      <vt:variant>
        <vt:i4>44</vt:i4>
      </vt:variant>
      <vt:variant>
        <vt:i4>0</vt:i4>
      </vt:variant>
      <vt:variant>
        <vt:i4>5</vt:i4>
      </vt:variant>
      <vt:variant>
        <vt:lpwstr/>
      </vt:variant>
      <vt:variant>
        <vt:lpwstr>_Toc443050726</vt:lpwstr>
      </vt:variant>
      <vt:variant>
        <vt:i4>1114112</vt:i4>
      </vt:variant>
      <vt:variant>
        <vt:i4>38</vt:i4>
      </vt:variant>
      <vt:variant>
        <vt:i4>0</vt:i4>
      </vt:variant>
      <vt:variant>
        <vt:i4>5</vt:i4>
      </vt:variant>
      <vt:variant>
        <vt:lpwstr/>
      </vt:variant>
      <vt:variant>
        <vt:lpwstr>_Toc443050725</vt:lpwstr>
      </vt:variant>
      <vt:variant>
        <vt:i4>1114113</vt:i4>
      </vt:variant>
      <vt:variant>
        <vt:i4>32</vt:i4>
      </vt:variant>
      <vt:variant>
        <vt:i4>0</vt:i4>
      </vt:variant>
      <vt:variant>
        <vt:i4>5</vt:i4>
      </vt:variant>
      <vt:variant>
        <vt:lpwstr/>
      </vt:variant>
      <vt:variant>
        <vt:lpwstr>_Toc443050724</vt:lpwstr>
      </vt:variant>
      <vt:variant>
        <vt:i4>1114118</vt:i4>
      </vt:variant>
      <vt:variant>
        <vt:i4>26</vt:i4>
      </vt:variant>
      <vt:variant>
        <vt:i4>0</vt:i4>
      </vt:variant>
      <vt:variant>
        <vt:i4>5</vt:i4>
      </vt:variant>
      <vt:variant>
        <vt:lpwstr/>
      </vt:variant>
      <vt:variant>
        <vt:lpwstr>_Toc443050723</vt:lpwstr>
      </vt:variant>
      <vt:variant>
        <vt:i4>1114119</vt:i4>
      </vt:variant>
      <vt:variant>
        <vt:i4>20</vt:i4>
      </vt:variant>
      <vt:variant>
        <vt:i4>0</vt:i4>
      </vt:variant>
      <vt:variant>
        <vt:i4>5</vt:i4>
      </vt:variant>
      <vt:variant>
        <vt:lpwstr/>
      </vt:variant>
      <vt:variant>
        <vt:lpwstr>_Toc443050722</vt:lpwstr>
      </vt:variant>
      <vt:variant>
        <vt:i4>1114116</vt:i4>
      </vt:variant>
      <vt:variant>
        <vt:i4>14</vt:i4>
      </vt:variant>
      <vt:variant>
        <vt:i4>0</vt:i4>
      </vt:variant>
      <vt:variant>
        <vt:i4>5</vt:i4>
      </vt:variant>
      <vt:variant>
        <vt:lpwstr/>
      </vt:variant>
      <vt:variant>
        <vt:lpwstr>_Toc443050721</vt:lpwstr>
      </vt:variant>
      <vt:variant>
        <vt:i4>1114117</vt:i4>
      </vt:variant>
      <vt:variant>
        <vt:i4>8</vt:i4>
      </vt:variant>
      <vt:variant>
        <vt:i4>0</vt:i4>
      </vt:variant>
      <vt:variant>
        <vt:i4>5</vt:i4>
      </vt:variant>
      <vt:variant>
        <vt:lpwstr/>
      </vt:variant>
      <vt:variant>
        <vt:lpwstr>_Toc443050720</vt:lpwstr>
      </vt:variant>
      <vt:variant>
        <vt:i4>1179660</vt:i4>
      </vt:variant>
      <vt:variant>
        <vt:i4>2</vt:i4>
      </vt:variant>
      <vt:variant>
        <vt:i4>0</vt:i4>
      </vt:variant>
      <vt:variant>
        <vt:i4>5</vt:i4>
      </vt:variant>
      <vt:variant>
        <vt:lpwstr/>
      </vt:variant>
      <vt:variant>
        <vt:lpwstr>_Toc443050719</vt:lpwstr>
      </vt:variant>
      <vt:variant>
        <vt:i4>4194342</vt:i4>
      </vt:variant>
      <vt:variant>
        <vt:i4>3</vt:i4>
      </vt:variant>
      <vt:variant>
        <vt:i4>0</vt:i4>
      </vt:variant>
      <vt:variant>
        <vt:i4>5</vt:i4>
      </vt:variant>
      <vt:variant>
        <vt:lpwstr>https://unfccc.int/files/national_reports/annex_i_natcom_/application/pdf/kaz_nc3,4,5,6_eng.pdf</vt:lpwstr>
      </vt:variant>
      <vt:variant>
        <vt:lpwstr/>
      </vt:variant>
      <vt:variant>
        <vt:i4>3932266</vt:i4>
      </vt:variant>
      <vt:variant>
        <vt:i4>0</vt:i4>
      </vt:variant>
      <vt:variant>
        <vt:i4>0</vt:i4>
      </vt:variant>
      <vt:variant>
        <vt:i4>5</vt:i4>
      </vt:variant>
      <vt:variant>
        <vt:lpwstr>https://info.undp.org/global/popp/frm/pages/financial-management-and-execution-modalities.aspx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DREI Kazakhstan UNDP-GEF Project Document</dc:title>
  <dc:subject>Project Management</dc:subject>
  <dc:creator/>
  <cp:lastModifiedBy>Syrym Nurgaliyev</cp:lastModifiedBy>
  <cp:revision>2</cp:revision>
  <cp:lastPrinted>2017-04-05T18:13:00Z</cp:lastPrinted>
  <dcterms:created xsi:type="dcterms:W3CDTF">2018-05-29T10:35:00Z</dcterms:created>
  <dcterms:modified xsi:type="dcterms:W3CDTF">2018-05-29T10:35:00Z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3c75c338-817b-4b11-ba80-d2b012a1cdaf</vt:lpwstr>
  </property>
  <property fmtid="{D5CDD505-2E9C-101B-9397-08002B2CF9AE}" pid="4" name="_dlc_DocId">
    <vt:lpwstr>UNITOFFICE-80-84</vt:lpwstr>
  </property>
  <property fmtid="{D5CDD505-2E9C-101B-9397-08002B2CF9AE}" pid="5" name="_dlc_DocIdUrl">
    <vt:lpwstr>https://intranet.undp.org/unit/office/exo/_layouts/DocIdRedir.aspx?ID=UNITOFFICE-80-84, UNITOFFICE-80-84</vt:lpwstr>
  </property>
  <property fmtid="{D5CDD505-2E9C-101B-9397-08002B2CF9AE}" pid="6" name="Category">
    <vt:lpwstr>Project Development Phase</vt:lpwstr>
  </property>
  <property fmtid="{D5CDD505-2E9C-101B-9397-08002B2CF9AE}" pid="7" name="Description0">
    <vt:lpwstr/>
  </property>
  <property fmtid="{D5CDD505-2E9C-101B-9397-08002B2CF9AE}" pid="8" name="UNDPCountry">
    <vt:lpwstr>1494;#Kazakhstan|7c48341c-5f40-4b3c-9db2-8eb94bbc15c3</vt:lpwstr>
  </property>
  <property fmtid="{D5CDD505-2E9C-101B-9397-08002B2CF9AE}" pid="9" name="UNDPDocumentCategory">
    <vt:lpwstr/>
  </property>
  <property fmtid="{D5CDD505-2E9C-101B-9397-08002B2CF9AE}" pid="10" name="UN Languages">
    <vt:lpwstr>1;#English|7f98b732-4b5b-4b70-ba90-a0eff09b5d2d</vt:lpwstr>
  </property>
  <property fmtid="{D5CDD505-2E9C-101B-9397-08002B2CF9AE}" pid="11" name="Operating Unit0">
    <vt:lpwstr>1472;#KAZ|754cb794-9097-4b7b-8963-65d9c6b43217</vt:lpwstr>
  </property>
  <property fmtid="{D5CDD505-2E9C-101B-9397-08002B2CF9AE}" pid="12" name="Atlas Document Status">
    <vt:lpwstr>763;#Draft|121d40a5-e62e-4d42-82e4-d6d12003de0a</vt:lpwstr>
  </property>
  <property fmtid="{D5CDD505-2E9C-101B-9397-08002B2CF9AE}" pid="13" name="Atlas Document Type">
    <vt:lpwstr>1110;#Prodoc|099f975e-b4d9-4bba-a499-dbcc387c61ad</vt:lpwstr>
  </property>
  <property fmtid="{D5CDD505-2E9C-101B-9397-08002B2CF9AE}" pid="14" name="eRegFilingCodeMM">
    <vt:lpwstr/>
  </property>
  <property fmtid="{D5CDD505-2E9C-101B-9397-08002B2CF9AE}" pid="15" name="UndpUnitMM">
    <vt:lpwstr/>
  </property>
  <property fmtid="{D5CDD505-2E9C-101B-9397-08002B2CF9AE}" pid="16" name="UNDPFocusAreas">
    <vt:lpwstr>676;#Renewables (GEF OP 6)|4e5790fb-14c9-407f-9a08-ecfef2c32c71</vt:lpwstr>
  </property>
  <property fmtid="{D5CDD505-2E9C-101B-9397-08002B2CF9AE}" pid="17" name="UndpDocTypeMM">
    <vt:lpwstr/>
  </property>
  <property fmtid="{D5CDD505-2E9C-101B-9397-08002B2CF9AE}" pid="18" name="DocumentSetDescription">
    <vt:lpwstr/>
  </property>
  <property fmtid="{D5CDD505-2E9C-101B-9397-08002B2CF9AE}" pid="19" name="UnitTaxHTField0">
    <vt:lpwstr/>
  </property>
  <property fmtid="{D5CDD505-2E9C-101B-9397-08002B2CF9AE}" pid="20" name="Unit">
    <vt:lpwstr/>
  </property>
  <property fmtid="{D5CDD505-2E9C-101B-9397-08002B2CF9AE}" pid="21" name="URL">
    <vt:lpwstr/>
  </property>
</Properties>
</file>